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156" w:afterLines="50"/>
        <w:rPr>
          <w:rFonts w:ascii="宋体" w:hAnsi="宋体" w:cs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snapToGrid w:val="0"/>
        <w:spacing w:after="156" w:afterLines="50"/>
        <w:jc w:val="center"/>
        <w:rPr>
          <w:rFonts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华农财产保险股份有限公司</w:t>
      </w:r>
    </w:p>
    <w:p>
      <w:pPr>
        <w:snapToGrid w:val="0"/>
        <w:spacing w:after="156" w:afterLines="50"/>
        <w:jc w:val="center"/>
        <w:rPr>
          <w:rFonts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个人意外伤害保险费率表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textAlignment w:val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一、年</w:t>
      </w:r>
      <w:r>
        <w:rPr>
          <w:rFonts w:hint="eastAsia" w:asciiTheme="minorEastAsia" w:hAnsiTheme="minorEastAsia" w:eastAsiaTheme="minorEastAsia" w:cstheme="minorBidi"/>
          <w:b/>
          <w:szCs w:val="21"/>
        </w:rPr>
        <w:t>基</w:t>
      </w:r>
      <w:r>
        <w:rPr>
          <w:rFonts w:hint="eastAsia" w:asciiTheme="minorEastAsia" w:hAnsiTheme="minorEastAsia" w:eastAsiaTheme="minorEastAsia" w:cstheme="minorBidi"/>
          <w:b/>
          <w:szCs w:val="21"/>
          <w:lang w:eastAsia="zh-Hans"/>
        </w:rPr>
        <w:t>准</w:t>
      </w:r>
      <w:r>
        <w:rPr>
          <w:rFonts w:hint="eastAsia" w:ascii="宋体" w:hAnsi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费率</w:t>
      </w:r>
    </w:p>
    <w:tbl>
      <w:tblPr>
        <w:tblStyle w:val="2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1842"/>
        <w:gridCol w:w="1843"/>
      </w:tblGrid>
      <w:tr>
        <w:trPr>
          <w:trHeight w:val="338" w:hRule="atLeast"/>
          <w:jc w:val="center"/>
        </w:trPr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职业类别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意外伤害身故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（基本责任）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意外伤害</w:t>
            </w: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伤残</w:t>
            </w:r>
          </w:p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（可选责任）</w:t>
            </w:r>
          </w:p>
        </w:tc>
      </w:tr>
      <w:tr>
        <w:trPr>
          <w:trHeight w:val="397" w:hRule="atLeast"/>
          <w:jc w:val="center"/>
        </w:trPr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一类职业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0.22‰  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0.17‰  </w:t>
            </w:r>
          </w:p>
        </w:tc>
      </w:tr>
      <w:tr>
        <w:trPr>
          <w:trHeight w:val="397" w:hRule="atLeast"/>
          <w:jc w:val="center"/>
        </w:trPr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二类职业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0.33‰  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0.26‰  </w:t>
            </w:r>
          </w:p>
        </w:tc>
      </w:tr>
      <w:tr>
        <w:trPr>
          <w:trHeight w:val="397" w:hRule="atLeast"/>
          <w:jc w:val="center"/>
        </w:trPr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三类职业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0.38‰  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0.30‰  </w:t>
            </w:r>
          </w:p>
        </w:tc>
      </w:tr>
      <w:tr>
        <w:trPr>
          <w:trHeight w:val="397" w:hRule="atLeast"/>
          <w:jc w:val="center"/>
        </w:trPr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四类职业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0.43‰  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0.35‰  </w:t>
            </w:r>
          </w:p>
        </w:tc>
      </w:tr>
      <w:tr>
        <w:trPr>
          <w:trHeight w:val="397" w:hRule="atLeast"/>
          <w:jc w:val="center"/>
        </w:trPr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五类职业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0.54‰  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0.43‰  </w:t>
            </w:r>
          </w:p>
        </w:tc>
      </w:tr>
      <w:tr>
        <w:trPr>
          <w:trHeight w:val="397" w:hRule="atLeast"/>
          <w:jc w:val="center"/>
        </w:trPr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六类职业</w:t>
            </w: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0.81‰  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0.65‰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宋体" w:hAnsi="宋体" w:cs="宋体"/>
          <w:color w:val="000000"/>
          <w:szCs w:val="21"/>
        </w:rPr>
        <w:t>被保险人的职业类别依据保险人制定的《职业分类表》确定，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18周岁（含）以下子女作为被保险人的按二类职业计算保险费。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textAlignment w:val="auto"/>
        <w:rPr>
          <w:rFonts w:hint="eastAsia" w:eastAsia="宋体"/>
          <w:lang w:val="en-US" w:eastAsia="zh-CN"/>
        </w:rPr>
      </w:pPr>
      <w:r>
        <w:rPr>
          <w:rFonts w:hint="eastAsia" w:ascii="宋体"/>
          <w:b/>
          <w:szCs w:val="21"/>
          <w:lang w:val="en-US" w:eastAsia="zh-Hans"/>
        </w:rPr>
        <w:t>二、</w:t>
      </w:r>
      <w:r>
        <w:rPr>
          <w:rFonts w:hint="eastAsia" w:ascii="宋体"/>
          <w:b/>
          <w:szCs w:val="21"/>
        </w:rPr>
        <w:t>费率</w:t>
      </w:r>
      <w:r>
        <w:rPr>
          <w:rFonts w:hint="eastAsia" w:asciiTheme="minorEastAsia" w:hAnsiTheme="minorEastAsia" w:eastAsiaTheme="minorEastAsia" w:cstheme="minorBidi"/>
          <w:b/>
          <w:szCs w:val="21"/>
        </w:rPr>
        <w:t>调整</w:t>
      </w:r>
      <w:r>
        <w:rPr>
          <w:rFonts w:hint="eastAsia" w:ascii="宋体"/>
          <w:b/>
          <w:szCs w:val="21"/>
        </w:rPr>
        <w:t>系数</w:t>
      </w:r>
    </w:p>
    <w:tbl>
      <w:tblPr>
        <w:tblStyle w:val="28"/>
        <w:tblW w:w="8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857"/>
        <w:gridCol w:w="2575"/>
        <w:gridCol w:w="235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核保要素</w:t>
            </w: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标准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调整系数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缴费方式</w:t>
            </w: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一次性缴费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[0.8,1.0]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</w:pP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分期缴费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(1.0,1.2]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渠道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预期投保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人数规模</w:t>
            </w: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pStyle w:val="25"/>
              <w:spacing w:before="0" w:beforeAutospacing="0" w:after="156" w:afterLines="50" w:afterAutospacing="0"/>
              <w:jc w:val="center"/>
              <w:rPr>
                <w:rFonts w:cs="宋体" w:asciiTheme="minorEastAsia" w:hAnsiTheme="minorEastAsia" w:eastAsiaTheme="minorEastAsia"/>
                <w:color w:val="000000"/>
                <w:szCs w:val="21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</w:rPr>
              <w:t>1</w:t>
            </w:r>
            <w:r>
              <w:rPr>
                <w:rFonts w:hint="eastAsia" w:ascii="Times New Roman"/>
                <w:kern w:val="2"/>
                <w:sz w:val="21"/>
                <w:szCs w:val="21"/>
              </w:rPr>
              <w:t>万人以上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pStyle w:val="25"/>
              <w:spacing w:before="0" w:beforeAutospacing="0" w:after="156" w:afterLines="50" w:afterAutospacing="0"/>
              <w:jc w:val="center"/>
              <w:rPr>
                <w:rFonts w:cs="宋体" w:asciiTheme="minorEastAsia" w:hAnsiTheme="minorEastAsia" w:eastAsiaTheme="minorEastAsia"/>
                <w:color w:val="000000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[0.4,0.6]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pStyle w:val="25"/>
              <w:spacing w:before="0" w:beforeAutospacing="0" w:after="156" w:afterLines="50" w:afterAutospacing="0"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</w:rPr>
              <w:t>5000</w:t>
            </w:r>
            <w:r>
              <w:rPr>
                <w:rFonts w:hint="eastAsia" w:ascii="Times New Roman"/>
                <w:kern w:val="2"/>
                <w:sz w:val="21"/>
                <w:szCs w:val="21"/>
              </w:rPr>
              <w:t>人</w:t>
            </w:r>
            <w:r>
              <w:rPr>
                <w:rFonts w:ascii="Times New Roman" w:hAnsi="Times New Roman"/>
                <w:kern w:val="2"/>
                <w:sz w:val="21"/>
                <w:szCs w:val="21"/>
              </w:rPr>
              <w:t>-1</w:t>
            </w:r>
            <w:r>
              <w:rPr>
                <w:rFonts w:hint="eastAsia" w:ascii="Times New Roman"/>
                <w:kern w:val="2"/>
                <w:sz w:val="21"/>
                <w:szCs w:val="21"/>
              </w:rPr>
              <w:t>万人（含）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pStyle w:val="25"/>
              <w:spacing w:before="0" w:beforeAutospacing="0" w:after="156" w:afterLines="50" w:afterAutospacing="0"/>
              <w:jc w:val="center"/>
              <w:rPr>
                <w:rFonts w:hint="default" w:cs="宋体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(0.6,0.8]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pStyle w:val="25"/>
              <w:spacing w:before="0" w:beforeAutospacing="0" w:after="156" w:afterLines="50" w:afterAutospacing="0"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</w:rPr>
              <w:t>2000</w:t>
            </w:r>
            <w:r>
              <w:rPr>
                <w:rFonts w:hint="eastAsia" w:ascii="Times New Roman"/>
                <w:kern w:val="2"/>
                <w:sz w:val="21"/>
                <w:szCs w:val="21"/>
              </w:rPr>
              <w:t>人（含）</w:t>
            </w:r>
            <w:r>
              <w:rPr>
                <w:rFonts w:ascii="Times New Roman" w:hAnsi="Times New Roman"/>
                <w:kern w:val="2"/>
                <w:sz w:val="21"/>
                <w:szCs w:val="21"/>
              </w:rPr>
              <w:t>-5000</w:t>
            </w:r>
            <w:r>
              <w:rPr>
                <w:rFonts w:hint="eastAsia" w:ascii="Times New Roman"/>
                <w:kern w:val="2"/>
                <w:sz w:val="21"/>
                <w:szCs w:val="21"/>
              </w:rPr>
              <w:t>人（含）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pStyle w:val="25"/>
              <w:spacing w:before="0" w:beforeAutospacing="0" w:after="156" w:afterLines="50" w:afterAutospacing="0"/>
              <w:jc w:val="center"/>
              <w:rPr>
                <w:rFonts w:hint="eastAsia" w:eastAsia="宋体" w:cs="宋体" w:asciiTheme="minorEastAsia" w:hAnsi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(0.8,1.0</w:t>
            </w:r>
            <w:r>
              <w:rPr>
                <w:rStyle w:val="33"/>
                <w:rFonts w:hint="eastAsia" w:ascii="Times New Roman" w:hAnsi="Times New Roman"/>
                <w:kern w:val="2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pStyle w:val="25"/>
              <w:spacing w:before="0" w:beforeAutospacing="0" w:after="156" w:afterLines="50" w:afterAutospacing="0"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kern w:val="2"/>
                <w:sz w:val="21"/>
                <w:szCs w:val="21"/>
              </w:rPr>
              <w:t>2000</w:t>
            </w:r>
            <w:r>
              <w:rPr>
                <w:rFonts w:hint="eastAsia" w:ascii="Times New Roman"/>
                <w:kern w:val="2"/>
                <w:sz w:val="21"/>
                <w:szCs w:val="21"/>
              </w:rPr>
              <w:t>人以下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pStyle w:val="25"/>
              <w:spacing w:before="0" w:beforeAutospacing="0" w:after="156" w:afterLines="50" w:afterAutospacing="0"/>
              <w:jc w:val="center"/>
              <w:rPr>
                <w:rFonts w:hint="default" w:cs="宋体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1"/>
                <w:szCs w:val="21"/>
                <w:lang w:val="en-US" w:eastAsia="zh-CN"/>
              </w:rPr>
              <w:t>(1.0,1.2]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续保年数</w:t>
            </w: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续保三年及以上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[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0.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6,0.8]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续保二年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(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0.8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,0.9]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续保一年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(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0.9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,1.0]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新承保业务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1.0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185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既往业务赔付率</w:t>
            </w: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＞100％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(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1.2,3.0]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70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  <w:t>%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～100％（含）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(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1.0,1.2]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50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  <w:t>%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～70％（含）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(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0.8,1.0]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30</w:t>
            </w:r>
            <w:r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  <w:t>%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～50％（含）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0.6,0.8]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≦30％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</w:rPr>
              <w:t>[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>0.4,0.6]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857" w:type="dxa"/>
            <w:vMerge w:val="restart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kern w:val="0"/>
                <w:szCs w:val="21"/>
                <w:lang w:val="en-US" w:eastAsia="zh-CN"/>
              </w:rPr>
              <w:t>渠道类型</w:t>
            </w: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直销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  <w:lang w:val="en-US" w:eastAsia="zh-CN"/>
              </w:rPr>
              <w:t>[0.8,1.0]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20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vMerge w:val="continue"/>
            <w:vAlign w:val="center"/>
          </w:tcPr>
          <w:p>
            <w:pPr>
              <w:widowControl/>
              <w:rPr>
                <w:rFonts w:cs="宋体" w:asciiTheme="minorEastAsia" w:hAnsiTheme="minorEastAsia" w:eastAsiaTheme="minorEastAsia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5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  <w:lang w:val="en-US" w:eastAsia="zh-CN"/>
              </w:rPr>
              <w:t>非直销</w:t>
            </w:r>
          </w:p>
        </w:tc>
        <w:tc>
          <w:tcPr>
            <w:tcW w:w="235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cs="宋体" w:asciiTheme="minorEastAsia" w:hAnsiTheme="minorEastAsia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Cs w:val="21"/>
                <w:lang w:val="en-US" w:eastAsia="zh-CN"/>
              </w:rPr>
              <w:t>(1.0,1.2]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textAlignment w:val="auto"/>
        <w:rPr>
          <w:rFonts w:asciiTheme="minorEastAsia" w:hAnsiTheme="minorEastAsia" w:eastAsiaTheme="minorEastAsia" w:cstheme="minorBidi"/>
          <w:b/>
          <w:bCs/>
          <w:szCs w:val="21"/>
        </w:rPr>
      </w:pPr>
      <w:r>
        <w:rPr>
          <w:rFonts w:hint="eastAsia" w:asciiTheme="minorEastAsia" w:hAnsiTheme="minorEastAsia" w:eastAsiaTheme="minorEastAsia" w:cstheme="minorBidi"/>
          <w:b/>
          <w:szCs w:val="21"/>
        </w:rPr>
        <w:t>三、保险费计算公式</w:t>
      </w:r>
    </w:p>
    <w:p>
      <w:pPr>
        <w:pStyle w:val="4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firstLine="420" w:firstLineChars="200"/>
        <w:textAlignment w:val="auto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szCs w:val="21"/>
        </w:rPr>
        <w:t>1、基本责任年保险费=意外伤害身故保险金额</w:t>
      </w:r>
      <w:r>
        <w:rPr>
          <w:rFonts w:hint="eastAsia" w:ascii="宋体" w:hAnsi="宋体" w:cs="宋体"/>
          <w:color w:val="000000"/>
          <w:szCs w:val="21"/>
        </w:rPr>
        <w:t>×意外伤害身故年基</w:t>
      </w:r>
      <w:r>
        <w:rPr>
          <w:rFonts w:hint="eastAsia" w:ascii="宋体" w:hAnsi="宋体" w:cs="宋体"/>
          <w:color w:val="000000"/>
          <w:szCs w:val="21"/>
          <w:lang w:eastAsia="zh-Hans"/>
        </w:rPr>
        <w:t>准</w:t>
      </w:r>
      <w:r>
        <w:rPr>
          <w:rFonts w:hint="eastAsia" w:ascii="宋体" w:hAnsi="宋体" w:cs="宋体"/>
          <w:color w:val="000000"/>
          <w:szCs w:val="21"/>
        </w:rPr>
        <w:t>费率×各项费率调整系数之乘积</w:t>
      </w:r>
    </w:p>
    <w:p>
      <w:pPr>
        <w:pStyle w:val="4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firstLine="420" w:firstLineChars="200"/>
        <w:textAlignment w:val="auto"/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szCs w:val="21"/>
        </w:rPr>
        <w:t>可选责任年保险费=意外伤害伤残保险金额</w:t>
      </w:r>
      <w:r>
        <w:rPr>
          <w:rFonts w:hint="eastAsia" w:ascii="宋体" w:hAnsi="宋体" w:cs="宋体"/>
          <w:color w:val="000000"/>
          <w:szCs w:val="21"/>
        </w:rPr>
        <w:t>×意外伤害伤残年基</w:t>
      </w:r>
      <w:r>
        <w:rPr>
          <w:rFonts w:hint="eastAsia" w:ascii="宋体" w:hAnsi="宋体" w:cs="宋体"/>
          <w:color w:val="000000"/>
          <w:szCs w:val="21"/>
          <w:lang w:eastAsia="zh-Hans"/>
        </w:rPr>
        <w:t>准</w:t>
      </w:r>
      <w:r>
        <w:rPr>
          <w:rFonts w:hint="eastAsia" w:ascii="宋体" w:hAnsi="宋体" w:cs="宋体"/>
          <w:color w:val="000000"/>
          <w:szCs w:val="21"/>
        </w:rPr>
        <w:t>费率×各项费率调整系数之乘积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firstLine="420" w:firstLineChars="200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年保险费=基本责任年保险费+可选责任年保险费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firstLine="420" w:firstLineChars="200"/>
        <w:jc w:val="left"/>
        <w:textAlignment w:val="auto"/>
        <w:rPr>
          <w:rFonts w:ascii="宋体" w:hAnsi="宋体" w:cs="宋体"/>
          <w:szCs w:val="21"/>
        </w:rPr>
      </w:pPr>
      <w:r>
        <w:rPr>
          <w:rFonts w:hAnsi="宋体"/>
          <w:szCs w:val="21"/>
        </w:rPr>
        <w:t>说明：投保人必须投保基本</w:t>
      </w:r>
      <w:r>
        <w:rPr>
          <w:rFonts w:hint="eastAsia" w:hAnsi="宋体"/>
          <w:szCs w:val="21"/>
        </w:rPr>
        <w:t>责任</w:t>
      </w:r>
      <w:r>
        <w:rPr>
          <w:rFonts w:hAnsi="宋体"/>
          <w:szCs w:val="21"/>
        </w:rPr>
        <w:t>，并可以在投保基本</w:t>
      </w:r>
      <w:r>
        <w:rPr>
          <w:rFonts w:hint="eastAsia" w:hAnsi="宋体"/>
          <w:szCs w:val="21"/>
        </w:rPr>
        <w:t>责任</w:t>
      </w:r>
      <w:r>
        <w:rPr>
          <w:rFonts w:hAnsi="宋体"/>
          <w:szCs w:val="21"/>
        </w:rPr>
        <w:t>的基础上选择投保可选</w:t>
      </w:r>
      <w:r>
        <w:rPr>
          <w:rFonts w:hint="eastAsia" w:hAnsi="宋体"/>
          <w:szCs w:val="21"/>
        </w:rPr>
        <w:t>责任</w:t>
      </w:r>
      <w:r>
        <w:rPr>
          <w:rFonts w:hAnsi="宋体"/>
          <w:szCs w:val="21"/>
        </w:rPr>
        <w:t>；若投保人未选择投保</w:t>
      </w:r>
      <w:r>
        <w:rPr>
          <w:rFonts w:hint="eastAsia" w:hAnsi="宋体"/>
          <w:szCs w:val="21"/>
        </w:rPr>
        <w:t>某一项或多项</w:t>
      </w:r>
      <w:r>
        <w:rPr>
          <w:rFonts w:hAnsi="宋体"/>
          <w:szCs w:val="21"/>
        </w:rPr>
        <w:t>可选</w:t>
      </w:r>
      <w:r>
        <w:rPr>
          <w:rFonts w:hint="eastAsia" w:hAnsi="宋体"/>
          <w:szCs w:val="21"/>
        </w:rPr>
        <w:t>责任</w:t>
      </w:r>
      <w:r>
        <w:rPr>
          <w:rFonts w:hAnsi="宋体"/>
          <w:szCs w:val="21"/>
        </w:rPr>
        <w:t>，则以上公式中相应责任的保险金额取值为</w:t>
      </w:r>
      <w:r>
        <w:rPr>
          <w:szCs w:val="21"/>
        </w:rPr>
        <w:t>0</w:t>
      </w:r>
      <w:r>
        <w:rPr>
          <w:rFonts w:hAnsi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firstLine="420" w:firstLineChars="200"/>
        <w:jc w:val="left"/>
        <w:textAlignment w:val="auto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2、保险合同按分期缴付保险费，根据保险费分期支付期数，使用如下公式计收每期保险费：</w:t>
      </w:r>
    </w:p>
    <w:p>
      <w:pPr>
        <w:pStyle w:val="6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firstLine="420" w:firstLineChars="200"/>
        <w:jc w:val="left"/>
        <w:textAlignment w:val="auto"/>
        <w:rPr>
          <w:rFonts w:asciiTheme="minorEastAsia" w:hAnsiTheme="minorEastAsia" w:eastAsiaTheme="minorEastAsia" w:cstheme="minorBidi"/>
          <w:b/>
          <w:szCs w:val="21"/>
        </w:rPr>
      </w:pPr>
      <w:r>
        <w:rPr>
          <w:rFonts w:hint="eastAsia" w:ascii="宋体" w:hAnsi="宋体"/>
          <w:kern w:val="0"/>
        </w:rPr>
        <w:t>每期保险费（按四舍五入计算）=年保险费÷分期缴费期数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textAlignment w:val="auto"/>
        <w:rPr>
          <w:rFonts w:asciiTheme="minorEastAsia" w:hAnsiTheme="minorEastAsia" w:eastAsiaTheme="minorEastAsia" w:cstheme="minorBidi"/>
          <w:b/>
          <w:bCs/>
          <w:szCs w:val="21"/>
        </w:rPr>
      </w:pPr>
      <w:r>
        <w:rPr>
          <w:rFonts w:hint="eastAsia" w:asciiTheme="minorEastAsia" w:hAnsiTheme="minorEastAsia" w:eastAsiaTheme="minorEastAsia" w:cstheme="minorBidi"/>
          <w:b/>
          <w:szCs w:val="21"/>
        </w:rPr>
        <w:t>四、短期费率表（按年费率的百分比计算）</w:t>
      </w:r>
    </w:p>
    <w:tbl>
      <w:tblPr>
        <w:tblStyle w:val="28"/>
        <w:tblW w:w="526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7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20" w:hRule="exact"/>
          <w:jc w:val="center"/>
        </w:trPr>
        <w:tc>
          <w:tcPr>
            <w:tcW w:w="131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保险期间（个月）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7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8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9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10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11</w:t>
            </w:r>
          </w:p>
        </w:tc>
        <w:tc>
          <w:tcPr>
            <w:tcW w:w="367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20" w:hRule="exact"/>
          <w:jc w:val="center"/>
        </w:trPr>
        <w:tc>
          <w:tcPr>
            <w:tcW w:w="1312" w:type="pct"/>
            <w:vAlign w:val="center"/>
          </w:tcPr>
          <w:p>
            <w:pPr>
              <w:snapToGrid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eastAsia="zh-Hans"/>
              </w:rPr>
              <w:t>年费率的</w:t>
            </w:r>
            <w:r>
              <w:rPr>
                <w:rFonts w:hint="eastAsia" w:ascii="宋体" w:hAnsi="宋体"/>
                <w:bCs/>
                <w:szCs w:val="21"/>
              </w:rPr>
              <w:t>百分比（%）</w:t>
            </w:r>
          </w:p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szCs w:val="21"/>
              </w:rPr>
              <w:t>10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szCs w:val="21"/>
              </w:rPr>
              <w:t>30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szCs w:val="21"/>
              </w:rPr>
              <w:t>40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szCs w:val="21"/>
              </w:rPr>
              <w:t>60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szCs w:val="21"/>
              </w:rPr>
              <w:t>70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szCs w:val="21"/>
              </w:rPr>
              <w:t>80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szCs w:val="21"/>
              </w:rPr>
              <w:t>85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szCs w:val="21"/>
              </w:rPr>
              <w:t>90</w:t>
            </w:r>
          </w:p>
        </w:tc>
        <w:tc>
          <w:tcPr>
            <w:tcW w:w="302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szCs w:val="21"/>
              </w:rPr>
              <w:t>95</w:t>
            </w:r>
          </w:p>
        </w:tc>
        <w:tc>
          <w:tcPr>
            <w:tcW w:w="367" w:type="pct"/>
            <w:vAlign w:val="center"/>
          </w:tcPr>
          <w:p>
            <w:pPr>
              <w:spacing w:after="0" w:afterLines="-2147483648"/>
              <w:ind w:left="0" w:leftChars="0" w:firstLine="0" w:firstLineChars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</w:tr>
    </w:tbl>
    <w:p>
      <w:pPr>
        <w:snapToGrid w:val="0"/>
        <w:ind w:firstLine="420"/>
        <w:rPr>
          <w:rFonts w:ascii="宋体"/>
          <w:bCs/>
          <w:szCs w:val="21"/>
        </w:rPr>
      </w:pPr>
      <w:r>
        <w:rPr>
          <w:rFonts w:hint="eastAsia" w:ascii="宋体"/>
          <w:szCs w:val="21"/>
        </w:rPr>
        <w:t>注：</w:t>
      </w:r>
      <w:r>
        <w:rPr>
          <w:rFonts w:ascii="宋体"/>
          <w:szCs w:val="21"/>
        </w:rPr>
        <w:t>1</w:t>
      </w:r>
      <w:r>
        <w:rPr>
          <w:rFonts w:hint="eastAsia" w:ascii="宋体"/>
          <w:szCs w:val="21"/>
        </w:rPr>
        <w:t>、保险期间在</w:t>
      </w:r>
      <w:r>
        <w:rPr>
          <w:rFonts w:ascii="宋体"/>
          <w:szCs w:val="21"/>
        </w:rPr>
        <w:t>1</w:t>
      </w:r>
      <w:r>
        <w:rPr>
          <w:rFonts w:hint="eastAsia" w:ascii="宋体"/>
          <w:szCs w:val="21"/>
        </w:rPr>
        <w:t>个月以上，不足</w:t>
      </w:r>
      <w:r>
        <w:rPr>
          <w:rFonts w:ascii="宋体"/>
          <w:szCs w:val="21"/>
        </w:rPr>
        <w:t>2</w:t>
      </w:r>
      <w:r>
        <w:rPr>
          <w:rFonts w:hint="eastAsia" w:ascii="宋体"/>
          <w:szCs w:val="21"/>
        </w:rPr>
        <w:t>个月的，按</w:t>
      </w:r>
      <w:r>
        <w:rPr>
          <w:rFonts w:ascii="宋体"/>
          <w:szCs w:val="21"/>
        </w:rPr>
        <w:t>2</w:t>
      </w:r>
      <w:r>
        <w:rPr>
          <w:rFonts w:hint="eastAsia" w:ascii="宋体"/>
          <w:szCs w:val="21"/>
        </w:rPr>
        <w:t>个月计算；保险期间在</w:t>
      </w:r>
      <w:r>
        <w:rPr>
          <w:rFonts w:ascii="宋体"/>
          <w:szCs w:val="21"/>
        </w:rPr>
        <w:t>2</w:t>
      </w:r>
      <w:r>
        <w:rPr>
          <w:rFonts w:hint="eastAsia" w:ascii="宋体"/>
          <w:szCs w:val="21"/>
        </w:rPr>
        <w:t>个月</w:t>
      </w:r>
      <w:r>
        <w:rPr>
          <w:rFonts w:hint="eastAsia" w:ascii="宋体"/>
          <w:szCs w:val="21"/>
          <w:lang w:val="en-US" w:eastAsia="zh-Hans"/>
        </w:rPr>
        <w:t>以</w:t>
      </w:r>
      <w:r>
        <w:rPr>
          <w:rFonts w:hint="eastAsia" w:ascii="宋体"/>
          <w:szCs w:val="21"/>
        </w:rPr>
        <w:t>上，不足</w:t>
      </w:r>
      <w:r>
        <w:rPr>
          <w:rFonts w:ascii="宋体"/>
          <w:szCs w:val="21"/>
        </w:rPr>
        <w:t>3</w:t>
      </w:r>
      <w:r>
        <w:rPr>
          <w:rFonts w:hint="eastAsia" w:ascii="宋体"/>
          <w:szCs w:val="21"/>
        </w:rPr>
        <w:t>个月的，按</w:t>
      </w:r>
      <w:r>
        <w:rPr>
          <w:rFonts w:ascii="宋体"/>
          <w:szCs w:val="21"/>
        </w:rPr>
        <w:t>3</w:t>
      </w:r>
      <w:r>
        <w:rPr>
          <w:rFonts w:hint="eastAsia" w:ascii="宋体"/>
          <w:szCs w:val="21"/>
        </w:rPr>
        <w:t>个月计算，依此类推；</w:t>
      </w:r>
    </w:p>
    <w:p>
      <w:pPr>
        <w:spacing w:after="156" w:afterLines="50"/>
        <w:ind w:firstLine="403"/>
        <w:rPr>
          <w:rFonts w:ascii="宋体"/>
          <w:bCs/>
          <w:szCs w:val="21"/>
        </w:rPr>
      </w:pPr>
      <w:r>
        <w:rPr>
          <w:rFonts w:ascii="宋体"/>
          <w:szCs w:val="21"/>
        </w:rPr>
        <w:t>2</w:t>
      </w:r>
      <w:r>
        <w:rPr>
          <w:rFonts w:hint="eastAsia" w:ascii="宋体"/>
          <w:szCs w:val="21"/>
        </w:rPr>
        <w:t>、保险期间不足</w:t>
      </w:r>
      <w:r>
        <w:rPr>
          <w:rFonts w:ascii="宋体"/>
          <w:szCs w:val="21"/>
        </w:rPr>
        <w:t>1</w:t>
      </w:r>
      <w:r>
        <w:rPr>
          <w:rFonts w:hint="eastAsia" w:ascii="宋体"/>
          <w:szCs w:val="21"/>
        </w:rPr>
        <w:t>个月的，按</w:t>
      </w:r>
      <w:r>
        <w:rPr>
          <w:rFonts w:ascii="宋体"/>
          <w:szCs w:val="21"/>
        </w:rPr>
        <w:t>1</w:t>
      </w:r>
      <w:r>
        <w:rPr>
          <w:rFonts w:hint="eastAsia" w:ascii="宋体"/>
          <w:szCs w:val="21"/>
        </w:rPr>
        <w:t>个月费率计算。</w:t>
      </w:r>
    </w:p>
    <w:p>
      <w:pPr>
        <w:pStyle w:val="45"/>
        <w:ind w:firstLine="420" w:firstLineChars="200"/>
        <w:rPr>
          <w:rFonts w:ascii="宋体" w:hAnsi="宋体" w:cs="宋体"/>
          <w:color w:val="000000"/>
          <w:szCs w:val="21"/>
        </w:rPr>
      </w:pP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00000000" w:usb1="00000000" w:usb2="00000000" w:usb3="00000000" w:csb0="0016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" name="文本框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75" o:spid="_x0000_s1026" o:spt="202" type="#_x0000_t202" style="position:absolute;left:0pt;margin-top:0pt;height:10.35pt;width:4.55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M+L3UTQAAAA&#10;AgEAAA8AAAAAAAAAAQAgAAAAOAAAAGRycy9kb3ducmV2LnhtbFBLAQIUABQAAAAIAIdO4kAd0fDv&#10;DwIAAA8EAAAOAAAAAAAAAAEAIAAAADUBAABkcnMvZTJvRG9jLnhtbFBLBQYAAAAABgAGAFkBAAC2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jc w:val="center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7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WAAAAZHJzL1BLAQIUABQAAAAIAIdO4kDOqXm5zwAAAAUBAAAPAAAA&#10;AAAAAAEAIAAAADgAAABkcnMvZG93bnJldi54bWxQSwECFAAUAAAACACHTuJA4DTy4wgCAAASBAAA&#10;DgAAAAAAAAABACAAAAA0AQAAZHJzL2Uyb0RvYy54bWxQSwUGAAAAAAYABgBZAQAAr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1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hN2M5YjFmMzE2ZWU5YmM2OWUyMGI0M2U5YWY0YjQifQ=="/>
  </w:docVars>
  <w:rsids>
    <w:rsidRoot w:val="006F7A82"/>
    <w:rsid w:val="00002830"/>
    <w:rsid w:val="0005633E"/>
    <w:rsid w:val="00056B05"/>
    <w:rsid w:val="00066560"/>
    <w:rsid w:val="00072DE7"/>
    <w:rsid w:val="00091940"/>
    <w:rsid w:val="000B71C9"/>
    <w:rsid w:val="000E222C"/>
    <w:rsid w:val="000F57B3"/>
    <w:rsid w:val="00176856"/>
    <w:rsid w:val="00193108"/>
    <w:rsid w:val="00197DC0"/>
    <w:rsid w:val="001D2C29"/>
    <w:rsid w:val="002246EB"/>
    <w:rsid w:val="00251A2F"/>
    <w:rsid w:val="002652BB"/>
    <w:rsid w:val="00283C90"/>
    <w:rsid w:val="00285F41"/>
    <w:rsid w:val="00291406"/>
    <w:rsid w:val="002B072C"/>
    <w:rsid w:val="002B34FD"/>
    <w:rsid w:val="002F10C3"/>
    <w:rsid w:val="002F7ACB"/>
    <w:rsid w:val="0036290A"/>
    <w:rsid w:val="003F4BFE"/>
    <w:rsid w:val="003F7178"/>
    <w:rsid w:val="004050B5"/>
    <w:rsid w:val="00470B1B"/>
    <w:rsid w:val="004B263C"/>
    <w:rsid w:val="004B3C22"/>
    <w:rsid w:val="004D0DC7"/>
    <w:rsid w:val="004D5737"/>
    <w:rsid w:val="00505D2F"/>
    <w:rsid w:val="00534B28"/>
    <w:rsid w:val="005A7127"/>
    <w:rsid w:val="005C6B71"/>
    <w:rsid w:val="005C7406"/>
    <w:rsid w:val="005D53E1"/>
    <w:rsid w:val="006235A6"/>
    <w:rsid w:val="0063468F"/>
    <w:rsid w:val="00651DD8"/>
    <w:rsid w:val="006812DE"/>
    <w:rsid w:val="00686E34"/>
    <w:rsid w:val="00687847"/>
    <w:rsid w:val="00694BF9"/>
    <w:rsid w:val="006A12D8"/>
    <w:rsid w:val="006B20FF"/>
    <w:rsid w:val="006D6905"/>
    <w:rsid w:val="006F7A82"/>
    <w:rsid w:val="00785D80"/>
    <w:rsid w:val="007C41A9"/>
    <w:rsid w:val="008206D4"/>
    <w:rsid w:val="00836230"/>
    <w:rsid w:val="00841CC8"/>
    <w:rsid w:val="0086471D"/>
    <w:rsid w:val="00883B3F"/>
    <w:rsid w:val="00894113"/>
    <w:rsid w:val="009044EA"/>
    <w:rsid w:val="009370A9"/>
    <w:rsid w:val="00973D46"/>
    <w:rsid w:val="00984F52"/>
    <w:rsid w:val="009C16AA"/>
    <w:rsid w:val="00A14225"/>
    <w:rsid w:val="00A20F11"/>
    <w:rsid w:val="00A3366D"/>
    <w:rsid w:val="00A44427"/>
    <w:rsid w:val="00A8383B"/>
    <w:rsid w:val="00AA67E2"/>
    <w:rsid w:val="00AD2439"/>
    <w:rsid w:val="00AD69EE"/>
    <w:rsid w:val="00B47F52"/>
    <w:rsid w:val="00B54642"/>
    <w:rsid w:val="00B601D6"/>
    <w:rsid w:val="00B861D7"/>
    <w:rsid w:val="00C24D33"/>
    <w:rsid w:val="00C33244"/>
    <w:rsid w:val="00C37E38"/>
    <w:rsid w:val="00C701D0"/>
    <w:rsid w:val="00C733BA"/>
    <w:rsid w:val="00CE215E"/>
    <w:rsid w:val="00CE5630"/>
    <w:rsid w:val="00CE6E77"/>
    <w:rsid w:val="00D42CB6"/>
    <w:rsid w:val="00D47837"/>
    <w:rsid w:val="00D512C8"/>
    <w:rsid w:val="00D71443"/>
    <w:rsid w:val="00DE5B22"/>
    <w:rsid w:val="00E26EC6"/>
    <w:rsid w:val="00E91101"/>
    <w:rsid w:val="00EA715F"/>
    <w:rsid w:val="00ED3B12"/>
    <w:rsid w:val="00ED5F4A"/>
    <w:rsid w:val="00F30515"/>
    <w:rsid w:val="00F35FCF"/>
    <w:rsid w:val="00F3721A"/>
    <w:rsid w:val="00F4283F"/>
    <w:rsid w:val="00F971AA"/>
    <w:rsid w:val="00FC0CEF"/>
    <w:rsid w:val="00FD45B0"/>
    <w:rsid w:val="00FF7BAE"/>
    <w:rsid w:val="1069441A"/>
    <w:rsid w:val="14020ADB"/>
    <w:rsid w:val="1A78BB5A"/>
    <w:rsid w:val="1A902A58"/>
    <w:rsid w:val="322D6D31"/>
    <w:rsid w:val="38EA253C"/>
    <w:rsid w:val="40310E03"/>
    <w:rsid w:val="469349A7"/>
    <w:rsid w:val="4D372D26"/>
    <w:rsid w:val="59D27BE9"/>
    <w:rsid w:val="5ECF127F"/>
    <w:rsid w:val="62350090"/>
    <w:rsid w:val="76F70904"/>
    <w:rsid w:val="7F4E9318"/>
    <w:rsid w:val="7F7F6E38"/>
    <w:rsid w:val="7FBDC8D1"/>
    <w:rsid w:val="7FF70807"/>
    <w:rsid w:val="A7D56FFE"/>
    <w:rsid w:val="FE7F2F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tabs>
        <w:tab w:val="left" w:pos="720"/>
      </w:tabs>
      <w:adjustRightInd w:val="0"/>
      <w:jc w:val="left"/>
      <w:textAlignment w:val="baseline"/>
      <w:outlineLvl w:val="2"/>
    </w:pPr>
    <w:rPr>
      <w:rFonts w:ascii="宋体" w:hAnsi="宋体"/>
      <w:b/>
      <w:bCs/>
      <w:sz w:val="24"/>
      <w:szCs w:val="24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qFormat/>
    <w:uiPriority w:val="0"/>
    <w:pPr>
      <w:ind w:left="2520" w:leftChars="1200"/>
    </w:pPr>
  </w:style>
  <w:style w:type="paragraph" w:styleId="6">
    <w:name w:val="annotation text"/>
    <w:basedOn w:val="1"/>
    <w:link w:val="67"/>
    <w:semiHidden/>
    <w:unhideWhenUsed/>
    <w:qFormat/>
    <w:uiPriority w:val="99"/>
    <w:pPr>
      <w:jc w:val="left"/>
    </w:pPr>
  </w:style>
  <w:style w:type="paragraph" w:styleId="7">
    <w:name w:val="Body Text"/>
    <w:basedOn w:val="1"/>
    <w:link w:val="52"/>
    <w:qFormat/>
    <w:uiPriority w:val="0"/>
    <w:pPr>
      <w:spacing w:after="120"/>
    </w:pPr>
  </w:style>
  <w:style w:type="paragraph" w:styleId="8">
    <w:name w:val="Body Text Indent"/>
    <w:basedOn w:val="1"/>
    <w:link w:val="47"/>
    <w:qFormat/>
    <w:uiPriority w:val="0"/>
    <w:pPr>
      <w:spacing w:line="360" w:lineRule="auto"/>
      <w:ind w:firstLine="480" w:firstLineChars="200"/>
    </w:pPr>
    <w:rPr>
      <w:rFonts w:ascii="仿宋_GB2312" w:eastAsia="仿宋_GB2312"/>
      <w:kern w:val="0"/>
      <w:sz w:val="24"/>
    </w:rPr>
  </w:style>
  <w:style w:type="paragraph" w:styleId="9">
    <w:name w:val="Block Text"/>
    <w:basedOn w:val="1"/>
    <w:qFormat/>
    <w:uiPriority w:val="0"/>
    <w:pPr>
      <w:spacing w:before="120"/>
      <w:ind w:left="79" w:right="57"/>
    </w:pPr>
    <w:rPr>
      <w:rFonts w:ascii="宋体" w:hAnsi="宋体"/>
      <w:szCs w:val="20"/>
    </w:rPr>
  </w:style>
  <w:style w:type="paragraph" w:styleId="10">
    <w:name w:val="toc 5"/>
    <w:basedOn w:val="1"/>
    <w:next w:val="1"/>
    <w:qFormat/>
    <w:uiPriority w:val="0"/>
    <w:pPr>
      <w:ind w:left="1680" w:leftChars="800"/>
    </w:pPr>
  </w:style>
  <w:style w:type="paragraph" w:styleId="11">
    <w:name w:val="toc 3"/>
    <w:basedOn w:val="1"/>
    <w:next w:val="1"/>
    <w:qFormat/>
    <w:uiPriority w:val="0"/>
    <w:pPr>
      <w:widowControl/>
      <w:tabs>
        <w:tab w:val="left" w:pos="1418"/>
        <w:tab w:val="right" w:leader="dot" w:pos="8296"/>
      </w:tabs>
      <w:ind w:left="848" w:leftChars="303" w:firstLine="3" w:firstLineChars="1"/>
      <w:jc w:val="left"/>
    </w:pPr>
    <w:rPr>
      <w:rFonts w:ascii="宋体" w:hAnsi="宋体" w:cs="宋体"/>
      <w:kern w:val="0"/>
      <w:sz w:val="28"/>
      <w:szCs w:val="24"/>
    </w:rPr>
  </w:style>
  <w:style w:type="paragraph" w:styleId="12">
    <w:name w:val="Plain Text"/>
    <w:basedOn w:val="1"/>
    <w:link w:val="57"/>
    <w:qFormat/>
    <w:uiPriority w:val="0"/>
    <w:rPr>
      <w:rFonts w:ascii="宋体" w:hAnsi="Courier New"/>
      <w:szCs w:val="20"/>
    </w:rPr>
  </w:style>
  <w:style w:type="paragraph" w:styleId="13">
    <w:name w:val="toc 8"/>
    <w:basedOn w:val="1"/>
    <w:next w:val="1"/>
    <w:qFormat/>
    <w:uiPriority w:val="0"/>
    <w:pPr>
      <w:ind w:left="2940" w:leftChars="1400"/>
    </w:pPr>
  </w:style>
  <w:style w:type="paragraph" w:styleId="14">
    <w:name w:val="Body Text Indent 2"/>
    <w:basedOn w:val="1"/>
    <w:link w:val="46"/>
    <w:qFormat/>
    <w:uiPriority w:val="0"/>
    <w:pPr>
      <w:ind w:firstLine="422"/>
    </w:pPr>
    <w:rPr>
      <w:rFonts w:ascii="仿宋_GB2312" w:eastAsia="仿宋_GB2312"/>
      <w:b/>
      <w:kern w:val="0"/>
      <w:szCs w:val="20"/>
    </w:rPr>
  </w:style>
  <w:style w:type="paragraph" w:styleId="15">
    <w:name w:val="Balloon Text"/>
    <w:basedOn w:val="1"/>
    <w:link w:val="66"/>
    <w:semiHidden/>
    <w:unhideWhenUsed/>
    <w:qFormat/>
    <w:uiPriority w:val="99"/>
    <w:rPr>
      <w:sz w:val="18"/>
      <w:szCs w:val="18"/>
    </w:rPr>
  </w:style>
  <w:style w:type="paragraph" w:styleId="16">
    <w:name w:val="footer"/>
    <w:basedOn w:val="1"/>
    <w:link w:val="35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qFormat/>
    <w:uiPriority w:val="0"/>
    <w:pPr>
      <w:widowControl/>
      <w:jc w:val="left"/>
    </w:pPr>
    <w:rPr>
      <w:rFonts w:ascii="宋体" w:hAnsi="宋体" w:cs="宋体"/>
      <w:kern w:val="0"/>
      <w:sz w:val="28"/>
      <w:szCs w:val="24"/>
    </w:rPr>
  </w:style>
  <w:style w:type="paragraph" w:styleId="19">
    <w:name w:val="toc 4"/>
    <w:basedOn w:val="1"/>
    <w:next w:val="1"/>
    <w:qFormat/>
    <w:uiPriority w:val="0"/>
    <w:pPr>
      <w:ind w:left="1260" w:leftChars="600"/>
    </w:pPr>
  </w:style>
  <w:style w:type="paragraph" w:styleId="20">
    <w:name w:val="Subtitle"/>
    <w:basedOn w:val="1"/>
    <w:next w:val="1"/>
    <w:link w:val="39"/>
    <w:qFormat/>
    <w:uiPriority w:val="11"/>
    <w:pPr>
      <w:spacing w:before="240" w:after="60" w:line="312" w:lineRule="auto"/>
      <w:jc w:val="center"/>
      <w:outlineLvl w:val="1"/>
    </w:pPr>
    <w:rPr>
      <w:rFonts w:ascii="Cambria" w:hAnsi="Cambria" w:eastAsiaTheme="minorEastAsia"/>
      <w:b/>
      <w:bCs/>
      <w:kern w:val="28"/>
      <w:sz w:val="32"/>
      <w:szCs w:val="32"/>
    </w:rPr>
  </w:style>
  <w:style w:type="paragraph" w:styleId="21">
    <w:name w:val="toc 6"/>
    <w:basedOn w:val="1"/>
    <w:next w:val="1"/>
    <w:qFormat/>
    <w:uiPriority w:val="0"/>
    <w:pPr>
      <w:ind w:left="2100" w:leftChars="1000"/>
    </w:pPr>
  </w:style>
  <w:style w:type="paragraph" w:styleId="22">
    <w:name w:val="Body Text Indent 3"/>
    <w:basedOn w:val="1"/>
    <w:link w:val="5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toc 2"/>
    <w:basedOn w:val="1"/>
    <w:next w:val="1"/>
    <w:qFormat/>
    <w:uiPriority w:val="0"/>
    <w:pPr>
      <w:widowControl/>
      <w:tabs>
        <w:tab w:val="left" w:pos="851"/>
        <w:tab w:val="right" w:leader="dot" w:pos="8296"/>
      </w:tabs>
      <w:ind w:left="560" w:leftChars="200"/>
      <w:jc w:val="left"/>
    </w:pPr>
    <w:rPr>
      <w:rFonts w:ascii="宋体" w:hAnsi="宋体" w:cs="宋体"/>
      <w:kern w:val="0"/>
      <w:sz w:val="28"/>
      <w:szCs w:val="24"/>
    </w:rPr>
  </w:style>
  <w:style w:type="paragraph" w:styleId="24">
    <w:name w:val="toc 9"/>
    <w:basedOn w:val="1"/>
    <w:next w:val="1"/>
    <w:qFormat/>
    <w:uiPriority w:val="0"/>
    <w:pPr>
      <w:ind w:left="3360" w:leftChars="1600"/>
    </w:pPr>
  </w:style>
  <w:style w:type="paragraph" w:styleId="2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26">
    <w:name w:val="Title"/>
    <w:basedOn w:val="2"/>
    <w:next w:val="1"/>
    <w:link w:val="40"/>
    <w:qFormat/>
    <w:uiPriority w:val="0"/>
    <w:pPr>
      <w:spacing w:before="240" w:after="60"/>
      <w:jc w:val="center"/>
    </w:pPr>
    <w:rPr>
      <w:rFonts w:ascii="Cambria" w:hAnsi="Cambria"/>
      <w:kern w:val="2"/>
      <w:sz w:val="32"/>
      <w:szCs w:val="32"/>
    </w:rPr>
  </w:style>
  <w:style w:type="paragraph" w:styleId="27">
    <w:name w:val="annotation subject"/>
    <w:basedOn w:val="6"/>
    <w:next w:val="6"/>
    <w:link w:val="68"/>
    <w:semiHidden/>
    <w:unhideWhenUsed/>
    <w:qFormat/>
    <w:uiPriority w:val="99"/>
    <w:rPr>
      <w:b/>
      <w:bCs/>
    </w:rPr>
  </w:style>
  <w:style w:type="table" w:styleId="29">
    <w:name w:val="Table Grid"/>
    <w:basedOn w:val="28"/>
    <w:qFormat/>
    <w:uiPriority w:val="59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1">
    <w:name w:val="page number"/>
    <w:basedOn w:val="30"/>
    <w:qFormat/>
    <w:uiPriority w:val="0"/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basedOn w:val="30"/>
    <w:semiHidden/>
    <w:unhideWhenUsed/>
    <w:qFormat/>
    <w:uiPriority w:val="99"/>
    <w:rPr>
      <w:sz w:val="21"/>
      <w:szCs w:val="21"/>
    </w:rPr>
  </w:style>
  <w:style w:type="character" w:customStyle="1" w:styleId="34">
    <w:name w:val="页眉 字符"/>
    <w:basedOn w:val="30"/>
    <w:link w:val="17"/>
    <w:qFormat/>
    <w:uiPriority w:val="99"/>
    <w:rPr>
      <w:sz w:val="18"/>
      <w:szCs w:val="18"/>
    </w:rPr>
  </w:style>
  <w:style w:type="character" w:customStyle="1" w:styleId="35">
    <w:name w:val="页脚 字符"/>
    <w:basedOn w:val="30"/>
    <w:link w:val="16"/>
    <w:semiHidden/>
    <w:qFormat/>
    <w:uiPriority w:val="99"/>
    <w:rPr>
      <w:sz w:val="18"/>
      <w:szCs w:val="18"/>
    </w:rPr>
  </w:style>
  <w:style w:type="character" w:customStyle="1" w:styleId="36">
    <w:name w:val="标题 1 字符"/>
    <w:basedOn w:val="3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37">
    <w:name w:val="标题 2 字符"/>
    <w:basedOn w:val="30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38">
    <w:name w:val="标题 3 字符"/>
    <w:basedOn w:val="30"/>
    <w:link w:val="4"/>
    <w:qFormat/>
    <w:uiPriority w:val="0"/>
    <w:rPr>
      <w:rFonts w:ascii="宋体" w:hAnsi="宋体" w:eastAsia="宋体" w:cs="Times New Roman"/>
      <w:b/>
      <w:bCs/>
      <w:sz w:val="24"/>
      <w:szCs w:val="24"/>
    </w:rPr>
  </w:style>
  <w:style w:type="character" w:customStyle="1" w:styleId="39">
    <w:name w:val="副标题 字符"/>
    <w:basedOn w:val="30"/>
    <w:link w:val="20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40">
    <w:name w:val="标题 字符"/>
    <w:basedOn w:val="30"/>
    <w:link w:val="26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41">
    <w:name w:val="tb"/>
    <w:basedOn w:val="30"/>
    <w:qFormat/>
    <w:uiPriority w:val="0"/>
  </w:style>
  <w:style w:type="character" w:customStyle="1" w:styleId="42">
    <w:name w:val="apple-style-span"/>
    <w:basedOn w:val="30"/>
    <w:qFormat/>
    <w:uiPriority w:val="0"/>
  </w:style>
  <w:style w:type="character" w:customStyle="1" w:styleId="43">
    <w:name w:val="tf1"/>
    <w:basedOn w:val="30"/>
    <w:qFormat/>
    <w:uiPriority w:val="0"/>
    <w:rPr>
      <w:spacing w:val="300"/>
      <w:sz w:val="18"/>
      <w:szCs w:val="18"/>
    </w:rPr>
  </w:style>
  <w:style w:type="paragraph" w:customStyle="1" w:styleId="44">
    <w:name w:val="注解（小四，楷体）"/>
    <w:basedOn w:val="1"/>
    <w:qFormat/>
    <w:uiPriority w:val="0"/>
    <w:pPr>
      <w:widowControl/>
      <w:contextualSpacing/>
      <w:jc w:val="left"/>
    </w:pPr>
    <w:rPr>
      <w:rFonts w:ascii="楷体" w:hAnsi="楷体" w:eastAsia="楷体"/>
      <w:kern w:val="0"/>
      <w:sz w:val="24"/>
      <w:szCs w:val="24"/>
    </w:rPr>
  </w:style>
  <w:style w:type="paragraph" w:styleId="45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46">
    <w:name w:val="正文文本缩进 2 字符"/>
    <w:basedOn w:val="30"/>
    <w:link w:val="14"/>
    <w:qFormat/>
    <w:uiPriority w:val="0"/>
    <w:rPr>
      <w:rFonts w:ascii="仿宋_GB2312" w:hAnsi="Times New Roman" w:eastAsia="仿宋_GB2312" w:cs="Times New Roman"/>
      <w:b/>
      <w:kern w:val="0"/>
      <w:szCs w:val="20"/>
    </w:rPr>
  </w:style>
  <w:style w:type="character" w:customStyle="1" w:styleId="47">
    <w:name w:val="正文文本缩进 字符"/>
    <w:basedOn w:val="30"/>
    <w:link w:val="8"/>
    <w:qFormat/>
    <w:uiPriority w:val="0"/>
    <w:rPr>
      <w:rFonts w:ascii="仿宋_GB2312" w:hAnsi="Times New Roman" w:eastAsia="仿宋_GB2312" w:cs="Times New Roman"/>
      <w:kern w:val="0"/>
      <w:sz w:val="24"/>
    </w:rPr>
  </w:style>
  <w:style w:type="paragraph" w:customStyle="1" w:styleId="48">
    <w:name w:val="a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9">
    <w:name w:val="表格（小四，宋体）"/>
    <w:basedOn w:val="1"/>
    <w:qFormat/>
    <w:uiPriority w:val="0"/>
    <w:pPr>
      <w:widowControl/>
      <w:contextualSpacing/>
      <w:jc w:val="left"/>
    </w:pPr>
    <w:rPr>
      <w:rFonts w:ascii="宋体" w:hAnsi="宋体"/>
      <w:kern w:val="0"/>
      <w:sz w:val="24"/>
      <w:szCs w:val="24"/>
    </w:rPr>
  </w:style>
  <w:style w:type="paragraph" w:customStyle="1" w:styleId="50">
    <w:name w:val="正文文本 21"/>
    <w:basedOn w:val="1"/>
    <w:qFormat/>
    <w:uiPriority w:val="0"/>
    <w:pPr>
      <w:adjustRightInd w:val="0"/>
      <w:ind w:firstLine="552"/>
      <w:jc w:val="left"/>
      <w:textAlignment w:val="baseline"/>
    </w:pPr>
    <w:rPr>
      <w:rFonts w:ascii="宋体"/>
      <w:kern w:val="0"/>
      <w:sz w:val="28"/>
      <w:szCs w:val="20"/>
    </w:rPr>
  </w:style>
  <w:style w:type="character" w:customStyle="1" w:styleId="51">
    <w:name w:val="正文文本缩进 3 字符"/>
    <w:basedOn w:val="30"/>
    <w:link w:val="22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52">
    <w:name w:val="正文文本 字符"/>
    <w:basedOn w:val="30"/>
    <w:link w:val="7"/>
    <w:qFormat/>
    <w:uiPriority w:val="0"/>
    <w:rPr>
      <w:rFonts w:ascii="Times New Roman" w:hAnsi="Times New Roman" w:eastAsia="宋体" w:cs="Times New Roman"/>
    </w:rPr>
  </w:style>
  <w:style w:type="paragraph" w:customStyle="1" w:styleId="53">
    <w:name w:val="正文文本 211"/>
    <w:basedOn w:val="1"/>
    <w:qFormat/>
    <w:uiPriority w:val="0"/>
    <w:pPr>
      <w:adjustRightInd w:val="0"/>
      <w:ind w:firstLine="552"/>
      <w:jc w:val="left"/>
      <w:textAlignment w:val="baseline"/>
    </w:pPr>
    <w:rPr>
      <w:rFonts w:ascii="宋体"/>
      <w:kern w:val="0"/>
      <w:sz w:val="28"/>
      <w:szCs w:val="20"/>
    </w:rPr>
  </w:style>
  <w:style w:type="paragraph" w:customStyle="1" w:styleId="54">
    <w:name w:val="正文文本 22"/>
    <w:basedOn w:val="1"/>
    <w:qFormat/>
    <w:uiPriority w:val="0"/>
    <w:pPr>
      <w:adjustRightInd w:val="0"/>
      <w:ind w:firstLine="552"/>
      <w:jc w:val="left"/>
      <w:textAlignment w:val="baseline"/>
    </w:pPr>
    <w:rPr>
      <w:rFonts w:ascii="宋体"/>
      <w:kern w:val="0"/>
      <w:sz w:val="28"/>
      <w:szCs w:val="20"/>
    </w:rPr>
  </w:style>
  <w:style w:type="paragraph" w:customStyle="1" w:styleId="55">
    <w:name w:val="无间隔1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56">
    <w:name w:val="标题 Char1"/>
    <w:basedOn w:val="30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57">
    <w:name w:val="纯文本 字符"/>
    <w:basedOn w:val="30"/>
    <w:link w:val="12"/>
    <w:qFormat/>
    <w:uiPriority w:val="0"/>
    <w:rPr>
      <w:rFonts w:ascii="宋体" w:hAnsi="Courier New" w:eastAsia="宋体" w:cs="Times New Roman"/>
      <w:szCs w:val="20"/>
    </w:rPr>
  </w:style>
  <w:style w:type="paragraph" w:customStyle="1" w:styleId="58">
    <w:name w:val="TOC 标题1"/>
    <w:basedOn w:val="2"/>
    <w:next w:val="1"/>
    <w:unhideWhenUsed/>
    <w:qFormat/>
    <w:uiPriority w:val="39"/>
    <w:p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59">
    <w:name w:val="副标题 Char1"/>
    <w:basedOn w:val="30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customStyle="1" w:styleId="60">
    <w:name w:val="列出段落1"/>
    <w:basedOn w:val="1"/>
    <w:qFormat/>
    <w:uiPriority w:val="34"/>
    <w:pPr>
      <w:ind w:firstLine="420" w:firstLineChars="200"/>
    </w:pPr>
  </w:style>
  <w:style w:type="paragraph" w:customStyle="1" w:styleId="61">
    <w:name w:val="条款大标题"/>
    <w:basedOn w:val="26"/>
    <w:link w:val="65"/>
    <w:qFormat/>
    <w:uiPriority w:val="0"/>
    <w:pPr>
      <w:snapToGrid w:val="0"/>
    </w:pPr>
  </w:style>
  <w:style w:type="paragraph" w:customStyle="1" w:styleId="62">
    <w:name w:val="条款标题"/>
    <w:basedOn w:val="1"/>
    <w:qFormat/>
    <w:uiPriority w:val="0"/>
    <w:pPr>
      <w:tabs>
        <w:tab w:val="left" w:pos="840"/>
      </w:tabs>
    </w:pPr>
    <w:rPr>
      <w:b/>
    </w:rPr>
  </w:style>
  <w:style w:type="paragraph" w:customStyle="1" w:styleId="63">
    <w:name w:val="条款正文"/>
    <w:basedOn w:val="1"/>
    <w:qFormat/>
    <w:uiPriority w:val="0"/>
    <w:pPr>
      <w:adjustRightInd w:val="0"/>
      <w:snapToGrid w:val="0"/>
      <w:ind w:left="840" w:leftChars="400" w:firstLine="420" w:firstLineChars="200"/>
    </w:pPr>
    <w:rPr>
      <w:szCs w:val="24"/>
    </w:rPr>
  </w:style>
  <w:style w:type="paragraph" w:styleId="64">
    <w:name w:val="List Paragraph"/>
    <w:basedOn w:val="1"/>
    <w:qFormat/>
    <w:uiPriority w:val="34"/>
    <w:pPr>
      <w:ind w:firstLine="420" w:firstLineChars="200"/>
    </w:pPr>
  </w:style>
  <w:style w:type="character" w:customStyle="1" w:styleId="65">
    <w:name w:val="条款大标题 Char"/>
    <w:basedOn w:val="30"/>
    <w:link w:val="61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66">
    <w:name w:val="批注框文本 字符"/>
    <w:basedOn w:val="30"/>
    <w:link w:val="15"/>
    <w:semiHidden/>
    <w:qFormat/>
    <w:uiPriority w:val="99"/>
    <w:rPr>
      <w:kern w:val="2"/>
      <w:sz w:val="18"/>
      <w:szCs w:val="18"/>
    </w:rPr>
  </w:style>
  <w:style w:type="character" w:customStyle="1" w:styleId="67">
    <w:name w:val="批注文字 字符"/>
    <w:basedOn w:val="30"/>
    <w:link w:val="6"/>
    <w:semiHidden/>
    <w:qFormat/>
    <w:uiPriority w:val="99"/>
    <w:rPr>
      <w:kern w:val="2"/>
      <w:sz w:val="21"/>
      <w:szCs w:val="22"/>
    </w:rPr>
  </w:style>
  <w:style w:type="character" w:customStyle="1" w:styleId="68">
    <w:name w:val="批注主题 字符"/>
    <w:basedOn w:val="67"/>
    <w:link w:val="27"/>
    <w:semiHidden/>
    <w:qFormat/>
    <w:uiPriority w:val="99"/>
    <w:rPr>
      <w:b/>
      <w:bCs/>
      <w:kern w:val="2"/>
      <w:sz w:val="21"/>
      <w:szCs w:val="22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842</Words>
  <Characters>1080</Characters>
  <Lines>8</Lines>
  <Paragraphs>2</Paragraphs>
  <TotalTime>1</TotalTime>
  <ScaleCrop>false</ScaleCrop>
  <LinksUpToDate>false</LinksUpToDate>
  <CharactersWithSpaces>1080</CharactersWithSpaces>
  <Application>WPS Office_4.2.2.6882_F1E327BC-269C-435d-A152-05C5408002CA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2022-06-10T09:53:00Z</dcterms:created>
  <dc:creator>0000</dc:creator>
  <cp:lastModifiedBy>Zixuan Shen</cp:lastModifiedBy>
  <cp:lastPrinted>2013-12-28T09:47:00Z</cp:lastPrinted>
  <dcterms:modified xsi:type="dcterms:W3CDTF">2022-06-29T09:41:50Z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2052-4.2.2.6882</vt:lpwstr>
  </property>
  <property fmtid="{D5CDD505-2E9C-101B-9397-08002B2CF9AE}" pid="3" name="ICV">
    <vt:lpwstr>AF01116FE95248AEBFAC72778C013AFD</vt:lpwstr>
  </property>
</Properties>
</file>