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华农财产保险股份有限公司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交通工具意外伤害保险B款费率表</w:t>
      </w:r>
    </w:p>
    <w:p>
      <w:pPr>
        <w:spacing w:after="156" w:afterLines="50" w:line="276" w:lineRule="auto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一、年基准费率</w:t>
      </w:r>
    </w:p>
    <w:tbl>
      <w:tblPr>
        <w:tblStyle w:val="8"/>
        <w:tblW w:w="9013" w:type="dxa"/>
        <w:tblInd w:w="-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8"/>
        <w:gridCol w:w="1900"/>
        <w:gridCol w:w="2562"/>
        <w:gridCol w:w="2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48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保险责任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飞机（</w:t>
            </w:r>
            <w:r>
              <w:rPr>
                <w:rFonts w:hint="eastAsia"/>
              </w:rPr>
              <w:t>民航客机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256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火车</w:t>
            </w:r>
            <w:r>
              <w:rPr>
                <w:rFonts w:hint="eastAsia" w:ascii="宋体" w:hAnsi="宋体"/>
                <w:szCs w:val="21"/>
              </w:rPr>
              <w:t>（列车、轻轨、地铁）</w:t>
            </w:r>
            <w:r>
              <w:rPr>
                <w:rFonts w:hint="eastAsia"/>
                <w:b/>
                <w:bCs/>
              </w:rPr>
              <w:t>/轮船</w:t>
            </w:r>
            <w:r>
              <w:rPr>
                <w:rFonts w:hint="eastAsia" w:ascii="宋体" w:hAnsi="宋体"/>
                <w:szCs w:val="21"/>
              </w:rPr>
              <w:t>（客船、渡船、游船）</w:t>
            </w:r>
          </w:p>
        </w:tc>
        <w:tc>
          <w:tcPr>
            <w:tcW w:w="206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汽车（</w:t>
            </w:r>
            <w:r>
              <w:rPr>
                <w:rFonts w:hint="eastAsia" w:ascii="宋体" w:hAnsi="宋体"/>
                <w:szCs w:val="21"/>
              </w:rPr>
              <w:t>公共汽车、公共电车、出租车</w:t>
            </w:r>
            <w:r>
              <w:rPr>
                <w:rFonts w:hint="eastAsia" w:ascii="宋体" w:hAnsi="宋体"/>
                <w:b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意外伤害保险责任（含身故、伤残）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0.04‰</w:t>
            </w:r>
          </w:p>
        </w:tc>
        <w:tc>
          <w:tcPr>
            <w:tcW w:w="256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0.06‰</w:t>
            </w:r>
          </w:p>
        </w:tc>
        <w:tc>
          <w:tcPr>
            <w:tcW w:w="2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0.2‰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4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意外</w:t>
            </w:r>
            <w:r>
              <w:rPr>
                <w:rFonts w:hint="eastAsia"/>
                <w:lang w:val="en-US" w:eastAsia="zh-CN"/>
              </w:rPr>
              <w:t>伤害</w:t>
            </w:r>
            <w:r>
              <w:rPr>
                <w:rFonts w:hint="eastAsia"/>
              </w:rPr>
              <w:t>医疗保险责任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0.015‰</w:t>
            </w:r>
          </w:p>
        </w:tc>
        <w:tc>
          <w:tcPr>
            <w:tcW w:w="256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0.3‰</w:t>
            </w:r>
          </w:p>
        </w:tc>
        <w:tc>
          <w:tcPr>
            <w:tcW w:w="2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1.5‰</w:t>
            </w:r>
          </w:p>
        </w:tc>
      </w:tr>
    </w:tbl>
    <w:p/>
    <w:p/>
    <w:p>
      <w:r>
        <w:rPr>
          <w:rFonts w:hint="eastAsia"/>
          <w:b/>
          <w:bCs/>
        </w:rPr>
        <w:t xml:space="preserve">二、调整系数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（一）适用于意外伤害保险责任（含身故、伤残）和意外</w:t>
      </w:r>
      <w:r>
        <w:rPr>
          <w:rFonts w:hint="eastAsia"/>
          <w:b/>
          <w:bCs/>
          <w:lang w:val="en-US" w:eastAsia="zh-CN"/>
        </w:rPr>
        <w:t>伤害</w:t>
      </w:r>
      <w:r>
        <w:rPr>
          <w:rFonts w:hint="eastAsia"/>
          <w:b/>
          <w:bCs/>
        </w:rPr>
        <w:t>医疗保险责任</w:t>
      </w:r>
    </w:p>
    <w:p>
      <w:pPr>
        <w:spacing w:line="360" w:lineRule="auto"/>
      </w:pPr>
      <w:r>
        <w:rPr>
          <w:rFonts w:hint="eastAsia"/>
        </w:rPr>
        <w:t>1、渠道销售成本调整系数（F</w:t>
      </w:r>
      <w:r>
        <w:t>1</w:t>
      </w:r>
      <w:r>
        <w:rPr>
          <w:rFonts w:hint="eastAsia"/>
        </w:rPr>
        <w:t>）</w:t>
      </w:r>
    </w:p>
    <w:tbl>
      <w:tblPr>
        <w:tblStyle w:val="7"/>
        <w:tblW w:w="45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21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销售成本较低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销售成本中等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销售成本较高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1.4</w:t>
            </w:r>
          </w:p>
        </w:tc>
      </w:tr>
    </w:tbl>
    <w:p>
      <w:pPr>
        <w:spacing w:line="360" w:lineRule="auto"/>
      </w:pPr>
      <w:r>
        <w:rPr>
          <w:rFonts w:hint="eastAsia"/>
        </w:rPr>
        <w:t>2、销售区域调整系数（F</w:t>
      </w:r>
      <w:r>
        <w:t>2</w:t>
      </w:r>
      <w:r>
        <w:rPr>
          <w:rFonts w:hint="eastAsia"/>
        </w:rPr>
        <w:t>）</w:t>
      </w:r>
    </w:p>
    <w:tbl>
      <w:tblPr>
        <w:tblStyle w:val="7"/>
        <w:tblW w:w="45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21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销售区域综合状况较好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0.8,1.0</w:t>
            </w:r>
            <w:r>
              <w:rPr>
                <w:rFonts w:ascii="宋体" w:hAnsi="宋体" w:cs="宋体"/>
                <w:szCs w:val="21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销售区域综合状况一般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1.0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2]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销售区域综合状况较差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（1</w:t>
            </w:r>
            <w:r>
              <w:rPr>
                <w:rFonts w:ascii="宋体" w:hAnsi="宋体" w:cs="宋体"/>
                <w:szCs w:val="21"/>
              </w:rPr>
              <w:t>.2</w:t>
            </w:r>
            <w:r>
              <w:rPr>
                <w:rFonts w:hint="eastAsia" w:ascii="宋体" w:hAnsi="宋体" w:cs="宋体"/>
                <w:szCs w:val="21"/>
              </w:rPr>
              <w:t>,1</w:t>
            </w:r>
            <w:r>
              <w:rPr>
                <w:rFonts w:ascii="宋体" w:hAnsi="宋体" w:cs="宋体"/>
                <w:szCs w:val="21"/>
              </w:rPr>
              <w:t>.5]</w:t>
            </w:r>
          </w:p>
        </w:tc>
      </w:tr>
    </w:tbl>
    <w:p>
      <w:pPr>
        <w:spacing w:line="360" w:lineRule="auto"/>
      </w:pPr>
      <w:r>
        <w:rPr>
          <w:rFonts w:hint="eastAsia"/>
        </w:rPr>
        <w:t>3、在我司投保险种数量调整系数（F</w:t>
      </w:r>
      <w:r>
        <w:t>3</w:t>
      </w:r>
      <w:r>
        <w:rPr>
          <w:rFonts w:hint="eastAsia"/>
        </w:rPr>
        <w:t>）</w:t>
      </w:r>
    </w:p>
    <w:tbl>
      <w:tblPr>
        <w:tblStyle w:val="7"/>
        <w:tblW w:w="45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21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1-3个（含）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0.9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1.0</w:t>
            </w:r>
            <w:r>
              <w:rPr>
                <w:rFonts w:ascii="宋体" w:hAnsi="宋体" w:cs="宋体"/>
                <w:szCs w:val="21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3-5个（含）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0.85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0.9</w:t>
            </w:r>
            <w:r>
              <w:rPr>
                <w:rFonts w:ascii="宋体" w:hAnsi="宋体" w:cs="宋体"/>
                <w:szCs w:val="21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5-8个（含）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0.8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0.85</w:t>
            </w:r>
            <w:r>
              <w:rPr>
                <w:rFonts w:ascii="宋体" w:hAnsi="宋体" w:cs="宋体"/>
                <w:szCs w:val="21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8-10个（含）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0.75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0.8</w:t>
            </w:r>
            <w:r>
              <w:rPr>
                <w:rFonts w:ascii="宋体" w:hAnsi="宋体" w:cs="宋体"/>
                <w:szCs w:val="21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10个以上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0.65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0.75</w:t>
            </w:r>
            <w:r>
              <w:rPr>
                <w:rFonts w:ascii="宋体" w:hAnsi="宋体" w:cs="宋体"/>
                <w:szCs w:val="21"/>
              </w:rPr>
              <w:t>)</w:t>
            </w:r>
          </w:p>
        </w:tc>
      </w:tr>
    </w:tbl>
    <w:p>
      <w:pPr>
        <w:spacing w:line="360" w:lineRule="auto"/>
      </w:pPr>
      <w:r>
        <w:rPr>
          <w:rFonts w:hint="eastAsia"/>
        </w:rPr>
        <w:t>4、预期赔付率调整系数（F</w:t>
      </w:r>
      <w:r>
        <w:t>4</w:t>
      </w:r>
      <w:r>
        <w:rPr>
          <w:rFonts w:hint="eastAsia"/>
        </w:rPr>
        <w:t>）</w:t>
      </w:r>
    </w:p>
    <w:tbl>
      <w:tblPr>
        <w:tblStyle w:val="7"/>
        <w:tblW w:w="45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21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0%</w:t>
            </w:r>
            <w:r>
              <w:rPr>
                <w:rFonts w:hint="eastAsia" w:ascii="宋体" w:hAnsi="宋体" w:cs="宋体"/>
                <w:szCs w:val="21"/>
              </w:rPr>
              <w:t>（含）-</w:t>
            </w:r>
            <w:r>
              <w:rPr>
                <w:rFonts w:ascii="宋体" w:hAnsi="宋体" w:cs="宋体"/>
                <w:szCs w:val="21"/>
              </w:rPr>
              <w:t>30%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,</w:t>
            </w:r>
            <w:r>
              <w:rPr>
                <w:rFonts w:ascii="宋体" w:hAnsi="宋体" w:cs="宋体"/>
                <w:szCs w:val="21"/>
              </w:rPr>
              <w:t>0.5)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0%</w:t>
            </w:r>
            <w:r>
              <w:rPr>
                <w:rFonts w:hint="eastAsia" w:ascii="宋体" w:hAnsi="宋体" w:cs="宋体"/>
                <w:szCs w:val="21"/>
              </w:rPr>
              <w:t>（含）</w:t>
            </w:r>
            <w:r>
              <w:rPr>
                <w:rFonts w:ascii="宋体" w:hAnsi="宋体" w:cs="宋体"/>
                <w:szCs w:val="21"/>
              </w:rPr>
              <w:t>-40%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[0.5,0.7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0%</w:t>
            </w:r>
            <w:r>
              <w:rPr>
                <w:rFonts w:hint="eastAsia" w:ascii="宋体" w:hAnsi="宋体" w:cs="宋体"/>
                <w:szCs w:val="21"/>
              </w:rPr>
              <w:t>（含）-</w:t>
            </w:r>
            <w:r>
              <w:rPr>
                <w:rFonts w:ascii="宋体" w:hAnsi="宋体" w:cs="宋体"/>
                <w:szCs w:val="21"/>
              </w:rPr>
              <w:t>60%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.7</w:t>
            </w:r>
            <w:r>
              <w:rPr>
                <w:rFonts w:hint="eastAsia" w:ascii="宋体" w:hAnsi="宋体" w:cs="宋体"/>
                <w:szCs w:val="21"/>
              </w:rPr>
              <w:t>,1</w:t>
            </w:r>
            <w:r>
              <w:rPr>
                <w:rFonts w:ascii="宋体" w:hAnsi="宋体" w:cs="宋体"/>
                <w:szCs w:val="21"/>
              </w:rPr>
              <w:t>.1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60%</w:t>
            </w:r>
            <w:r>
              <w:rPr>
                <w:rFonts w:hint="eastAsia" w:ascii="宋体" w:hAnsi="宋体" w:cs="宋体"/>
                <w:szCs w:val="21"/>
              </w:rPr>
              <w:t>（含）-</w:t>
            </w:r>
            <w:r>
              <w:rPr>
                <w:rFonts w:ascii="宋体" w:hAnsi="宋体" w:cs="宋体"/>
                <w:szCs w:val="21"/>
              </w:rPr>
              <w:t>80%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.1</w:t>
            </w:r>
            <w:r>
              <w:rPr>
                <w:rFonts w:hint="eastAsia" w:ascii="宋体" w:hAnsi="宋体" w:cs="宋体"/>
                <w:szCs w:val="21"/>
              </w:rPr>
              <w:t>,1</w:t>
            </w:r>
            <w:r>
              <w:rPr>
                <w:rFonts w:ascii="宋体" w:hAnsi="宋体" w:cs="宋体"/>
                <w:szCs w:val="21"/>
              </w:rPr>
              <w:t>.5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80%</w:t>
            </w:r>
            <w:r>
              <w:rPr>
                <w:rFonts w:hint="eastAsia" w:ascii="宋体" w:hAnsi="宋体" w:cs="宋体"/>
                <w:szCs w:val="21"/>
              </w:rPr>
              <w:t>（含）以上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.5</w:t>
            </w:r>
            <w:r>
              <w:rPr>
                <w:rFonts w:hint="eastAsia" w:ascii="宋体" w:hAnsi="宋体" w:cs="宋体"/>
                <w:szCs w:val="21"/>
              </w:rPr>
              <w:t>,2.</w:t>
            </w:r>
            <w:r>
              <w:rPr>
                <w:rFonts w:ascii="宋体" w:hAnsi="宋体" w:cs="宋体"/>
                <w:szCs w:val="21"/>
              </w:rPr>
              <w:t>0]</w:t>
            </w:r>
          </w:p>
        </w:tc>
      </w:tr>
    </w:tbl>
    <w:p>
      <w:pPr>
        <w:spacing w:line="360" w:lineRule="auto"/>
      </w:pPr>
      <w:r>
        <w:rPr>
          <w:rFonts w:hint="eastAsia"/>
        </w:rPr>
        <w:t>5、渠道预期规模调整系数（F</w:t>
      </w:r>
      <w:r>
        <w:t>5</w:t>
      </w:r>
      <w:r>
        <w:rPr>
          <w:rFonts w:hint="eastAsia"/>
        </w:rPr>
        <w:t>）</w:t>
      </w:r>
    </w:p>
    <w:tbl>
      <w:tblPr>
        <w:tblStyle w:val="7"/>
        <w:tblW w:w="45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21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00</w:t>
            </w:r>
            <w:r>
              <w:rPr>
                <w:rFonts w:hint="eastAsia" w:ascii="宋体" w:hAnsi="宋体" w:cs="宋体"/>
                <w:szCs w:val="21"/>
              </w:rPr>
              <w:t>万（含）以上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,1.0</w:t>
            </w:r>
            <w:r>
              <w:rPr>
                <w:rFonts w:ascii="宋体" w:hAnsi="宋体" w:cs="宋体"/>
                <w:szCs w:val="21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300</w:t>
            </w:r>
            <w:r>
              <w:rPr>
                <w:rFonts w:hint="eastAsia" w:ascii="宋体" w:hAnsi="宋体" w:cs="宋体"/>
                <w:szCs w:val="21"/>
              </w:rPr>
              <w:t>万（含）-</w:t>
            </w:r>
            <w:r>
              <w:rPr>
                <w:rFonts w:ascii="宋体" w:hAnsi="宋体" w:cs="宋体"/>
                <w:szCs w:val="21"/>
              </w:rPr>
              <w:t>500</w:t>
            </w:r>
            <w:r>
              <w:rPr>
                <w:rFonts w:hint="eastAsia" w:ascii="宋体" w:hAnsi="宋体" w:cs="宋体"/>
                <w:szCs w:val="21"/>
              </w:rPr>
              <w:t>万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1.0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4]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300</w:t>
            </w:r>
            <w:r>
              <w:rPr>
                <w:rFonts w:hint="eastAsia" w:ascii="宋体" w:hAnsi="宋体" w:cs="宋体"/>
                <w:szCs w:val="21"/>
              </w:rPr>
              <w:t>万以下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.4</w:t>
            </w:r>
            <w:r>
              <w:rPr>
                <w:rFonts w:hint="eastAsia" w:ascii="宋体" w:hAnsi="宋体" w:cs="宋体"/>
                <w:szCs w:val="21"/>
              </w:rPr>
              <w:t>,1</w:t>
            </w:r>
            <w:r>
              <w:rPr>
                <w:rFonts w:ascii="宋体" w:hAnsi="宋体" w:cs="宋体"/>
                <w:szCs w:val="21"/>
              </w:rPr>
              <w:t>.8]</w:t>
            </w:r>
          </w:p>
        </w:tc>
      </w:tr>
    </w:tbl>
    <w:p>
      <w:pPr>
        <w:spacing w:line="360" w:lineRule="auto"/>
      </w:pPr>
      <w:r>
        <w:rPr>
          <w:rFonts w:hint="eastAsia"/>
        </w:rPr>
        <w:t>6、被保险人出行情况调整系数（F</w:t>
      </w:r>
      <w:r>
        <w:t>6</w:t>
      </w:r>
      <w:r>
        <w:rPr>
          <w:rFonts w:hint="eastAsia"/>
        </w:rPr>
        <w:t>）</w:t>
      </w:r>
    </w:p>
    <w:tbl>
      <w:tblPr>
        <w:tblStyle w:val="7"/>
        <w:tblW w:w="452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20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出行频率较低或出行路途较近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</w:t>
            </w:r>
            <w:r>
              <w:rPr>
                <w:rFonts w:ascii="宋体" w:hAnsi="宋体" w:cs="宋体"/>
                <w:szCs w:val="21"/>
              </w:rPr>
              <w:t>7</w:t>
            </w:r>
            <w:r>
              <w:rPr>
                <w:rFonts w:hint="eastAsia" w:ascii="宋体" w:hAnsi="宋体" w:cs="宋体"/>
                <w:szCs w:val="21"/>
              </w:rPr>
              <w:t>,1.0</w:t>
            </w:r>
            <w:r>
              <w:rPr>
                <w:rFonts w:ascii="宋体" w:hAnsi="宋体" w:cs="宋体"/>
                <w:szCs w:val="21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出行频率较高或出行路途较远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1.0</w:t>
            </w:r>
            <w:r>
              <w:rPr>
                <w:rFonts w:ascii="宋体" w:hAnsi="宋体" w:cs="宋体"/>
                <w:szCs w:val="21"/>
              </w:rPr>
              <w:t>,</w:t>
            </w: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5]</w:t>
            </w:r>
          </w:p>
        </w:tc>
      </w:tr>
    </w:tbl>
    <w:p>
      <w:pPr>
        <w:spacing w:line="360" w:lineRule="auto"/>
      </w:pPr>
      <w:r>
        <w:rPr>
          <w:rFonts w:hint="eastAsia"/>
        </w:rPr>
        <w:t>7、交通工具运营管理水平调整系数（F</w:t>
      </w:r>
      <w:r>
        <w:t>7</w:t>
      </w:r>
      <w:r>
        <w:rPr>
          <w:rFonts w:hint="eastAsia"/>
        </w:rPr>
        <w:t>）</w:t>
      </w:r>
    </w:p>
    <w:tbl>
      <w:tblPr>
        <w:tblStyle w:val="7"/>
        <w:tblW w:w="452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20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运营管理水平较高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[</w:t>
            </w:r>
            <w:r>
              <w:rPr>
                <w:rFonts w:hint="eastAsia" w:ascii="宋体" w:hAnsi="宋体" w:cs="宋体"/>
                <w:szCs w:val="21"/>
              </w:rPr>
              <w:t>0.</w:t>
            </w: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,</w:t>
            </w:r>
            <w:r>
              <w:rPr>
                <w:rFonts w:ascii="宋体" w:hAnsi="宋体" w:cs="宋体"/>
                <w:szCs w:val="21"/>
              </w:rPr>
              <w:t>0.8]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运营管理水平一般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(0.8,</w:t>
            </w: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3]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运营管理水平较差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(1.3,</w:t>
            </w: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8]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b/>
          <w:bCs/>
        </w:rPr>
        <w:t>（二）仅适用于意外</w:t>
      </w:r>
      <w:r>
        <w:rPr>
          <w:rFonts w:hint="eastAsia"/>
          <w:b/>
          <w:bCs/>
          <w:lang w:val="en-US" w:eastAsia="zh-CN"/>
        </w:rPr>
        <w:t>伤害</w:t>
      </w:r>
      <w:r>
        <w:rPr>
          <w:rFonts w:hint="eastAsia"/>
          <w:b/>
          <w:bCs/>
        </w:rPr>
        <w:t>医疗保险责任</w:t>
      </w:r>
    </w:p>
    <w:tbl>
      <w:tblPr>
        <w:tblStyle w:val="7"/>
        <w:tblW w:w="65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6"/>
        <w:gridCol w:w="194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费率影响因素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因素情况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有无社保（F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有社保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无社保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意外伤害医疗免赔额（F</w:t>
            </w:r>
            <w:r>
              <w:rPr>
                <w:rFonts w:ascii="宋体" w:hAnsi="宋体" w:cs="宋体"/>
                <w:szCs w:val="21"/>
              </w:rPr>
              <w:t>9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0元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0</w:t>
            </w:r>
            <w:r>
              <w:rPr>
                <w:rFonts w:hint="eastAsia" w:ascii="宋体" w:hAnsi="宋体" w:cs="宋体"/>
                <w:szCs w:val="21"/>
              </w:rPr>
              <w:t>元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00</w:t>
            </w:r>
            <w:r>
              <w:rPr>
                <w:rFonts w:hint="eastAsia" w:ascii="宋体" w:hAnsi="宋体" w:cs="宋体"/>
                <w:szCs w:val="21"/>
              </w:rPr>
              <w:t>元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00</w:t>
            </w:r>
            <w:r>
              <w:rPr>
                <w:rFonts w:hint="eastAsia" w:ascii="宋体" w:hAnsi="宋体" w:cs="宋体"/>
                <w:szCs w:val="21"/>
              </w:rPr>
              <w:t>元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意外伤害医疗赔付比例（F</w:t>
            </w:r>
            <w:r>
              <w:rPr>
                <w:rFonts w:ascii="宋体" w:hAnsi="宋体" w:cs="宋体"/>
                <w:szCs w:val="21"/>
              </w:rPr>
              <w:t>10）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30%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0%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0%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70%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  <w:r>
              <w:rPr>
                <w:rFonts w:ascii="宋体" w:hAnsi="宋体" w:cs="宋体"/>
                <w:szCs w:val="21"/>
              </w:rPr>
              <w:t>0%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0%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00%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1.1</w:t>
            </w:r>
          </w:p>
        </w:tc>
      </w:tr>
    </w:tbl>
    <w:p>
      <w:pPr>
        <w:ind w:firstLine="420" w:firstLineChars="200"/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注：免赔额和赔付比例介于两档之间，采用线性插值法选择意外伤害</w:t>
      </w:r>
      <w:r>
        <w:rPr>
          <w:rFonts w:hint="eastAsia" w:ascii="宋体" w:cs="宋体"/>
          <w:szCs w:val="21"/>
          <w:lang w:val="en-US" w:eastAsia="zh-CN"/>
        </w:rPr>
        <w:t>医疗</w:t>
      </w:r>
      <w:r>
        <w:rPr>
          <w:rFonts w:hint="eastAsia" w:ascii="宋体" w:cs="宋体"/>
          <w:szCs w:val="21"/>
        </w:rPr>
        <w:t>免赔额调整系数和意外伤害医疗赔付比例调整系数。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 xml:space="preserve">三、保险费计算公式 </w:t>
      </w:r>
    </w:p>
    <w:p>
      <w:pPr>
        <w:numPr>
          <w:numId w:val="0"/>
        </w:numPr>
      </w:pPr>
      <w:bookmarkStart w:id="0" w:name="_GoBack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rPr>
          <w:rFonts w:hint="eastAsia"/>
        </w:rPr>
        <w:t>年保费计算方式</w:t>
      </w:r>
    </w:p>
    <w:p>
      <w:pPr>
        <w:widowControl/>
        <w:tabs>
          <w:tab w:val="center" w:pos="4153"/>
        </w:tabs>
        <w:ind w:firstLine="420" w:firstLineChars="200"/>
        <w:rPr>
          <w:rFonts w:hint="eastAsia" w:hAnsi="宋体" w:cs="Arial Unicode MS"/>
          <w:bCs/>
          <w:szCs w:val="21"/>
        </w:rPr>
      </w:pPr>
      <w:r>
        <w:rPr>
          <w:rFonts w:hint="eastAsia" w:hAnsi="宋体" w:cs="Arial Unicode MS"/>
          <w:bCs/>
          <w:szCs w:val="21"/>
        </w:rPr>
        <w:t>年保险费=∑（指定类型交通工具意外伤害保险责任保险金额×对应年基准费率</w:t>
      </w:r>
      <w:r>
        <w:rPr>
          <w:rFonts w:hAnsi="宋体" w:cs="Arial Unicode MS"/>
          <w:bCs/>
          <w:szCs w:val="21"/>
        </w:rPr>
        <w:t>）</w:t>
      </w:r>
      <w:r>
        <w:rPr>
          <w:rFonts w:hint="eastAsia" w:hAnsi="宋体" w:cs="Arial Unicode MS"/>
          <w:bCs/>
          <w:szCs w:val="21"/>
        </w:rPr>
        <w:t>×F1×F2</w:t>
      </w:r>
      <w:r>
        <w:rPr>
          <w:rFonts w:hint="eastAsia" w:hAnsi="宋体" w:cs="Arial Unicode MS"/>
          <w:bCs/>
          <w:szCs w:val="21"/>
        </w:rPr>
        <w:t>×F3</w:t>
      </w:r>
      <w:r>
        <w:rPr>
          <w:rFonts w:hint="eastAsia" w:hAnsi="宋体" w:cs="Arial Unicode MS"/>
          <w:bCs/>
          <w:szCs w:val="21"/>
        </w:rPr>
        <w:t>×F4</w:t>
      </w:r>
      <w:r>
        <w:rPr>
          <w:rFonts w:hint="eastAsia" w:hAnsi="宋体" w:cs="Arial Unicode MS"/>
          <w:bCs/>
          <w:szCs w:val="21"/>
        </w:rPr>
        <w:t>×F5</w:t>
      </w:r>
      <w:r>
        <w:rPr>
          <w:rFonts w:hint="eastAsia" w:hAnsi="宋体" w:cs="Arial Unicode MS"/>
          <w:bCs/>
          <w:szCs w:val="21"/>
        </w:rPr>
        <w:t>×F6</w:t>
      </w:r>
      <w:r>
        <w:rPr>
          <w:rFonts w:hint="eastAsia" w:hAnsi="宋体" w:cs="Arial Unicode MS"/>
          <w:bCs/>
          <w:szCs w:val="21"/>
        </w:rPr>
        <w:t>×F7</w:t>
      </w:r>
      <w:r>
        <w:rPr>
          <w:rFonts w:hint="eastAsia" w:hAnsi="宋体" w:cs="Arial Unicode MS"/>
          <w:bCs/>
          <w:szCs w:val="21"/>
        </w:rPr>
        <w:t>+∑（指定类型交通工具意外</w:t>
      </w:r>
      <w:r>
        <w:rPr>
          <w:rFonts w:hint="eastAsia" w:hAnsi="宋体" w:cs="Arial Unicode MS"/>
          <w:bCs/>
          <w:szCs w:val="21"/>
          <w:lang w:val="en-US" w:eastAsia="zh-CN"/>
        </w:rPr>
        <w:t>伤害</w:t>
      </w:r>
      <w:r>
        <w:rPr>
          <w:rFonts w:hint="eastAsia" w:hAnsi="宋体" w:cs="Arial Unicode MS"/>
          <w:bCs/>
          <w:szCs w:val="21"/>
        </w:rPr>
        <w:t>医疗保险责任保险金额×对应年基准费率）</w:t>
      </w:r>
      <w:r>
        <w:rPr>
          <w:rFonts w:hint="eastAsia" w:hAnsi="宋体" w:cs="Arial Unicode MS"/>
          <w:bCs/>
          <w:szCs w:val="21"/>
        </w:rPr>
        <w:t>×F1</w:t>
      </w:r>
      <w:r>
        <w:rPr>
          <w:rFonts w:hint="eastAsia" w:hAnsi="宋体" w:cs="Arial Unicode MS"/>
          <w:bCs/>
          <w:szCs w:val="21"/>
        </w:rPr>
        <w:t>×F2</w:t>
      </w:r>
      <w:r>
        <w:rPr>
          <w:rFonts w:hint="eastAsia" w:hAnsi="宋体" w:cs="Arial Unicode MS"/>
          <w:bCs/>
          <w:szCs w:val="21"/>
        </w:rPr>
        <w:t>×F3</w:t>
      </w:r>
      <w:r>
        <w:rPr>
          <w:rFonts w:hint="eastAsia" w:hAnsi="宋体" w:cs="Arial Unicode MS"/>
          <w:bCs/>
          <w:szCs w:val="21"/>
        </w:rPr>
        <w:t>×F4</w:t>
      </w:r>
      <w:r>
        <w:rPr>
          <w:rFonts w:hint="eastAsia" w:hAnsi="宋体" w:cs="Arial Unicode MS"/>
          <w:bCs/>
          <w:szCs w:val="21"/>
        </w:rPr>
        <w:t>×F5</w:t>
      </w:r>
      <w:r>
        <w:rPr>
          <w:rFonts w:hint="eastAsia" w:hAnsi="宋体" w:cs="Arial Unicode MS"/>
          <w:bCs/>
          <w:szCs w:val="21"/>
        </w:rPr>
        <w:t>×F6</w:t>
      </w:r>
      <w:r>
        <w:rPr>
          <w:rFonts w:hint="eastAsia" w:hAnsi="宋体" w:cs="Arial Unicode MS"/>
          <w:bCs/>
          <w:szCs w:val="21"/>
        </w:rPr>
        <w:t>×F7</w:t>
      </w:r>
      <w:r>
        <w:rPr>
          <w:rFonts w:hint="eastAsia" w:hAnsi="宋体" w:cs="Arial Unicode MS"/>
          <w:bCs/>
          <w:szCs w:val="21"/>
        </w:rPr>
        <w:t>×F8</w:t>
      </w:r>
      <w:r>
        <w:rPr>
          <w:rFonts w:hint="eastAsia" w:hAnsi="宋体" w:cs="Arial Unicode MS"/>
          <w:bCs/>
          <w:szCs w:val="21"/>
        </w:rPr>
        <w:t>×F9</w:t>
      </w:r>
      <w:r>
        <w:rPr>
          <w:rFonts w:hint="eastAsia" w:hAnsi="宋体" w:cs="Arial Unicode MS"/>
          <w:bCs/>
          <w:szCs w:val="21"/>
        </w:rPr>
        <w:t>×F10</w:t>
      </w:r>
    </w:p>
    <w:p>
      <w:pPr>
        <w:spacing w:before="156" w:beforeLines="50" w:after="156" w:afterLines="50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（二）短期保险费计算方法</w:t>
      </w:r>
    </w:p>
    <w:p>
      <w:pPr>
        <w:spacing w:after="156" w:afterLines="50"/>
        <w:ind w:firstLine="403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短期保险费=年保险费×短期费率</w:t>
      </w:r>
    </w:p>
    <w:tbl>
      <w:tblPr>
        <w:tblStyle w:val="7"/>
        <w:tblpPr w:leftFromText="180" w:rightFromText="180" w:vertAnchor="text" w:horzAnchor="margin" w:tblpXSpec="center" w:tblpY="9"/>
        <w:tblW w:w="837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3"/>
        <w:gridCol w:w="567"/>
        <w:gridCol w:w="567"/>
        <w:gridCol w:w="567"/>
        <w:gridCol w:w="567"/>
        <w:gridCol w:w="567"/>
        <w:gridCol w:w="567"/>
        <w:gridCol w:w="567"/>
        <w:gridCol w:w="567"/>
        <w:gridCol w:w="638"/>
        <w:gridCol w:w="637"/>
        <w:gridCol w:w="567"/>
        <w:gridCol w:w="5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保险期间（月）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8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9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短期费率（</w:t>
            </w:r>
            <w:r>
              <w:rPr>
                <w:rFonts w:ascii="宋体"/>
                <w:szCs w:val="21"/>
              </w:rPr>
              <w:t>%</w:t>
            </w:r>
            <w:r>
              <w:rPr>
                <w:rFonts w:hint="eastAsia" w:ascii="宋体"/>
                <w:szCs w:val="21"/>
              </w:rPr>
              <w:t>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50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70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80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85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90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95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szCs w:val="21"/>
              </w:rPr>
              <w:t>100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/>
          <w:bCs/>
          <w:szCs w:val="21"/>
        </w:rPr>
      </w:pP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、保险期间在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个月以上，不足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个月的，按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个月计算；保险期间在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个月以上，不足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个月的，按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个月计算，依此类推；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宋体"/>
          <w:szCs w:val="21"/>
          <w:lang w:val="en-US" w:eastAsia="zh-CN"/>
        </w:rPr>
        <w:t>2、</w:t>
      </w:r>
      <w:r>
        <w:rPr>
          <w:rFonts w:hint="eastAsia" w:ascii="宋体"/>
          <w:szCs w:val="21"/>
        </w:rPr>
        <w:t>保险期间不足一个月，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短期保险费=年保险费 ×短期费率 </w:t>
      </w:r>
    </w:p>
    <w:tbl>
      <w:tblPr>
        <w:tblStyle w:val="7"/>
        <w:tblpPr w:leftFromText="180" w:rightFromText="180" w:vertAnchor="text" w:horzAnchor="page" w:tblpX="2649" w:tblpY="143"/>
        <w:tblW w:w="42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3"/>
        <w:gridCol w:w="567"/>
        <w:gridCol w:w="735"/>
        <w:gridCol w:w="762"/>
        <w:gridCol w:w="7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保险期间（天）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  <w:r>
              <w:rPr>
                <w:rFonts w:hint="eastAsia" w:ascii="宋体"/>
                <w:szCs w:val="21"/>
              </w:rPr>
              <w:t>-7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8</w:t>
            </w:r>
            <w:r>
              <w:rPr>
                <w:rFonts w:hint="eastAsia" w:ascii="宋体"/>
                <w:szCs w:val="21"/>
              </w:rPr>
              <w:t>-15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16-31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短期费率（</w:t>
            </w:r>
            <w:r>
              <w:rPr>
                <w:rFonts w:ascii="宋体"/>
                <w:szCs w:val="21"/>
              </w:rPr>
              <w:t>%</w:t>
            </w:r>
            <w:r>
              <w:rPr>
                <w:rFonts w:hint="eastAsia" w:ascii="宋体"/>
                <w:szCs w:val="21"/>
              </w:rPr>
              <w:t>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szCs w:val="21"/>
              </w:rPr>
              <w:t>6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szCs w:val="21"/>
              </w:rPr>
              <w:t>9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szCs w:val="21"/>
              </w:rPr>
              <w:t>10</w:t>
            </w:r>
          </w:p>
        </w:tc>
      </w:tr>
    </w:tbl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宋体"/>
          <w:szCs w:val="21"/>
          <w:lang w:val="en-US" w:eastAsia="zh-CN"/>
        </w:rPr>
        <w:t>3、</w:t>
      </w:r>
      <w:r>
        <w:rPr>
          <w:rFonts w:hint="eastAsia" w:ascii="宋体"/>
          <w:szCs w:val="21"/>
        </w:rPr>
        <w:t>单次保险费计算方法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/>
          <w:szCs w:val="21"/>
        </w:rPr>
      </w:pPr>
      <w:r>
        <w:rPr>
          <w:rFonts w:hint="eastAsia" w:ascii="宋体"/>
          <w:szCs w:val="21"/>
        </w:rPr>
        <w:t>单次保险费</w:t>
      </w:r>
      <w:r>
        <w:rPr>
          <w:rFonts w:ascii="宋体"/>
          <w:szCs w:val="21"/>
        </w:rPr>
        <w:t>=</w:t>
      </w:r>
      <w:r>
        <w:rPr>
          <w:rFonts w:hint="eastAsia" w:ascii="宋体"/>
          <w:szCs w:val="21"/>
        </w:rPr>
        <w:t>年保险费×3</w:t>
      </w:r>
      <w:r>
        <w:rPr>
          <w:rFonts w:ascii="宋体"/>
          <w:szCs w:val="21"/>
        </w:rPr>
        <w:t>%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xOTg0ZTg2NjA3ZGU0MTY2MmU0Yjk5YzMyNzRlOGMifQ=="/>
  </w:docVars>
  <w:rsids>
    <w:rsidRoot w:val="00236AFA"/>
    <w:rsid w:val="000012D3"/>
    <w:rsid w:val="000028A4"/>
    <w:rsid w:val="00021774"/>
    <w:rsid w:val="00043E77"/>
    <w:rsid w:val="00047CC5"/>
    <w:rsid w:val="00051312"/>
    <w:rsid w:val="00055607"/>
    <w:rsid w:val="000B0B81"/>
    <w:rsid w:val="00100D0E"/>
    <w:rsid w:val="00102C71"/>
    <w:rsid w:val="00162D2E"/>
    <w:rsid w:val="001746E4"/>
    <w:rsid w:val="001A4AAB"/>
    <w:rsid w:val="001B0F8E"/>
    <w:rsid w:val="001B1035"/>
    <w:rsid w:val="001B1DFD"/>
    <w:rsid w:val="001C6EE4"/>
    <w:rsid w:val="002012B6"/>
    <w:rsid w:val="00211C01"/>
    <w:rsid w:val="00227A42"/>
    <w:rsid w:val="00236AFA"/>
    <w:rsid w:val="00273E94"/>
    <w:rsid w:val="002752B8"/>
    <w:rsid w:val="002912F8"/>
    <w:rsid w:val="00293D77"/>
    <w:rsid w:val="002A7FE6"/>
    <w:rsid w:val="002B1AAA"/>
    <w:rsid w:val="002C5A80"/>
    <w:rsid w:val="002D03F8"/>
    <w:rsid w:val="002F5364"/>
    <w:rsid w:val="003139FE"/>
    <w:rsid w:val="003143D6"/>
    <w:rsid w:val="00351632"/>
    <w:rsid w:val="003521CB"/>
    <w:rsid w:val="00374716"/>
    <w:rsid w:val="00374735"/>
    <w:rsid w:val="0038011B"/>
    <w:rsid w:val="0038160A"/>
    <w:rsid w:val="00385AFC"/>
    <w:rsid w:val="0039002B"/>
    <w:rsid w:val="003B3146"/>
    <w:rsid w:val="003C0916"/>
    <w:rsid w:val="003D564A"/>
    <w:rsid w:val="003E05C5"/>
    <w:rsid w:val="003F0B34"/>
    <w:rsid w:val="0040049A"/>
    <w:rsid w:val="00407792"/>
    <w:rsid w:val="0045695D"/>
    <w:rsid w:val="004712B8"/>
    <w:rsid w:val="00480005"/>
    <w:rsid w:val="0048176C"/>
    <w:rsid w:val="00487263"/>
    <w:rsid w:val="004C012D"/>
    <w:rsid w:val="004D097B"/>
    <w:rsid w:val="004D0ACE"/>
    <w:rsid w:val="004F456E"/>
    <w:rsid w:val="00530EB7"/>
    <w:rsid w:val="0054309D"/>
    <w:rsid w:val="00545FAE"/>
    <w:rsid w:val="00553200"/>
    <w:rsid w:val="0056210C"/>
    <w:rsid w:val="005A6C76"/>
    <w:rsid w:val="005B22B5"/>
    <w:rsid w:val="005D02A9"/>
    <w:rsid w:val="005D3A4B"/>
    <w:rsid w:val="005D4A21"/>
    <w:rsid w:val="005E0647"/>
    <w:rsid w:val="005F0488"/>
    <w:rsid w:val="005F1F77"/>
    <w:rsid w:val="005F519F"/>
    <w:rsid w:val="00600621"/>
    <w:rsid w:val="00606B55"/>
    <w:rsid w:val="0061204F"/>
    <w:rsid w:val="0062055B"/>
    <w:rsid w:val="006247A1"/>
    <w:rsid w:val="00627C94"/>
    <w:rsid w:val="00642C08"/>
    <w:rsid w:val="00677F40"/>
    <w:rsid w:val="00681A96"/>
    <w:rsid w:val="00694E8B"/>
    <w:rsid w:val="00697887"/>
    <w:rsid w:val="006B7FB5"/>
    <w:rsid w:val="006C6FDD"/>
    <w:rsid w:val="006E76FF"/>
    <w:rsid w:val="006E7A8E"/>
    <w:rsid w:val="00760206"/>
    <w:rsid w:val="00761BF4"/>
    <w:rsid w:val="00763EBB"/>
    <w:rsid w:val="00767F9C"/>
    <w:rsid w:val="00777BF8"/>
    <w:rsid w:val="00795AB5"/>
    <w:rsid w:val="007B763C"/>
    <w:rsid w:val="007C1B9E"/>
    <w:rsid w:val="007F6D81"/>
    <w:rsid w:val="008002D7"/>
    <w:rsid w:val="00815651"/>
    <w:rsid w:val="00832807"/>
    <w:rsid w:val="00834FE9"/>
    <w:rsid w:val="00837824"/>
    <w:rsid w:val="00843C91"/>
    <w:rsid w:val="008626AA"/>
    <w:rsid w:val="008649A9"/>
    <w:rsid w:val="008658BA"/>
    <w:rsid w:val="008725C7"/>
    <w:rsid w:val="008D1465"/>
    <w:rsid w:val="008E40CE"/>
    <w:rsid w:val="008F7245"/>
    <w:rsid w:val="009328D5"/>
    <w:rsid w:val="00946DFA"/>
    <w:rsid w:val="00953EA4"/>
    <w:rsid w:val="00974552"/>
    <w:rsid w:val="00976A17"/>
    <w:rsid w:val="0097702F"/>
    <w:rsid w:val="009931C8"/>
    <w:rsid w:val="009A16C8"/>
    <w:rsid w:val="009B5BF5"/>
    <w:rsid w:val="009E0428"/>
    <w:rsid w:val="009E5057"/>
    <w:rsid w:val="009E65C1"/>
    <w:rsid w:val="00A0152C"/>
    <w:rsid w:val="00A1191A"/>
    <w:rsid w:val="00A1699C"/>
    <w:rsid w:val="00A24497"/>
    <w:rsid w:val="00A4626A"/>
    <w:rsid w:val="00A649CE"/>
    <w:rsid w:val="00A81FA6"/>
    <w:rsid w:val="00AC08ED"/>
    <w:rsid w:val="00AD3DB7"/>
    <w:rsid w:val="00AE40CB"/>
    <w:rsid w:val="00B45E48"/>
    <w:rsid w:val="00B64834"/>
    <w:rsid w:val="00B84DBE"/>
    <w:rsid w:val="00B922E6"/>
    <w:rsid w:val="00BB6605"/>
    <w:rsid w:val="00BB7307"/>
    <w:rsid w:val="00BC22DD"/>
    <w:rsid w:val="00C10C80"/>
    <w:rsid w:val="00C132F0"/>
    <w:rsid w:val="00C35B8F"/>
    <w:rsid w:val="00C40D0F"/>
    <w:rsid w:val="00C4426C"/>
    <w:rsid w:val="00C86A95"/>
    <w:rsid w:val="00C93796"/>
    <w:rsid w:val="00C956E6"/>
    <w:rsid w:val="00CB4FF8"/>
    <w:rsid w:val="00CD0CC9"/>
    <w:rsid w:val="00CD501C"/>
    <w:rsid w:val="00D1444E"/>
    <w:rsid w:val="00D34B61"/>
    <w:rsid w:val="00D56610"/>
    <w:rsid w:val="00D73158"/>
    <w:rsid w:val="00DC65AD"/>
    <w:rsid w:val="00DD0647"/>
    <w:rsid w:val="00DF1F32"/>
    <w:rsid w:val="00DF7FD3"/>
    <w:rsid w:val="00E0138D"/>
    <w:rsid w:val="00E16A48"/>
    <w:rsid w:val="00E367DB"/>
    <w:rsid w:val="00E3751D"/>
    <w:rsid w:val="00E76D4E"/>
    <w:rsid w:val="00E808F8"/>
    <w:rsid w:val="00EC6856"/>
    <w:rsid w:val="00F02DD1"/>
    <w:rsid w:val="00F21AD4"/>
    <w:rsid w:val="00F411B3"/>
    <w:rsid w:val="00F43792"/>
    <w:rsid w:val="00F53DB8"/>
    <w:rsid w:val="00F82F10"/>
    <w:rsid w:val="00FA1BCB"/>
    <w:rsid w:val="00FB2887"/>
    <w:rsid w:val="00FC23A3"/>
    <w:rsid w:val="022928A2"/>
    <w:rsid w:val="02620E5E"/>
    <w:rsid w:val="03025613"/>
    <w:rsid w:val="037E3A97"/>
    <w:rsid w:val="03F96DF5"/>
    <w:rsid w:val="09791AF8"/>
    <w:rsid w:val="0C1139C5"/>
    <w:rsid w:val="0D753AD4"/>
    <w:rsid w:val="0F32402E"/>
    <w:rsid w:val="0F951C6C"/>
    <w:rsid w:val="11930469"/>
    <w:rsid w:val="13560BA9"/>
    <w:rsid w:val="148536A8"/>
    <w:rsid w:val="15A74FD0"/>
    <w:rsid w:val="18EE30A9"/>
    <w:rsid w:val="19E5515C"/>
    <w:rsid w:val="1AC5756A"/>
    <w:rsid w:val="1B3233A8"/>
    <w:rsid w:val="1BD350BC"/>
    <w:rsid w:val="211E78E1"/>
    <w:rsid w:val="2259023F"/>
    <w:rsid w:val="236F621D"/>
    <w:rsid w:val="244C36AE"/>
    <w:rsid w:val="24A735BF"/>
    <w:rsid w:val="261401DF"/>
    <w:rsid w:val="27475541"/>
    <w:rsid w:val="2AA61E2A"/>
    <w:rsid w:val="2DD83397"/>
    <w:rsid w:val="2E9750B0"/>
    <w:rsid w:val="34237BBE"/>
    <w:rsid w:val="37F81AAA"/>
    <w:rsid w:val="3E5F0F6A"/>
    <w:rsid w:val="45065CF6"/>
    <w:rsid w:val="4746716B"/>
    <w:rsid w:val="4CEB00CB"/>
    <w:rsid w:val="4E510EDA"/>
    <w:rsid w:val="51656D1B"/>
    <w:rsid w:val="51A61359"/>
    <w:rsid w:val="52EE5F23"/>
    <w:rsid w:val="56575206"/>
    <w:rsid w:val="575D1C66"/>
    <w:rsid w:val="59305AC2"/>
    <w:rsid w:val="5AE20A86"/>
    <w:rsid w:val="5AE32486"/>
    <w:rsid w:val="5F0D4F86"/>
    <w:rsid w:val="5F7B7E0C"/>
    <w:rsid w:val="674B5FC6"/>
    <w:rsid w:val="68460516"/>
    <w:rsid w:val="68BD6171"/>
    <w:rsid w:val="68D227CD"/>
    <w:rsid w:val="68E74C88"/>
    <w:rsid w:val="68F062B7"/>
    <w:rsid w:val="6B4A21A4"/>
    <w:rsid w:val="6C3536E4"/>
    <w:rsid w:val="708B08DB"/>
    <w:rsid w:val="738321D6"/>
    <w:rsid w:val="756E2932"/>
    <w:rsid w:val="762D30B9"/>
    <w:rsid w:val="7787773C"/>
    <w:rsid w:val="787D6B5E"/>
    <w:rsid w:val="798B2111"/>
    <w:rsid w:val="7FA9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character" w:customStyle="1" w:styleId="14">
    <w:name w:val="批注文字 字符"/>
    <w:basedOn w:val="9"/>
    <w:link w:val="2"/>
    <w:qFormat/>
    <w:uiPriority w:val="0"/>
    <w:rPr>
      <w:kern w:val="2"/>
      <w:sz w:val="21"/>
      <w:szCs w:val="24"/>
    </w:rPr>
  </w:style>
  <w:style w:type="character" w:customStyle="1" w:styleId="15">
    <w:name w:val="批注主题 字符"/>
    <w:basedOn w:val="14"/>
    <w:link w:val="6"/>
    <w:qFormat/>
    <w:uiPriority w:val="0"/>
    <w:rPr>
      <w:b/>
      <w:bCs/>
      <w:kern w:val="2"/>
      <w:sz w:val="21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8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9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982</Words>
  <Characters>1319</Characters>
  <Lines>11</Lines>
  <Paragraphs>3</Paragraphs>
  <TotalTime>335</TotalTime>
  <ScaleCrop>false</ScaleCrop>
  <LinksUpToDate>false</LinksUpToDate>
  <CharactersWithSpaces>1323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2019-09-27T04:02:00Z</dcterms:created>
  <dc:creator>Lenovo</dc:creator>
  <cp:lastModifiedBy>Zixuan Shen</cp:lastModifiedBy>
  <dcterms:modified xsi:type="dcterms:W3CDTF">2022-08-24T03:01:29Z</dcterms:modified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18DD5AA16A2E4FD29C701A2FFD49DA50</vt:lpwstr>
  </property>
  <property fmtid="{D5CDD505-2E9C-101B-9397-08002B2CF9AE}" pid="4" name="commondata">
    <vt:lpwstr>eyJoZGlkIjoiMDRiMmE0ZjljZDExM2YyODdkMDQ1ZGRhYjY0YmQ5MmQifQ==</vt:lpwstr>
  </property>
</Properties>
</file>