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bookmarkStart w:id="0" w:name="_Toc358450011"/>
      <w:r>
        <w:rPr>
          <w:rFonts w:hint="eastAsia" w:asciiTheme="majorEastAsia" w:hAnsiTheme="majorEastAsia" w:eastAsiaTheme="majorEastAsia"/>
          <w:b/>
          <w:sz w:val="28"/>
          <w:szCs w:val="28"/>
        </w:rPr>
        <w:t>华农财产保险股份有限公司</w:t>
      </w:r>
    </w:p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学生、幼儿意外伤害保险费率</w:t>
      </w:r>
      <w:bookmarkEnd w:id="0"/>
      <w:r>
        <w:rPr>
          <w:rFonts w:hint="eastAsia" w:asciiTheme="majorEastAsia" w:hAnsiTheme="majorEastAsia" w:eastAsiaTheme="majorEastAsia"/>
          <w:b/>
          <w:sz w:val="28"/>
          <w:szCs w:val="28"/>
        </w:rPr>
        <w:t>表</w:t>
      </w:r>
    </w:p>
    <w:p>
      <w:pPr>
        <w:rPr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一、年基准费率</w:t>
      </w:r>
    </w:p>
    <w:tbl>
      <w:tblPr>
        <w:tblStyle w:val="14"/>
        <w:tblpPr w:leftFromText="180" w:rightFromText="180" w:vertAnchor="text" w:horzAnchor="margin" w:tblpXSpec="center" w:tblpY="1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3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4473" w:type="dxa"/>
            <w:vAlign w:val="center"/>
          </w:tcPr>
          <w:p>
            <w:pPr>
              <w:spacing w:line="440" w:lineRule="exact"/>
              <w:ind w:left="0" w:firstLine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保险责任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年基准费率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447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意外身故、伤残保险责任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0.3</w:t>
            </w:r>
            <w:bookmarkStart w:id="1" w:name="_GoBack"/>
            <w:bookmarkEnd w:id="1"/>
            <w:r>
              <w:rPr>
                <w:rFonts w:ascii="宋体" w:hAnsi="宋体" w:cs="宋体"/>
                <w:szCs w:val="21"/>
              </w:rPr>
              <w:t>‰</w:t>
            </w:r>
          </w:p>
        </w:tc>
      </w:tr>
    </w:tbl>
    <w:p>
      <w:pPr>
        <w:snapToGrid w:val="0"/>
        <w:spacing w:line="440" w:lineRule="exact"/>
        <w:ind w:firstLine="348" w:firstLineChars="166"/>
        <w:jc w:val="right"/>
        <w:rPr>
          <w:rFonts w:ascii="宋体" w:hAnsi="宋体" w:cs="宋体"/>
          <w:szCs w:val="21"/>
        </w:rPr>
      </w:pPr>
    </w:p>
    <w:p>
      <w:pPr>
        <w:snapToGrid w:val="0"/>
        <w:spacing w:line="460" w:lineRule="exact"/>
        <w:rPr>
          <w:rFonts w:ascii="宋体" w:hAnsi="宋体" w:cs="宋体"/>
          <w:szCs w:val="21"/>
        </w:rPr>
      </w:pPr>
    </w:p>
    <w:p>
      <w:pPr>
        <w:snapToGrid w:val="0"/>
        <w:spacing w:line="460" w:lineRule="exact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二、费率</w:t>
      </w:r>
      <w:r>
        <w:rPr>
          <w:rFonts w:hint="eastAsia" w:ascii="宋体" w:hAnsi="宋体" w:eastAsia="宋体" w:cs="宋体"/>
          <w:b/>
          <w:bCs/>
          <w:szCs w:val="21"/>
        </w:rPr>
        <w:t>调整</w:t>
      </w:r>
      <w:r>
        <w:rPr>
          <w:rFonts w:hint="eastAsia" w:ascii="宋体" w:hAnsi="宋体" w:cs="宋体"/>
          <w:b/>
          <w:bCs/>
          <w:szCs w:val="21"/>
        </w:rPr>
        <w:t>系数</w:t>
      </w:r>
    </w:p>
    <w:tbl>
      <w:tblPr>
        <w:tblStyle w:val="14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040"/>
        <w:gridCol w:w="276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  <w:jc w:val="center"/>
        </w:trPr>
        <w:tc>
          <w:tcPr>
            <w:tcW w:w="140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风险因子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因子值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大学、大专院校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[0.7,0.8)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中学（含初中、高中）、中专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[0.8,0.9)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小学生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[0.9,1.0)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幼儿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园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[1.0,1.3]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其他（特殊学校；体育、武术学校；职业学校等）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[0.8,1.3]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所在学校安全管理</w:t>
            </w:r>
            <w:r>
              <w:rPr>
                <w:rFonts w:hint="eastAsia" w:ascii="宋体" w:hAnsi="宋体" w:cs="宋体"/>
                <w:szCs w:val="21"/>
              </w:rPr>
              <w:t>水平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管理良好，安全防护措施一般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（1.0,1.5]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管理良好，安全防护措施较好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(0.8,1.0]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管理良好，安全防护措施齐全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[0.4,0.8]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渠道年度预计投保规模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≤50人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(1.0,1.2]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51～500人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(0.8,1.0]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501～1000人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(0.6,0.8]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＞1000人</w:t>
            </w:r>
          </w:p>
        </w:tc>
        <w:tc>
          <w:tcPr>
            <w:tcW w:w="2215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[0.4,0.6]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所属地区</w:t>
            </w:r>
          </w:p>
        </w:tc>
        <w:tc>
          <w:tcPr>
            <w:tcW w:w="2760" w:type="dxa"/>
            <w:shd w:val="clear" w:color="auto" w:fill="auto"/>
          </w:tcPr>
          <w:p>
            <w:pPr>
              <w:spacing w:after="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三线城市及其他地区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1.0,1.5]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</w:tcPr>
          <w:p>
            <w:pPr>
              <w:spacing w:after="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二线城市及东南沿海发达地区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(0.8,1.0]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</w:tcPr>
          <w:p>
            <w:pPr>
              <w:spacing w:after="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一线城市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[0.4,0.8]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当地社会治安情况</w:t>
            </w: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社区及周边人文、治安、法律情况较差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1.0,1.5]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社区及周边人文、治安、法律情况一般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(0.8,1.0]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社区及周边人文、治安、法律情况良好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[0.4,0.8]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经验/预期赔付率</w:t>
            </w: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bCs/>
                <w:szCs w:val="21"/>
              </w:rPr>
              <w:t>80%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以上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</w:rPr>
              <w:t>1.2,1.8]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(</w:t>
            </w:r>
            <w:r>
              <w:rPr>
                <w:rFonts w:ascii="宋体" w:hAnsi="宋体" w:eastAsia="宋体" w:cs="宋体"/>
                <w:bCs/>
                <w:szCs w:val="21"/>
              </w:rPr>
              <w:t>60%</w:t>
            </w:r>
            <w:r>
              <w:rPr>
                <w:rFonts w:ascii="宋体" w:hAnsi="宋体" w:cs="宋体"/>
                <w:bCs/>
                <w:szCs w:val="21"/>
              </w:rPr>
              <w:t>,</w:t>
            </w:r>
            <w:r>
              <w:rPr>
                <w:rFonts w:ascii="宋体" w:hAnsi="宋体" w:eastAsia="宋体" w:cs="宋体"/>
                <w:bCs/>
                <w:szCs w:val="21"/>
              </w:rPr>
              <w:t>80%</w:t>
            </w:r>
            <w:r>
              <w:rPr>
                <w:rFonts w:ascii="宋体" w:hAnsi="宋体" w:cs="宋体"/>
                <w:bCs/>
                <w:szCs w:val="21"/>
              </w:rPr>
              <w:t>]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(1.0,1.2]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(</w:t>
            </w:r>
            <w:r>
              <w:rPr>
                <w:rFonts w:ascii="宋体" w:hAnsi="宋体" w:eastAsia="宋体" w:cs="宋体"/>
                <w:bCs/>
                <w:szCs w:val="21"/>
              </w:rPr>
              <w:t>40%</w:t>
            </w:r>
            <w:r>
              <w:rPr>
                <w:rFonts w:ascii="宋体" w:hAnsi="宋体" w:cs="宋体"/>
                <w:bCs/>
                <w:szCs w:val="21"/>
              </w:rPr>
              <w:t>,</w:t>
            </w:r>
            <w:r>
              <w:rPr>
                <w:rFonts w:ascii="宋体" w:hAnsi="宋体" w:eastAsia="宋体" w:cs="宋体"/>
                <w:bCs/>
                <w:szCs w:val="21"/>
              </w:rPr>
              <w:t>60%</w:t>
            </w:r>
            <w:r>
              <w:rPr>
                <w:rFonts w:ascii="宋体" w:hAnsi="宋体" w:cs="宋体"/>
                <w:bCs/>
                <w:szCs w:val="21"/>
              </w:rPr>
              <w:t>]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(0.6,1.0]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[</w:t>
            </w:r>
            <w:r>
              <w:rPr>
                <w:rFonts w:ascii="宋体" w:hAnsi="宋体" w:eastAsia="宋体" w:cs="宋体"/>
                <w:bCs/>
                <w:szCs w:val="21"/>
              </w:rPr>
              <w:t>0</w:t>
            </w:r>
            <w:r>
              <w:rPr>
                <w:rFonts w:ascii="宋体" w:hAnsi="宋体" w:cs="宋体"/>
                <w:bCs/>
                <w:szCs w:val="21"/>
              </w:rPr>
              <w:t>,</w:t>
            </w:r>
            <w:r>
              <w:rPr>
                <w:rFonts w:ascii="宋体" w:hAnsi="宋体" w:eastAsia="宋体" w:cs="宋体"/>
                <w:bCs/>
                <w:szCs w:val="21"/>
              </w:rPr>
              <w:t>40%</w:t>
            </w:r>
            <w:r>
              <w:rPr>
                <w:rFonts w:ascii="宋体" w:hAnsi="宋体" w:cs="宋体"/>
                <w:bCs/>
                <w:szCs w:val="21"/>
              </w:rPr>
              <w:t>]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[0.4,0.6]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20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销售方式</w:t>
            </w: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直销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[0.8,1.1]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04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非直销</w:t>
            </w:r>
          </w:p>
        </w:tc>
        <w:tc>
          <w:tcPr>
            <w:tcW w:w="221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[0.9,1.3]</w:t>
            </w:r>
          </w:p>
        </w:tc>
      </w:tr>
    </w:tbl>
    <w:p>
      <w:pPr>
        <w:pStyle w:val="33"/>
        <w:adjustRightInd w:val="0"/>
        <w:snapToGrid/>
        <w:spacing w:line="360" w:lineRule="auto"/>
        <w:ind w:firstLine="440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保险费</w:t>
      </w:r>
      <w:r>
        <w:rPr>
          <w:rFonts w:hint="eastAsia" w:ascii="宋体" w:hAnsi="宋体" w:cs="宋体"/>
          <w:b/>
          <w:bCs/>
          <w:szCs w:val="21"/>
        </w:rPr>
        <w:t>计算</w:t>
      </w:r>
    </w:p>
    <w:p>
      <w:pPr>
        <w:pStyle w:val="33"/>
        <w:ind w:firstLine="405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年保险费</w:t>
      </w:r>
      <w:r>
        <w:rPr>
          <w:rFonts w:ascii="宋体" w:hAnsi="宋体" w:cs="宋体"/>
          <w:color w:val="000000"/>
          <w:sz w:val="21"/>
          <w:szCs w:val="21"/>
        </w:rPr>
        <w:t>=保险金额×</w:t>
      </w:r>
      <w:r>
        <w:rPr>
          <w:rFonts w:hint="eastAsia" w:ascii="宋体" w:hAnsi="宋体" w:cs="宋体"/>
          <w:color w:val="000000"/>
          <w:sz w:val="21"/>
          <w:szCs w:val="21"/>
        </w:rPr>
        <w:t>年基准费率×各项费率调整系数之乘积</w:t>
      </w:r>
    </w:p>
    <w:p>
      <w:pPr>
        <w:pStyle w:val="33"/>
        <w:ind w:firstLine="405"/>
        <w:rPr>
          <w:rFonts w:ascii="宋体" w:hAnsi="宋体" w:cs="宋体"/>
          <w:color w:val="000000"/>
          <w:sz w:val="21"/>
          <w:szCs w:val="21"/>
        </w:rPr>
      </w:pPr>
    </w:p>
    <w:p>
      <w:pPr>
        <w:pStyle w:val="33"/>
        <w:adjustRightInd w:val="0"/>
        <w:snapToGrid/>
        <w:spacing w:line="360" w:lineRule="auto"/>
        <w:ind w:firstLine="420" w:firstLineChars="200"/>
        <w:rPr>
          <w:rFonts w:ascii="宋体" w:hAnsi="宋体" w:cs="宋体"/>
          <w:b/>
          <w:color w:val="000000"/>
          <w:sz w:val="21"/>
          <w:szCs w:val="21"/>
        </w:rPr>
      </w:pPr>
      <w:r>
        <w:rPr>
          <w:rFonts w:hint="eastAsia" w:ascii="宋体" w:hAnsi="宋体" w:cs="宋体"/>
          <w:b/>
          <w:color w:val="000000"/>
          <w:sz w:val="21"/>
          <w:szCs w:val="21"/>
        </w:rPr>
        <w:t>四、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短期</w:t>
      </w:r>
      <w:r>
        <w:rPr>
          <w:rFonts w:hint="eastAsia" w:ascii="宋体" w:hAnsi="宋体" w:cs="宋体"/>
          <w:b/>
          <w:color w:val="000000"/>
          <w:sz w:val="21"/>
          <w:szCs w:val="21"/>
        </w:rPr>
        <w:t>费率表（按年费率的百分比计算）</w:t>
      </w:r>
    </w:p>
    <w:tbl>
      <w:tblPr>
        <w:tblStyle w:val="1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518"/>
        <w:gridCol w:w="518"/>
        <w:gridCol w:w="518"/>
        <w:gridCol w:w="518"/>
        <w:gridCol w:w="518"/>
        <w:gridCol w:w="518"/>
        <w:gridCol w:w="515"/>
        <w:gridCol w:w="519"/>
        <w:gridCol w:w="516"/>
        <w:gridCol w:w="519"/>
        <w:gridCol w:w="519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exact"/>
        </w:trPr>
        <w:tc>
          <w:tcPr>
            <w:tcW w:w="12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保险期间（个月）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3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6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7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8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9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11</w:t>
            </w:r>
          </w:p>
        </w:tc>
        <w:tc>
          <w:tcPr>
            <w:tcW w:w="3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exact"/>
        </w:trPr>
        <w:tc>
          <w:tcPr>
            <w:tcW w:w="12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年费率的百分比（</w:t>
            </w:r>
            <w:r>
              <w:rPr>
                <w:rFonts w:ascii="宋体" w:hAnsi="宋体" w:cs="宋体"/>
                <w:bCs/>
                <w:szCs w:val="21"/>
              </w:rPr>
              <w:t>%）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60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80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85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90</w:t>
            </w:r>
          </w:p>
        </w:tc>
        <w:tc>
          <w:tcPr>
            <w:tcW w:w="3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95</w:t>
            </w:r>
          </w:p>
        </w:tc>
        <w:tc>
          <w:tcPr>
            <w:tcW w:w="3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100</w:t>
            </w:r>
          </w:p>
        </w:tc>
      </w:tr>
    </w:tbl>
    <w:p>
      <w:pPr>
        <w:pStyle w:val="33"/>
        <w:ind w:firstLine="420" w:firstLineChars="200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注：保险期间不足</w:t>
      </w:r>
      <w:r>
        <w:rPr>
          <w:rFonts w:ascii="宋体" w:hAnsi="宋体" w:cs="宋体"/>
          <w:color w:val="000000"/>
          <w:sz w:val="21"/>
          <w:szCs w:val="21"/>
        </w:rPr>
        <w:t>1个月的，按1个月计算；保险期间在1个月以上，不足2个月的，按2</w:t>
      </w:r>
      <w:r>
        <w:rPr>
          <w:rFonts w:hint="eastAsia" w:ascii="宋体" w:hAnsi="宋体" w:cs="宋体"/>
          <w:color w:val="000000"/>
          <w:sz w:val="21"/>
          <w:szCs w:val="21"/>
        </w:rPr>
        <w:t>个月计算；保险期间在</w:t>
      </w:r>
      <w:r>
        <w:rPr>
          <w:rFonts w:ascii="宋体" w:hAnsi="宋体" w:cs="宋体"/>
          <w:color w:val="000000"/>
          <w:sz w:val="21"/>
          <w:szCs w:val="21"/>
        </w:rPr>
        <w:t>2个月以上，不足3个月的，按3个月计算，依此类推。</w:t>
      </w:r>
    </w:p>
    <w:p>
      <w:pPr>
        <w:snapToGrid w:val="0"/>
        <w:spacing w:line="460" w:lineRule="exact"/>
        <w:ind w:firstLine="420" w:firstLineChars="200"/>
        <w:rPr>
          <w:rFonts w:ascii="宋体" w:hAnsi="宋体" w:cs="宋体"/>
          <w:szCs w:val="21"/>
        </w:rPr>
      </w:pPr>
    </w:p>
    <w:p/>
    <w:p>
      <w:pPr>
        <w:widowControl/>
        <w:autoSpaceDE w:val="0"/>
        <w:autoSpaceDN w:val="0"/>
        <w:adjustRightInd w:val="0"/>
        <w:spacing w:line="440" w:lineRule="exact"/>
        <w:ind w:firstLine="420" w:firstLineChars="200"/>
        <w:jc w:val="left"/>
        <w:textAlignment w:val="bottom"/>
        <w:rPr>
          <w:rFonts w:ascii="宋体" w:hAnsi="宋体"/>
          <w:kern w:val="0"/>
          <w:szCs w:val="21"/>
        </w:rPr>
      </w:pPr>
    </w:p>
    <w:p>
      <w:pPr>
        <w:jc w:val="center"/>
        <w:rPr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2M5YjFmMzE2ZWU5YmM2OWUyMGI0M2U5YWY0YjQifQ=="/>
  </w:docVars>
  <w:rsids>
    <w:rsidRoot w:val="009C24A0"/>
    <w:rsid w:val="00023897"/>
    <w:rsid w:val="000278E9"/>
    <w:rsid w:val="000372E8"/>
    <w:rsid w:val="00047749"/>
    <w:rsid w:val="00075410"/>
    <w:rsid w:val="00087B27"/>
    <w:rsid w:val="000B3239"/>
    <w:rsid w:val="000C7B49"/>
    <w:rsid w:val="000E779A"/>
    <w:rsid w:val="00115AE4"/>
    <w:rsid w:val="00136715"/>
    <w:rsid w:val="001579E4"/>
    <w:rsid w:val="00171E82"/>
    <w:rsid w:val="0019081F"/>
    <w:rsid w:val="00192AA7"/>
    <w:rsid w:val="001B777F"/>
    <w:rsid w:val="001C5744"/>
    <w:rsid w:val="001E4196"/>
    <w:rsid w:val="0020057C"/>
    <w:rsid w:val="002072F5"/>
    <w:rsid w:val="0021496B"/>
    <w:rsid w:val="00231018"/>
    <w:rsid w:val="0027041F"/>
    <w:rsid w:val="002873A4"/>
    <w:rsid w:val="002A3F8A"/>
    <w:rsid w:val="002B4665"/>
    <w:rsid w:val="002D3CAB"/>
    <w:rsid w:val="002F596F"/>
    <w:rsid w:val="003357F3"/>
    <w:rsid w:val="003461CA"/>
    <w:rsid w:val="00347CC9"/>
    <w:rsid w:val="00365E65"/>
    <w:rsid w:val="003A7D9C"/>
    <w:rsid w:val="003B6F63"/>
    <w:rsid w:val="003B7A71"/>
    <w:rsid w:val="00412B2B"/>
    <w:rsid w:val="00431214"/>
    <w:rsid w:val="004315EC"/>
    <w:rsid w:val="004401BD"/>
    <w:rsid w:val="00477805"/>
    <w:rsid w:val="004801A4"/>
    <w:rsid w:val="004945E5"/>
    <w:rsid w:val="004A0B7D"/>
    <w:rsid w:val="004B2733"/>
    <w:rsid w:val="004B37A8"/>
    <w:rsid w:val="004C57AB"/>
    <w:rsid w:val="004C7CD4"/>
    <w:rsid w:val="004E312C"/>
    <w:rsid w:val="00503035"/>
    <w:rsid w:val="00505500"/>
    <w:rsid w:val="00534AFF"/>
    <w:rsid w:val="00536A0D"/>
    <w:rsid w:val="00562A07"/>
    <w:rsid w:val="00572870"/>
    <w:rsid w:val="005774B0"/>
    <w:rsid w:val="005843FB"/>
    <w:rsid w:val="005C1D86"/>
    <w:rsid w:val="005C22D7"/>
    <w:rsid w:val="005C67B5"/>
    <w:rsid w:val="005E7B17"/>
    <w:rsid w:val="006774B6"/>
    <w:rsid w:val="00685088"/>
    <w:rsid w:val="00697246"/>
    <w:rsid w:val="006A68E4"/>
    <w:rsid w:val="006C4534"/>
    <w:rsid w:val="006F7016"/>
    <w:rsid w:val="00717E49"/>
    <w:rsid w:val="0073531C"/>
    <w:rsid w:val="00742816"/>
    <w:rsid w:val="0074365D"/>
    <w:rsid w:val="007639E2"/>
    <w:rsid w:val="00787449"/>
    <w:rsid w:val="008372AA"/>
    <w:rsid w:val="00845E21"/>
    <w:rsid w:val="008872C7"/>
    <w:rsid w:val="008B7B64"/>
    <w:rsid w:val="008C3A1A"/>
    <w:rsid w:val="008C3F99"/>
    <w:rsid w:val="008F465E"/>
    <w:rsid w:val="008F6116"/>
    <w:rsid w:val="0091657E"/>
    <w:rsid w:val="0092399C"/>
    <w:rsid w:val="00961110"/>
    <w:rsid w:val="00987BE9"/>
    <w:rsid w:val="00990FAA"/>
    <w:rsid w:val="0099648F"/>
    <w:rsid w:val="009C24A0"/>
    <w:rsid w:val="009F6685"/>
    <w:rsid w:val="00A17AAF"/>
    <w:rsid w:val="00A45FBF"/>
    <w:rsid w:val="00A90F32"/>
    <w:rsid w:val="00A926EA"/>
    <w:rsid w:val="00AA0282"/>
    <w:rsid w:val="00AB141C"/>
    <w:rsid w:val="00AC7D42"/>
    <w:rsid w:val="00AE29EB"/>
    <w:rsid w:val="00B3078F"/>
    <w:rsid w:val="00B42074"/>
    <w:rsid w:val="00B559AF"/>
    <w:rsid w:val="00B640FF"/>
    <w:rsid w:val="00B80954"/>
    <w:rsid w:val="00B86050"/>
    <w:rsid w:val="00B91188"/>
    <w:rsid w:val="00B959D7"/>
    <w:rsid w:val="00BA4BE1"/>
    <w:rsid w:val="00BD5F6F"/>
    <w:rsid w:val="00BE5432"/>
    <w:rsid w:val="00BF5383"/>
    <w:rsid w:val="00C01985"/>
    <w:rsid w:val="00C04E1B"/>
    <w:rsid w:val="00C26BC0"/>
    <w:rsid w:val="00C50F61"/>
    <w:rsid w:val="00CC4282"/>
    <w:rsid w:val="00D043C9"/>
    <w:rsid w:val="00D26EF0"/>
    <w:rsid w:val="00D52E05"/>
    <w:rsid w:val="00D90C6E"/>
    <w:rsid w:val="00DA3C82"/>
    <w:rsid w:val="00DA656D"/>
    <w:rsid w:val="00DB53FE"/>
    <w:rsid w:val="00DD5A24"/>
    <w:rsid w:val="00E76421"/>
    <w:rsid w:val="00E85A4E"/>
    <w:rsid w:val="00E873A8"/>
    <w:rsid w:val="00E961B2"/>
    <w:rsid w:val="00EF7C69"/>
    <w:rsid w:val="00F07187"/>
    <w:rsid w:val="00F424A4"/>
    <w:rsid w:val="00F5682B"/>
    <w:rsid w:val="00F57648"/>
    <w:rsid w:val="00F6469A"/>
    <w:rsid w:val="00FA1693"/>
    <w:rsid w:val="00FD2A7C"/>
    <w:rsid w:val="172C22E4"/>
    <w:rsid w:val="17513B3E"/>
    <w:rsid w:val="25041ADF"/>
    <w:rsid w:val="422F6484"/>
    <w:rsid w:val="44F50B21"/>
    <w:rsid w:val="4EAE4928"/>
    <w:rsid w:val="54053670"/>
    <w:rsid w:val="54731F1F"/>
    <w:rsid w:val="6FF3D55B"/>
    <w:rsid w:val="73915F60"/>
    <w:rsid w:val="74462E39"/>
    <w:rsid w:val="7C1A0E56"/>
    <w:rsid w:val="7DEF7918"/>
    <w:rsid w:val="7FB4E8F2"/>
    <w:rsid w:val="B7DFB868"/>
    <w:rsid w:val="DBFFCA42"/>
    <w:rsid w:val="FBD6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63"/>
    <w:semiHidden/>
    <w:unhideWhenUsed/>
    <w:qFormat/>
    <w:uiPriority w:val="99"/>
    <w:rPr>
      <w:rFonts w:ascii="宋体"/>
      <w:kern w:val="0"/>
      <w:sz w:val="18"/>
      <w:szCs w:val="18"/>
    </w:rPr>
  </w:style>
  <w:style w:type="paragraph" w:styleId="6">
    <w:name w:val="annotation text"/>
    <w:basedOn w:val="1"/>
    <w:link w:val="64"/>
    <w:semiHidden/>
    <w:unhideWhenUsed/>
    <w:qFormat/>
    <w:uiPriority w:val="99"/>
    <w:pPr>
      <w:jc w:val="left"/>
    </w:pPr>
    <w:rPr>
      <w:kern w:val="0"/>
      <w:sz w:val="20"/>
      <w:szCs w:val="20"/>
    </w:rPr>
  </w:style>
  <w:style w:type="paragraph" w:styleId="7">
    <w:name w:val="toc 3"/>
    <w:basedOn w:val="1"/>
    <w:next w:val="1"/>
    <w:unhideWhenUsed/>
    <w:qFormat/>
    <w:uiPriority w:val="39"/>
    <w:pPr>
      <w:widowControl/>
      <w:tabs>
        <w:tab w:val="left" w:pos="1418"/>
        <w:tab w:val="right" w:leader="dot" w:pos="8296"/>
      </w:tabs>
      <w:ind w:left="848" w:leftChars="303" w:firstLine="3" w:firstLineChars="1"/>
      <w:jc w:val="left"/>
    </w:pPr>
    <w:rPr>
      <w:rFonts w:ascii="宋体" w:hAnsi="宋体" w:cs="宋体"/>
      <w:kern w:val="0"/>
      <w:sz w:val="28"/>
      <w:szCs w:val="24"/>
    </w:rPr>
  </w:style>
  <w:style w:type="paragraph" w:styleId="8">
    <w:name w:val="Balloon Text"/>
    <w:basedOn w:val="1"/>
    <w:link w:val="25"/>
    <w:semiHidden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jc w:val="left"/>
    </w:pPr>
    <w:rPr>
      <w:rFonts w:ascii="宋体" w:hAnsi="宋体" w:cs="宋体"/>
      <w:kern w:val="0"/>
      <w:sz w:val="28"/>
      <w:szCs w:val="24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left" w:pos="851"/>
        <w:tab w:val="right" w:leader="dot" w:pos="8296"/>
      </w:tabs>
      <w:ind w:left="560" w:leftChars="200"/>
      <w:jc w:val="left"/>
    </w:pPr>
    <w:rPr>
      <w:rFonts w:ascii="宋体" w:hAnsi="宋体" w:cs="宋体"/>
      <w:kern w:val="0"/>
      <w:sz w:val="28"/>
      <w:szCs w:val="24"/>
    </w:rPr>
  </w:style>
  <w:style w:type="paragraph" w:styleId="13">
    <w:name w:val="annotation subject"/>
    <w:basedOn w:val="6"/>
    <w:next w:val="6"/>
    <w:link w:val="65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semiHidden/>
    <w:unhideWhenUsed/>
    <w:qFormat/>
    <w:uiPriority w:val="99"/>
    <w:rPr>
      <w:color w:val="800080"/>
      <w:u w:val="single"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0"/>
    <w:qFormat/>
    <w:uiPriority w:val="99"/>
    <w:rPr>
      <w:sz w:val="18"/>
      <w:szCs w:val="18"/>
    </w:rPr>
  </w:style>
  <w:style w:type="character" w:customStyle="1" w:styleId="21">
    <w:name w:val="页脚 字符"/>
    <w:link w:val="9"/>
    <w:qFormat/>
    <w:uiPriority w:val="99"/>
    <w:rPr>
      <w:sz w:val="18"/>
      <w:szCs w:val="18"/>
    </w:rPr>
  </w:style>
  <w:style w:type="character" w:customStyle="1" w:styleId="22">
    <w:name w:val="标题 1 字符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</w:rPr>
  </w:style>
  <w:style w:type="paragraph" w:customStyle="1" w:styleId="23">
    <w:name w:val="条款正文"/>
    <w:basedOn w:val="1"/>
    <w:qFormat/>
    <w:uiPriority w:val="0"/>
    <w:pPr>
      <w:adjustRightInd w:val="0"/>
      <w:snapToGrid w:val="0"/>
      <w:ind w:left="840" w:leftChars="400" w:firstLine="420" w:firstLineChars="200"/>
    </w:pPr>
    <w:rPr>
      <w:rFonts w:ascii="Times New Roman" w:hAnsi="Times New Roman"/>
      <w:szCs w:val="24"/>
    </w:rPr>
  </w:style>
  <w:style w:type="paragraph" w:customStyle="1" w:styleId="24">
    <w:name w:val="条款标题"/>
    <w:basedOn w:val="23"/>
    <w:qFormat/>
    <w:uiPriority w:val="0"/>
    <w:pPr>
      <w:tabs>
        <w:tab w:val="left" w:pos="840"/>
      </w:tabs>
      <w:ind w:left="0" w:leftChars="0" w:firstLine="0" w:firstLineChars="0"/>
    </w:pPr>
    <w:rPr>
      <w:b/>
    </w:rPr>
  </w:style>
  <w:style w:type="character" w:customStyle="1" w:styleId="25">
    <w:name w:val="批注框文本 字符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6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7">
    <w:name w:val="标题 3 字符"/>
    <w:link w:val="4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styleId="2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8"/>
      <w:szCs w:val="24"/>
    </w:rPr>
  </w:style>
  <w:style w:type="paragraph" w:customStyle="1" w:styleId="29">
    <w:name w:val="注解（小四，楷体）"/>
    <w:basedOn w:val="1"/>
    <w:link w:val="31"/>
    <w:qFormat/>
    <w:uiPriority w:val="0"/>
    <w:pPr>
      <w:widowControl/>
      <w:contextualSpacing/>
      <w:jc w:val="left"/>
    </w:pPr>
    <w:rPr>
      <w:rFonts w:ascii="楷体" w:hAnsi="楷体" w:eastAsia="楷体"/>
      <w:kern w:val="0"/>
      <w:sz w:val="24"/>
      <w:szCs w:val="24"/>
    </w:rPr>
  </w:style>
  <w:style w:type="paragraph" w:customStyle="1" w:styleId="30">
    <w:name w:val="表格（小四，宋体）"/>
    <w:basedOn w:val="1"/>
    <w:link w:val="32"/>
    <w:qFormat/>
    <w:uiPriority w:val="0"/>
    <w:pPr>
      <w:widowControl/>
      <w:contextualSpacing/>
      <w:jc w:val="left"/>
    </w:pPr>
    <w:rPr>
      <w:rFonts w:ascii="宋体" w:hAnsi="宋体"/>
      <w:kern w:val="0"/>
      <w:sz w:val="24"/>
      <w:szCs w:val="24"/>
    </w:rPr>
  </w:style>
  <w:style w:type="character" w:customStyle="1" w:styleId="31">
    <w:name w:val="注解（小四，楷体） Char"/>
    <w:link w:val="29"/>
    <w:qFormat/>
    <w:uiPriority w:val="0"/>
    <w:rPr>
      <w:rFonts w:ascii="楷体" w:hAnsi="楷体" w:eastAsia="楷体" w:cs="Times New Roman"/>
      <w:kern w:val="0"/>
      <w:sz w:val="24"/>
      <w:szCs w:val="24"/>
    </w:rPr>
  </w:style>
  <w:style w:type="character" w:customStyle="1" w:styleId="32">
    <w:name w:val="表格（小四，宋体） Char"/>
    <w:link w:val="30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paragraph" w:styleId="33">
    <w:name w:val="No Spacing"/>
    <w:link w:val="3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34">
    <w:name w:val="无间隔 字符"/>
    <w:link w:val="33"/>
    <w:qFormat/>
    <w:uiPriority w:val="1"/>
    <w:rPr>
      <w:sz w:val="22"/>
      <w:szCs w:val="22"/>
      <w:lang w:bidi="ar-SA"/>
    </w:rPr>
  </w:style>
  <w:style w:type="paragraph" w:customStyle="1" w:styleId="35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6">
    <w:name w:val="_Style 30"/>
    <w:unhideWhenUsed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38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4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4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44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46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47">
    <w:name w:val="xl7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9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0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1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2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8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2">
    <w:name w:val="Char1 Char Char Char"/>
    <w:next w:val="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3">
    <w:name w:val="文档结构图 字符"/>
    <w:link w:val="5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64">
    <w:name w:val="批注文字 字符"/>
    <w:link w:val="6"/>
    <w:semiHidden/>
    <w:qFormat/>
    <w:uiPriority w:val="99"/>
    <w:rPr>
      <w:rFonts w:ascii="Calibri" w:hAnsi="Calibri" w:eastAsia="宋体" w:cs="Times New Roman"/>
    </w:rPr>
  </w:style>
  <w:style w:type="character" w:customStyle="1" w:styleId="65">
    <w:name w:val="批注主题 字符"/>
    <w:link w:val="13"/>
    <w:semiHidden/>
    <w:qFormat/>
    <w:uiPriority w:val="99"/>
    <w:rPr>
      <w:rFonts w:ascii="Calibri" w:hAnsi="Calibri" w:eastAsia="宋体" w:cs="Times New Roman"/>
      <w:b/>
      <w:bCs/>
    </w:rPr>
  </w:style>
  <w:style w:type="paragraph" w:customStyle="1" w:styleId="66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1003</Words>
  <Characters>1315</Characters>
  <Lines>11</Lines>
  <Paragraphs>3</Paragraphs>
  <TotalTime>46</TotalTime>
  <ScaleCrop>false</ScaleCrop>
  <LinksUpToDate>false</LinksUpToDate>
  <CharactersWithSpaces>1321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2017-09-23T08:01:00Z</dcterms:created>
  <dc:creator>吴薇</dc:creator>
  <cp:lastModifiedBy>Zixuan Shen</cp:lastModifiedBy>
  <dcterms:modified xsi:type="dcterms:W3CDTF">2022-06-27T16:47:02Z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80AF8E8557234E4AA4CFF17EE2AA094D</vt:lpwstr>
  </property>
</Properties>
</file>