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华农财产保险股份有限公司</w:t>
      </w:r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旅行意外伤害保险费率表</w:t>
      </w:r>
    </w:p>
    <w:p>
      <w:pPr>
        <w:jc w:val="center"/>
        <w:rPr>
          <w:rFonts w:ascii="宋体" w:hAnsi="宋体" w:eastAsia="宋体" w:cs="宋体"/>
          <w:b/>
          <w:bCs/>
          <w:szCs w:val="21"/>
        </w:rPr>
      </w:pPr>
    </w:p>
    <w:p>
      <w:pPr>
        <w:widowControl/>
        <w:spacing w:after="156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一、基准费率</w:t>
      </w:r>
    </w:p>
    <w:p>
      <w:pPr>
        <w:widowControl/>
        <w:numPr>
          <w:ilvl w:val="0"/>
          <w:numId w:val="1"/>
        </w:numPr>
        <w:spacing w:after="156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境内（不含香港、澳门、台湾地区）</w:t>
      </w:r>
    </w:p>
    <w:tbl>
      <w:tblPr>
        <w:tblStyle w:val="6"/>
        <w:tblW w:w="833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1604"/>
        <w:gridCol w:w="1438"/>
        <w:gridCol w:w="1185"/>
        <w:gridCol w:w="1323"/>
        <w:gridCol w:w="1466"/>
      </w:tblGrid>
      <w:tr>
        <w:trPr>
          <w:trHeight w:val="328" w:hRule="atLeast"/>
        </w:trPr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保险期间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基本责任</w:t>
            </w:r>
          </w:p>
        </w:tc>
        <w:tc>
          <w:tcPr>
            <w:tcW w:w="54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可选责任</w:t>
            </w:r>
          </w:p>
        </w:tc>
      </w:tr>
      <w:tr>
        <w:trPr>
          <w:trHeight w:val="645" w:hRule="atLeast"/>
        </w:trPr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意外伤害身故保险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意外伤害残疾保险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医疗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lang w:bidi="ar"/>
              </w:rPr>
              <w:t>保险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丧葬费</w:t>
            </w:r>
            <w:r>
              <w:rPr>
                <w:rStyle w:val="12"/>
                <w:rFonts w:hint="default"/>
                <w:b/>
                <w:bCs/>
                <w:lang w:bidi="ar"/>
              </w:rPr>
              <w:t>保险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急性病身故</w:t>
            </w:r>
            <w:r>
              <w:rPr>
                <w:rStyle w:val="12"/>
                <w:rFonts w:hint="default"/>
                <w:b/>
                <w:bCs/>
                <w:lang w:bidi="ar"/>
              </w:rPr>
              <w:t>、全残保险</w:t>
            </w:r>
          </w:p>
        </w:tc>
      </w:tr>
      <w:tr>
        <w:trPr>
          <w:trHeight w:val="328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日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0.0108‰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0.0072‰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0.015‰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0.004‰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0.004‰</w:t>
            </w:r>
          </w:p>
        </w:tc>
      </w:tr>
      <w:tr>
        <w:trPr>
          <w:trHeight w:val="328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－5日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0.0192‰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0.0128‰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0.05‰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0.006‰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0.006‰</w:t>
            </w:r>
          </w:p>
        </w:tc>
      </w:tr>
      <w:tr>
        <w:trPr>
          <w:trHeight w:val="328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－9日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0.0228‰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0.0152‰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0.064‰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0.006‰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0.007‰</w:t>
            </w:r>
          </w:p>
        </w:tc>
      </w:tr>
      <w:tr>
        <w:trPr>
          <w:trHeight w:val="645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－12日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0.0258‰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0.0172‰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0.101‰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0.006‰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0.008‰</w:t>
            </w:r>
          </w:p>
        </w:tc>
      </w:tr>
      <w:tr>
        <w:trPr>
          <w:trHeight w:val="645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－16日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0.0342‰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0.0228‰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0.166‰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0.009‰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0.012‰</w:t>
            </w:r>
          </w:p>
        </w:tc>
      </w:tr>
      <w:tr>
        <w:trPr>
          <w:trHeight w:val="645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－20日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0.0426‰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0.0284‰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0.231‰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0.011‰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0.015‰</w:t>
            </w:r>
          </w:p>
        </w:tc>
      </w:tr>
      <w:tr>
        <w:trPr>
          <w:trHeight w:val="974" w:hRule="atLeast"/>
        </w:trPr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Style w:val="11"/>
                <w:rFonts w:hint="eastAsia" w:ascii="宋体" w:hAnsi="宋体" w:eastAsia="宋体" w:cs="宋体"/>
                <w:lang w:bidi="ar"/>
              </w:rPr>
              <w:t>日以后每增加一日加收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0.0036‰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0.0024‰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0.018‰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0.001‰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0.001‰</w:t>
            </w:r>
          </w:p>
        </w:tc>
      </w:tr>
    </w:tbl>
    <w:p>
      <w:pPr>
        <w:widowControl/>
        <w:numPr>
          <w:ilvl w:val="255"/>
          <w:numId w:val="0"/>
        </w:numPr>
        <w:spacing w:after="156"/>
        <w:rPr>
          <w:rFonts w:ascii="宋体" w:hAnsi="宋体" w:eastAsia="宋体" w:cs="宋体"/>
          <w:b/>
          <w:szCs w:val="21"/>
        </w:rPr>
      </w:pPr>
    </w:p>
    <w:p>
      <w:pPr>
        <w:widowControl/>
        <w:numPr>
          <w:ilvl w:val="0"/>
          <w:numId w:val="2"/>
        </w:numPr>
        <w:spacing w:after="156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境外（含香港、澳门、台湾地区）</w:t>
      </w:r>
    </w:p>
    <w:tbl>
      <w:tblPr>
        <w:tblStyle w:val="6"/>
        <w:tblW w:w="840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335"/>
        <w:gridCol w:w="1562"/>
        <w:gridCol w:w="1320"/>
        <w:gridCol w:w="1320"/>
        <w:gridCol w:w="1545"/>
      </w:tblGrid>
      <w:tr>
        <w:trPr>
          <w:trHeight w:val="322" w:hRule="atLeast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保险期间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基本责任</w:t>
            </w:r>
          </w:p>
        </w:tc>
        <w:tc>
          <w:tcPr>
            <w:tcW w:w="57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可选责任</w:t>
            </w:r>
          </w:p>
        </w:tc>
      </w:tr>
      <w:tr>
        <w:trPr>
          <w:trHeight w:val="633" w:hRule="atLeast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意外伤害身故保险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意外伤害残疾保险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医疗保险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丧葬费保险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急性病身故、全残保险</w:t>
            </w:r>
          </w:p>
        </w:tc>
      </w:tr>
      <w:tr>
        <w:trPr>
          <w:trHeight w:val="322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0.0168‰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0.0112‰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0.12‰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0.006‰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0.006‰</w:t>
            </w:r>
          </w:p>
        </w:tc>
      </w:tr>
      <w:tr>
        <w:trPr>
          <w:trHeight w:val="322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2－5日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0.0288‰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0.0192‰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0.16‰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0.008‰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0.009‰</w:t>
            </w:r>
          </w:p>
        </w:tc>
      </w:tr>
      <w:tr>
        <w:trPr>
          <w:trHeight w:val="322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6－9日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0.036‰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0.024‰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0.224‰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0.009‰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0.012‰</w:t>
            </w:r>
          </w:p>
        </w:tc>
      </w:tr>
      <w:tr>
        <w:trPr>
          <w:trHeight w:val="633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10－12日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0.0528‰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0.0352‰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0.288‰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0.012‰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0.017‰</w:t>
            </w:r>
          </w:p>
        </w:tc>
      </w:tr>
      <w:tr>
        <w:trPr>
          <w:trHeight w:val="633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13－16日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0.0672‰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0.0448‰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0.4‰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0.014‰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0.022‰</w:t>
            </w:r>
          </w:p>
        </w:tc>
      </w:tr>
      <w:tr>
        <w:trPr>
          <w:trHeight w:val="633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17－20日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0.0864‰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0.0576‰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0.512‰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0.017‰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0.028‰</w:t>
            </w:r>
          </w:p>
        </w:tc>
      </w:tr>
      <w:tr>
        <w:trPr>
          <w:trHeight w:val="954" w:hRule="atLeast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20日以后每增加一日加收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0.0036‰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0.0024‰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0.02‰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0.0012‰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0.0012‰</w:t>
            </w:r>
          </w:p>
        </w:tc>
      </w:tr>
    </w:tbl>
    <w:p>
      <w:pPr>
        <w:widowControl/>
        <w:numPr>
          <w:ilvl w:val="255"/>
          <w:numId w:val="0"/>
        </w:numPr>
        <w:spacing w:after="156"/>
        <w:rPr>
          <w:rFonts w:ascii="宋体" w:hAnsi="宋体" w:eastAsia="宋体" w:cs="宋体"/>
          <w:b/>
          <w:szCs w:val="21"/>
        </w:rPr>
      </w:pPr>
    </w:p>
    <w:p>
      <w:pPr>
        <w:widowControl/>
        <w:spacing w:after="156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二、费率调整系数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1、旅行方式调整系数（F</w:t>
      </w:r>
      <w:r>
        <w:rPr>
          <w:rFonts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57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2890"/>
      </w:tblGrid>
      <w:tr>
        <w:trPr>
          <w:trHeight w:val="285" w:hRule="atLeast"/>
          <w:jc w:val="center"/>
        </w:trPr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旅行方式</w:t>
            </w:r>
          </w:p>
        </w:tc>
        <w:tc>
          <w:tcPr>
            <w:tcW w:w="2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调整系数</w:t>
            </w:r>
          </w:p>
        </w:tc>
      </w:tr>
      <w:tr>
        <w:trPr>
          <w:trHeight w:val="285" w:hRule="atLeast"/>
          <w:jc w:val="center"/>
        </w:trPr>
        <w:tc>
          <w:tcPr>
            <w:tcW w:w="29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自由行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[0.7,1.5]</w:t>
            </w:r>
          </w:p>
        </w:tc>
      </w:tr>
      <w:tr>
        <w:trPr>
          <w:trHeight w:val="285" w:hRule="atLeast"/>
          <w:jc w:val="center"/>
        </w:trPr>
        <w:tc>
          <w:tcPr>
            <w:tcW w:w="29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跟团游</w:t>
            </w:r>
          </w:p>
        </w:tc>
        <w:tc>
          <w:tcPr>
            <w:tcW w:w="2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[0.5,1.2]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>人数</w:t>
      </w:r>
      <w:r>
        <w:rPr>
          <w:rFonts w:hint="eastAsia" w:ascii="宋体" w:hAnsi="宋体" w:eastAsia="宋体" w:cs="宋体"/>
          <w:szCs w:val="21"/>
        </w:rPr>
        <w:t>规模调整系数（F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6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6"/>
        <w:gridCol w:w="3036"/>
      </w:tblGrid>
      <w:tr>
        <w:trPr>
          <w:trHeight w:val="285" w:hRule="atLeast"/>
          <w:jc w:val="center"/>
        </w:trPr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人数规模</w:t>
            </w:r>
          </w:p>
        </w:tc>
        <w:tc>
          <w:tcPr>
            <w:tcW w:w="3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rPr>
          <w:trHeight w:val="285" w:hRule="atLeast"/>
          <w:jc w:val="center"/>
        </w:trPr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1万人以上</w:t>
            </w:r>
          </w:p>
        </w:tc>
        <w:tc>
          <w:tcPr>
            <w:tcW w:w="3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[0.6,0.8)</w:t>
            </w:r>
          </w:p>
        </w:tc>
      </w:tr>
      <w:tr>
        <w:trPr>
          <w:trHeight w:val="285" w:hRule="atLeast"/>
          <w:jc w:val="center"/>
        </w:trPr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5000人-1万人（含）</w:t>
            </w:r>
          </w:p>
        </w:tc>
        <w:tc>
          <w:tcPr>
            <w:tcW w:w="3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[0.8,1.0)</w:t>
            </w:r>
          </w:p>
        </w:tc>
      </w:tr>
      <w:tr>
        <w:trPr>
          <w:trHeight w:val="285" w:hRule="atLeast"/>
          <w:jc w:val="center"/>
        </w:trPr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2000人（含）-5000人（含）</w:t>
            </w:r>
          </w:p>
        </w:tc>
        <w:tc>
          <w:tcPr>
            <w:tcW w:w="3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[1.0,1.2]</w:t>
            </w:r>
          </w:p>
        </w:tc>
      </w:tr>
      <w:tr>
        <w:trPr>
          <w:trHeight w:val="285" w:hRule="atLeast"/>
          <w:jc w:val="center"/>
        </w:trPr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2000人以下</w:t>
            </w:r>
          </w:p>
        </w:tc>
        <w:tc>
          <w:tcPr>
            <w:tcW w:w="30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(1.2,1.5]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3.历史赔付率调整系数（F</w:t>
      </w:r>
      <w:r>
        <w:rPr>
          <w:rFonts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6079" w:type="dxa"/>
        <w:tblInd w:w="1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3015"/>
      </w:tblGrid>
      <w:tr>
        <w:trPr>
          <w:trHeight w:val="473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历史赔付率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rPr>
          <w:trHeight w:val="494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0%（含）-20%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after="156"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[0.5,0.7)</w:t>
            </w:r>
          </w:p>
        </w:tc>
      </w:tr>
      <w:tr>
        <w:trPr>
          <w:trHeight w:val="494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20%（含）-30%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after="156"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[0.7,0.85)</w:t>
            </w:r>
          </w:p>
        </w:tc>
      </w:tr>
      <w:tr>
        <w:trPr>
          <w:trHeight w:val="494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30%（含）-40%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after="156"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[0.85,1.0)</w:t>
            </w:r>
          </w:p>
        </w:tc>
      </w:tr>
      <w:tr>
        <w:trPr>
          <w:trHeight w:val="494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40%（含）-50%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 w:val="0"/>
              <w:spacing w:after="156"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[1.0,1.2)</w:t>
            </w:r>
          </w:p>
        </w:tc>
      </w:tr>
      <w:tr>
        <w:trPr>
          <w:trHeight w:val="473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50%（含）以上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[1.2,2.0]</w:t>
            </w:r>
          </w:p>
        </w:tc>
      </w:tr>
      <w:tr>
        <w:trPr>
          <w:trHeight w:val="483" w:hRule="atLeast"/>
        </w:trPr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无历史赔付率</w:t>
            </w:r>
          </w:p>
        </w:tc>
        <w:tc>
          <w:tcPr>
            <w:tcW w:w="3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>销售</w:t>
      </w:r>
      <w:r>
        <w:rPr>
          <w:rFonts w:hint="eastAsia" w:ascii="宋体" w:hAnsi="宋体" w:eastAsia="宋体" w:cs="宋体"/>
          <w:szCs w:val="21"/>
        </w:rPr>
        <w:t>渠道调整系数（F</w:t>
      </w:r>
      <w:r>
        <w:rPr>
          <w:rFonts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6185" w:type="dxa"/>
        <w:tblInd w:w="11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6"/>
        <w:gridCol w:w="3099"/>
      </w:tblGrid>
      <w:tr>
        <w:trPr>
          <w:trHeight w:val="446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销售渠道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rPr>
          <w:trHeight w:val="466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直销渠道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[0.7,1.0]</w:t>
            </w:r>
          </w:p>
        </w:tc>
      </w:tr>
      <w:tr>
        <w:trPr>
          <w:trHeight w:val="466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非直销</w:t>
            </w:r>
            <w:r>
              <w:rPr>
                <w:rFonts w:hint="eastAsia" w:ascii="宋体" w:hAnsi="宋体" w:eastAsia="宋体" w:cs="宋体"/>
                <w:szCs w:val="21"/>
              </w:rPr>
              <w:t>渠道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[0.7,1.2]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</w:t>
      </w:r>
      <w:r>
        <w:rPr>
          <w:rFonts w:hint="eastAsia" w:ascii="宋体" w:hAnsi="宋体" w:eastAsia="宋体" w:cs="宋体"/>
          <w:szCs w:val="21"/>
        </w:rPr>
        <w:t>被保险人</w:t>
      </w:r>
      <w:r>
        <w:rPr>
          <w:rFonts w:hint="eastAsia" w:ascii="宋体" w:hAnsi="宋体" w:eastAsia="宋体" w:cs="宋体"/>
          <w:szCs w:val="21"/>
        </w:rPr>
        <w:t>年龄调整系数（F</w:t>
      </w:r>
      <w:r>
        <w:rPr>
          <w:rFonts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6185" w:type="dxa"/>
        <w:tblInd w:w="11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6"/>
        <w:gridCol w:w="3099"/>
      </w:tblGrid>
      <w:tr>
        <w:trPr>
          <w:trHeight w:val="446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被保险人年龄（周岁）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156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rPr>
          <w:trHeight w:val="466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0-16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[0.5,1</w:t>
            </w:r>
            <w:r>
              <w:rPr>
                <w:rFonts w:ascii="宋体" w:hAnsi="宋体" w:eastAsia="宋体" w:cs="宋体"/>
                <w:szCs w:val="21"/>
              </w:rPr>
              <w:t>.0</w:t>
            </w:r>
            <w:r>
              <w:rPr>
                <w:rFonts w:hint="eastAsia" w:ascii="宋体" w:hAnsi="宋体" w:eastAsia="宋体" w:cs="宋体"/>
                <w:szCs w:val="21"/>
              </w:rPr>
              <w:t>]</w:t>
            </w:r>
          </w:p>
        </w:tc>
      </w:tr>
      <w:tr>
        <w:trPr>
          <w:trHeight w:val="466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17-65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[0.3,0.8]</w:t>
            </w:r>
          </w:p>
        </w:tc>
      </w:tr>
      <w:tr>
        <w:trPr>
          <w:trHeight w:val="475" w:hRule="atLeast"/>
        </w:trPr>
        <w:tc>
          <w:tcPr>
            <w:tcW w:w="3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66及以上</w:t>
            </w:r>
          </w:p>
        </w:tc>
        <w:tc>
          <w:tcPr>
            <w:tcW w:w="3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</w:t>
            </w:r>
            <w:r>
              <w:rPr>
                <w:rFonts w:ascii="宋体" w:hAnsi="宋体" w:eastAsia="宋体" w:cs="宋体"/>
                <w:szCs w:val="21"/>
              </w:rPr>
              <w:t>.0</w:t>
            </w:r>
            <w:r>
              <w:rPr>
                <w:rFonts w:hint="eastAsia" w:ascii="宋体" w:hAnsi="宋体" w:eastAsia="宋体" w:cs="宋体"/>
                <w:szCs w:val="21"/>
              </w:rPr>
              <w:t>,1.3]</w:t>
            </w:r>
          </w:p>
        </w:tc>
      </w:tr>
    </w:tbl>
    <w:p>
      <w:pPr>
        <w:spacing w:line="312" w:lineRule="auto"/>
        <w:rPr>
          <w:rFonts w:ascii="宋体" w:hAnsi="宋体" w:eastAsia="宋体" w:cs="宋体"/>
          <w:szCs w:val="21"/>
        </w:rPr>
      </w:pPr>
    </w:p>
    <w:p>
      <w:pPr>
        <w:spacing w:line="312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6.赔付比例调整系数（F</w:t>
      </w:r>
      <w:r>
        <w:rPr>
          <w:rFonts w:ascii="宋体" w:hAnsi="宋体" w:eastAsia="宋体" w:cs="宋体"/>
          <w:szCs w:val="21"/>
        </w:rPr>
        <w:t>6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7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6"/>
        <w:gridCol w:w="2883"/>
      </w:tblGrid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赔付比例</w:t>
            </w:r>
          </w:p>
        </w:tc>
        <w:tc>
          <w:tcPr>
            <w:tcW w:w="2883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≤50%</w:t>
            </w:r>
          </w:p>
        </w:tc>
        <w:tc>
          <w:tcPr>
            <w:tcW w:w="2883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[0.5,0.6]</w:t>
            </w:r>
          </w:p>
        </w:tc>
      </w:tr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(50%,60%]</w:t>
            </w:r>
          </w:p>
        </w:tc>
        <w:tc>
          <w:tcPr>
            <w:tcW w:w="2883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(0.</w:t>
            </w:r>
            <w:r>
              <w:rPr>
                <w:rFonts w:hint="eastAsia" w:ascii="宋体" w:cs="宋体"/>
                <w:szCs w:val="21"/>
              </w:rPr>
              <w:t>6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0.7</w:t>
            </w:r>
            <w:r>
              <w:rPr>
                <w:rFonts w:ascii="宋体" w:cs="宋体"/>
                <w:szCs w:val="21"/>
              </w:rPr>
              <w:t>]</w:t>
            </w:r>
          </w:p>
        </w:tc>
      </w:tr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(60%,70%]</w:t>
            </w:r>
          </w:p>
        </w:tc>
        <w:tc>
          <w:tcPr>
            <w:tcW w:w="2883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(0.</w:t>
            </w:r>
            <w:r>
              <w:rPr>
                <w:rFonts w:hint="eastAsia" w:ascii="宋体" w:cs="宋体"/>
                <w:szCs w:val="21"/>
              </w:rPr>
              <w:t>7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0.8</w:t>
            </w:r>
            <w:r>
              <w:rPr>
                <w:rFonts w:ascii="宋体" w:cs="宋体"/>
                <w:szCs w:val="21"/>
              </w:rPr>
              <w:t>]</w:t>
            </w:r>
          </w:p>
        </w:tc>
      </w:tr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(70%,80%]</w:t>
            </w:r>
          </w:p>
        </w:tc>
        <w:tc>
          <w:tcPr>
            <w:tcW w:w="2883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</w:t>
            </w:r>
            <w:r>
              <w:rPr>
                <w:rFonts w:hint="eastAsia" w:ascii="宋体" w:cs="宋体"/>
                <w:szCs w:val="21"/>
              </w:rPr>
              <w:t>0.8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0.9]</w:t>
            </w:r>
          </w:p>
        </w:tc>
      </w:tr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(80%,90%]</w:t>
            </w:r>
          </w:p>
        </w:tc>
        <w:tc>
          <w:tcPr>
            <w:tcW w:w="2883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</w:t>
            </w:r>
            <w:r>
              <w:rPr>
                <w:rFonts w:hint="eastAsia" w:ascii="宋体" w:cs="宋体"/>
                <w:szCs w:val="21"/>
              </w:rPr>
              <w:t>0.9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1.0]</w:t>
            </w:r>
          </w:p>
        </w:tc>
      </w:tr>
      <w:tr>
        <w:trPr>
          <w:trHeight w:val="490" w:hRule="atLeast"/>
          <w:jc w:val="center"/>
        </w:trPr>
        <w:tc>
          <w:tcPr>
            <w:tcW w:w="3266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(90%,100%]</w:t>
            </w:r>
          </w:p>
        </w:tc>
        <w:tc>
          <w:tcPr>
            <w:tcW w:w="2883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</w:t>
            </w:r>
            <w:r>
              <w:rPr>
                <w:rFonts w:hint="eastAsia" w:ascii="宋体" w:cs="宋体"/>
                <w:szCs w:val="21"/>
              </w:rPr>
              <w:t>1.0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1.05]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Cs w:val="21"/>
          <w:lang w:eastAsia="zh-Hans"/>
        </w:rPr>
      </w:pPr>
      <w:r>
        <w:rPr>
          <w:rFonts w:hint="eastAsia" w:ascii="宋体" w:hAnsi="宋体" w:eastAsia="宋体" w:cs="宋体"/>
          <w:szCs w:val="21"/>
          <w:lang w:val="en-US" w:eastAsia="zh-Hans"/>
        </w:rPr>
        <w:t>注：</w:t>
      </w:r>
      <w:r>
        <w:rPr>
          <w:rFonts w:hint="eastAsia" w:ascii="宋体" w:hAnsi="宋体" w:eastAsia="宋体" w:cs="宋体"/>
          <w:szCs w:val="21"/>
        </w:rPr>
        <w:t>仅</w:t>
      </w:r>
      <w:r>
        <w:rPr>
          <w:rFonts w:hint="eastAsia" w:ascii="宋体" w:hAnsi="宋体" w:eastAsia="宋体" w:cs="宋体"/>
          <w:szCs w:val="21"/>
        </w:rPr>
        <w:t>适</w:t>
      </w:r>
      <w:bookmarkStart w:id="0" w:name="_GoBack"/>
      <w:bookmarkEnd w:id="0"/>
      <w:r>
        <w:rPr>
          <w:rFonts w:hint="eastAsia" w:ascii="宋体" w:hAnsi="宋体" w:eastAsia="宋体" w:cs="宋体"/>
          <w:szCs w:val="21"/>
        </w:rPr>
        <w:t>用</w:t>
      </w:r>
      <w:r>
        <w:rPr>
          <w:rFonts w:hint="eastAsia" w:ascii="宋体" w:hAnsi="宋体" w:eastAsia="宋体" w:cs="宋体"/>
          <w:szCs w:val="21"/>
        </w:rPr>
        <w:t>于医疗保险责任</w:t>
      </w:r>
      <w:r>
        <w:rPr>
          <w:rFonts w:hint="eastAsia" w:ascii="宋体" w:hAnsi="宋体" w:eastAsia="宋体" w:cs="宋体"/>
          <w:szCs w:val="21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7.免赔额调整系数（F</w:t>
      </w:r>
      <w:r>
        <w:rPr>
          <w:rFonts w:ascii="宋体" w:hAnsi="宋体" w:eastAsia="宋体" w:cs="宋体"/>
          <w:szCs w:val="21"/>
        </w:rPr>
        <w:t>7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7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3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免赔额（元）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&lt;50</w:t>
            </w:r>
          </w:p>
        </w:tc>
        <w:tc>
          <w:tcPr>
            <w:tcW w:w="325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(1.0,1.05]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50（含）-100</w:t>
            </w:r>
          </w:p>
        </w:tc>
        <w:tc>
          <w:tcPr>
            <w:tcW w:w="325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(0.</w:t>
            </w:r>
            <w:r>
              <w:rPr>
                <w:rFonts w:hint="eastAsia" w:ascii="宋体" w:cs="宋体"/>
                <w:szCs w:val="21"/>
              </w:rPr>
              <w:t>9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1.0</w:t>
            </w:r>
            <w:r>
              <w:rPr>
                <w:rFonts w:ascii="宋体" w:cs="宋体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100（含）-200</w:t>
            </w:r>
          </w:p>
        </w:tc>
        <w:tc>
          <w:tcPr>
            <w:tcW w:w="325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(0.</w:t>
            </w:r>
            <w:r>
              <w:rPr>
                <w:rFonts w:hint="eastAsia" w:ascii="宋体" w:cs="宋体"/>
                <w:szCs w:val="21"/>
              </w:rPr>
              <w:t>85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0.9</w:t>
            </w:r>
            <w:r>
              <w:rPr>
                <w:rFonts w:ascii="宋体" w:cs="宋体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200（含）-300</w:t>
            </w:r>
          </w:p>
        </w:tc>
        <w:tc>
          <w:tcPr>
            <w:tcW w:w="325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</w:t>
            </w:r>
            <w:r>
              <w:rPr>
                <w:rFonts w:hint="eastAsia" w:ascii="宋体" w:cs="宋体"/>
                <w:szCs w:val="21"/>
              </w:rPr>
              <w:t>0.8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0.85]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300（含）-500</w:t>
            </w:r>
          </w:p>
        </w:tc>
        <w:tc>
          <w:tcPr>
            <w:tcW w:w="325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szCs w:val="21"/>
              </w:rPr>
              <w:t>(</w:t>
            </w:r>
            <w:r>
              <w:rPr>
                <w:rFonts w:hint="eastAsia" w:ascii="宋体" w:cs="宋体"/>
                <w:szCs w:val="21"/>
              </w:rPr>
              <w:t>0.7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0" w:hRule="atLeast"/>
          <w:jc w:val="center"/>
        </w:trPr>
        <w:tc>
          <w:tcPr>
            <w:tcW w:w="316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≥500</w:t>
            </w:r>
          </w:p>
        </w:tc>
        <w:tc>
          <w:tcPr>
            <w:tcW w:w="3255" w:type="dxa"/>
            <w:vAlign w:val="center"/>
          </w:tcPr>
          <w:p>
            <w:pPr>
              <w:pStyle w:val="15"/>
              <w:numPr>
                <w:ilvl w:val="255"/>
                <w:numId w:val="0"/>
              </w:num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[0.6</w:t>
            </w:r>
            <w:r>
              <w:rPr>
                <w:rFonts w:ascii="宋体" w:cs="宋体"/>
                <w:szCs w:val="21"/>
              </w:rPr>
              <w:t>,</w:t>
            </w:r>
            <w:r>
              <w:rPr>
                <w:rFonts w:hint="eastAsia" w:ascii="宋体" w:cs="宋体"/>
                <w:szCs w:val="21"/>
              </w:rPr>
              <w:t>0.7]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Cs w:val="21"/>
          <w:lang w:eastAsia="zh-Hans"/>
        </w:rPr>
      </w:pPr>
      <w:r>
        <w:rPr>
          <w:rFonts w:hint="eastAsia" w:ascii="宋体" w:hAnsi="宋体" w:eastAsia="宋体" w:cs="宋体"/>
          <w:szCs w:val="21"/>
          <w:lang w:val="en-US" w:eastAsia="zh-Hans"/>
        </w:rPr>
        <w:t>注：</w:t>
      </w:r>
      <w:r>
        <w:rPr>
          <w:rFonts w:hint="eastAsia" w:ascii="宋体" w:hAnsi="宋体" w:eastAsia="宋体" w:cs="宋体"/>
          <w:szCs w:val="21"/>
        </w:rPr>
        <w:t>仅适用于医疗保险责任</w:t>
      </w:r>
      <w:r>
        <w:rPr>
          <w:rFonts w:hint="eastAsia" w:ascii="宋体" w:hAnsi="宋体" w:eastAsia="宋体" w:cs="宋体"/>
          <w:szCs w:val="21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8.社保</w:t>
      </w:r>
      <w:r>
        <w:rPr>
          <w:rFonts w:hint="eastAsia" w:ascii="宋体" w:hAnsi="宋体" w:eastAsia="宋体" w:cs="宋体"/>
          <w:szCs w:val="21"/>
        </w:rPr>
        <w:t>情况</w:t>
      </w:r>
      <w:r>
        <w:rPr>
          <w:rFonts w:hint="eastAsia" w:ascii="宋体" w:hAnsi="宋体" w:eastAsia="宋体" w:cs="宋体"/>
          <w:szCs w:val="21"/>
        </w:rPr>
        <w:t>调整系数（F</w:t>
      </w:r>
      <w:r>
        <w:rPr>
          <w:rFonts w:ascii="宋体" w:hAnsi="宋体" w:eastAsia="宋体" w:cs="宋体"/>
          <w:szCs w:val="21"/>
        </w:rPr>
        <w:t>8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7"/>
        <w:tblW w:w="7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0"/>
        <w:gridCol w:w="3570"/>
      </w:tblGrid>
      <w:tr>
        <w:trPr>
          <w:trHeight w:val="361" w:hRule="atLeast"/>
        </w:trPr>
        <w:tc>
          <w:tcPr>
            <w:tcW w:w="3570" w:type="dxa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社保情况</w:t>
            </w:r>
          </w:p>
        </w:tc>
        <w:tc>
          <w:tcPr>
            <w:tcW w:w="3570" w:type="dxa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调整系数</w:t>
            </w:r>
          </w:p>
        </w:tc>
      </w:tr>
      <w:tr>
        <w:trPr>
          <w:trHeight w:val="361" w:hRule="atLeast"/>
        </w:trPr>
        <w:tc>
          <w:tcPr>
            <w:tcW w:w="357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未参加社保</w:t>
            </w:r>
          </w:p>
        </w:tc>
        <w:tc>
          <w:tcPr>
            <w:tcW w:w="357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[1.0,1.3]</w:t>
            </w:r>
          </w:p>
        </w:tc>
      </w:tr>
      <w:tr>
        <w:trPr>
          <w:trHeight w:val="372" w:hRule="atLeast"/>
        </w:trPr>
        <w:tc>
          <w:tcPr>
            <w:tcW w:w="3570" w:type="dxa"/>
          </w:tcPr>
          <w:p>
            <w:pPr>
              <w:ind w:firstLine="1260" w:firstLineChars="6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参加社保</w:t>
            </w:r>
          </w:p>
        </w:tc>
        <w:tc>
          <w:tcPr>
            <w:tcW w:w="3570" w:type="dxa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[0.7,1.0)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Cs w:val="21"/>
          <w:lang w:eastAsia="zh-Hans"/>
        </w:rPr>
      </w:pPr>
      <w:r>
        <w:rPr>
          <w:rFonts w:hint="eastAsia" w:ascii="宋体" w:hAnsi="宋体" w:eastAsia="宋体" w:cs="宋体"/>
          <w:szCs w:val="21"/>
          <w:lang w:val="en-US" w:eastAsia="zh-Hans"/>
        </w:rPr>
        <w:t>注：</w:t>
      </w:r>
      <w:r>
        <w:rPr>
          <w:rFonts w:hint="eastAsia" w:ascii="宋体" w:hAnsi="宋体" w:eastAsia="宋体" w:cs="宋体"/>
          <w:szCs w:val="21"/>
        </w:rPr>
        <w:t>仅</w:t>
      </w:r>
      <w:r>
        <w:rPr>
          <w:rFonts w:hint="eastAsia" w:ascii="宋体" w:hAnsi="宋体" w:eastAsia="宋体" w:cs="宋体"/>
          <w:color w:val="000000"/>
          <w:szCs w:val="21"/>
        </w:rPr>
        <w:t>适用</w:t>
      </w:r>
      <w:r>
        <w:rPr>
          <w:rFonts w:hint="eastAsia" w:ascii="宋体" w:hAnsi="宋体" w:eastAsia="宋体" w:cs="宋体"/>
          <w:szCs w:val="21"/>
        </w:rPr>
        <w:t>于医疗保险责任</w:t>
      </w:r>
      <w:r>
        <w:rPr>
          <w:rFonts w:hint="eastAsia" w:ascii="宋体" w:hAnsi="宋体" w:eastAsia="宋体" w:cs="宋体"/>
          <w:szCs w:val="21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9.旅行</w:t>
      </w:r>
      <w:r>
        <w:rPr>
          <w:rFonts w:hint="eastAsia" w:ascii="宋体" w:hAnsi="宋体" w:eastAsia="宋体" w:cs="宋体"/>
          <w:szCs w:val="21"/>
        </w:rPr>
        <w:t>项目</w:t>
      </w:r>
      <w:r>
        <w:rPr>
          <w:rFonts w:hint="eastAsia" w:ascii="宋体" w:hAnsi="宋体" w:eastAsia="宋体" w:cs="宋体"/>
          <w:szCs w:val="21"/>
        </w:rPr>
        <w:t>调整系数（F</w:t>
      </w:r>
      <w:r>
        <w:rPr>
          <w:rFonts w:ascii="宋体" w:hAnsi="宋体" w:eastAsia="宋体" w:cs="宋体"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>）：</w:t>
      </w:r>
    </w:p>
    <w:tbl>
      <w:tblPr>
        <w:tblStyle w:val="6"/>
        <w:tblW w:w="46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0"/>
        <w:gridCol w:w="1440"/>
      </w:tblGrid>
      <w:tr>
        <w:trPr>
          <w:trHeight w:val="285" w:hRule="atLeast"/>
          <w:jc w:val="center"/>
        </w:trPr>
        <w:tc>
          <w:tcPr>
            <w:tcW w:w="3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旅行项目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调整系数</w:t>
            </w:r>
          </w:p>
        </w:tc>
      </w:tr>
      <w:tr>
        <w:trPr>
          <w:trHeight w:val="285" w:hRule="atLeast"/>
          <w:jc w:val="center"/>
        </w:trPr>
        <w:tc>
          <w:tcPr>
            <w:tcW w:w="3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不含高风险项目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[0.7,1.1]</w:t>
            </w:r>
          </w:p>
        </w:tc>
      </w:tr>
      <w:tr>
        <w:trPr>
          <w:trHeight w:val="285" w:hRule="atLeast"/>
          <w:jc w:val="center"/>
        </w:trPr>
        <w:tc>
          <w:tcPr>
            <w:tcW w:w="3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含高风险项目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[1.5,2</w:t>
            </w:r>
            <w:r>
              <w:rPr>
                <w:rFonts w:ascii="宋体" w:hAnsi="宋体" w:eastAsia="宋体" w:cs="宋体"/>
                <w:szCs w:val="21"/>
              </w:rPr>
              <w:t>.0</w:t>
            </w:r>
            <w:r>
              <w:rPr>
                <w:rFonts w:hint="eastAsia" w:ascii="宋体" w:hAnsi="宋体" w:eastAsia="宋体" w:cs="宋体"/>
                <w:szCs w:val="21"/>
              </w:rPr>
              <w:t>]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注：高风险项目指被保险人在</w:t>
      </w:r>
      <w:r>
        <w:rPr>
          <w:rFonts w:hint="eastAsia" w:ascii="宋体" w:hAnsi="宋体" w:eastAsia="宋体" w:cs="宋体"/>
          <w:szCs w:val="21"/>
        </w:rPr>
        <w:t>旅行期间参加</w:t>
      </w:r>
      <w:r>
        <w:rPr>
          <w:rFonts w:hint="eastAsia" w:ascii="宋体" w:hAnsi="宋体" w:eastAsia="宋体" w:cs="宋体"/>
          <w:color w:val="000000"/>
          <w:szCs w:val="21"/>
        </w:rPr>
        <w:t>狩猎、漂流、滑雪、跳伞、汽车及摩托车拉力赛等竞技性较强、危险程度较高的特种旅行项目。</w:t>
      </w:r>
    </w:p>
    <w:p>
      <w:pPr>
        <w:pStyle w:val="10"/>
        <w:ind w:firstLine="0" w:firstLineChars="0"/>
        <w:rPr>
          <w:rFonts w:ascii="宋体" w:hAnsi="宋体" w:eastAsia="宋体" w:cs="宋体"/>
          <w:b/>
          <w:szCs w:val="21"/>
        </w:rPr>
      </w:pPr>
    </w:p>
    <w:p>
      <w:pPr>
        <w:pStyle w:val="10"/>
        <w:ind w:firstLine="0" w:firstLineChars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三、保险费计算公式</w:t>
      </w:r>
    </w:p>
    <w:p>
      <w:pPr>
        <w:widowControl/>
        <w:spacing w:after="156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基本责任保险费＝意外伤害身故保险金额×意外伤害身故保险基准费率×F</w:t>
      </w:r>
      <w:r>
        <w:rPr>
          <w:rFonts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9</w:t>
      </w:r>
    </w:p>
    <w:p>
      <w:pPr>
        <w:widowControl/>
        <w:spacing w:after="156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可选责任保险费=（意外伤害残疾保险金额×意外伤害残疾保险基准费率</w:t>
      </w:r>
      <w:r>
        <w:rPr>
          <w:rFonts w:hint="eastAsia" w:ascii="宋体" w:hAnsi="宋体" w:eastAsia="宋体" w:cs="宋体"/>
          <w:bCs/>
          <w:szCs w:val="21"/>
        </w:rPr>
        <w:t>+丧葬费保险金额</w:t>
      </w:r>
      <w:r>
        <w:rPr>
          <w:rFonts w:hint="eastAsia" w:ascii="宋体" w:hAnsi="宋体" w:eastAsia="宋体" w:cs="宋体"/>
          <w:szCs w:val="21"/>
        </w:rPr>
        <w:t>×丧葬费保险基准费率</w:t>
      </w:r>
      <w:r>
        <w:rPr>
          <w:rFonts w:hint="eastAsia" w:ascii="宋体" w:hAnsi="宋体" w:eastAsia="宋体" w:cs="宋体"/>
          <w:bCs/>
          <w:szCs w:val="21"/>
        </w:rPr>
        <w:t>+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疾病身故、全残保险金额</w:t>
      </w:r>
      <w:r>
        <w:rPr>
          <w:rFonts w:hint="eastAsia" w:ascii="宋体" w:hAnsi="宋体" w:eastAsia="宋体" w:cs="宋体"/>
          <w:szCs w:val="21"/>
        </w:rPr>
        <w:t>×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疾病身故、全残保险</w:t>
      </w:r>
      <w:r>
        <w:rPr>
          <w:rFonts w:hint="eastAsia" w:ascii="宋体" w:hAnsi="宋体" w:eastAsia="宋体" w:cs="宋体"/>
          <w:szCs w:val="21"/>
        </w:rPr>
        <w:t>基准费率）×F</w:t>
      </w:r>
      <w:r>
        <w:rPr>
          <w:rFonts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9</w:t>
      </w:r>
      <w:r>
        <w:rPr>
          <w:rFonts w:hint="eastAsia" w:ascii="宋体" w:hAnsi="宋体" w:eastAsia="宋体" w:cs="宋体"/>
          <w:szCs w:val="21"/>
        </w:rPr>
        <w:t>+</w:t>
      </w:r>
      <w:r>
        <w:rPr>
          <w:rFonts w:hint="eastAsia" w:ascii="宋体" w:hAnsi="宋体" w:eastAsia="宋体" w:cs="宋体"/>
          <w:bCs/>
          <w:szCs w:val="21"/>
        </w:rPr>
        <w:t>医疗保险金额</w:t>
      </w:r>
      <w:r>
        <w:rPr>
          <w:rFonts w:hint="eastAsia" w:ascii="宋体" w:hAnsi="宋体" w:eastAsia="宋体" w:cs="宋体"/>
          <w:szCs w:val="21"/>
        </w:rPr>
        <w:t>×医疗保险基准费率×F</w:t>
      </w:r>
      <w:r>
        <w:rPr>
          <w:rFonts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6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7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8</w:t>
      </w:r>
      <w:r>
        <w:rPr>
          <w:rFonts w:hint="eastAsia" w:ascii="宋体" w:hAnsi="宋体" w:eastAsia="宋体" w:cs="宋体"/>
          <w:szCs w:val="21"/>
        </w:rPr>
        <w:t>×F</w:t>
      </w:r>
      <w:r>
        <w:rPr>
          <w:rFonts w:ascii="宋体" w:hAnsi="宋体" w:eastAsia="宋体" w:cs="宋体"/>
          <w:szCs w:val="21"/>
        </w:rPr>
        <w:t>9</w:t>
      </w:r>
    </w:p>
    <w:p>
      <w:pPr>
        <w:widowControl/>
        <w:spacing w:after="156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若投保人未选择投保某项可选责任，则该可选责任保险金额为0。</w:t>
      </w:r>
    </w:p>
    <w:p>
      <w:pPr>
        <w:widowControl/>
        <w:spacing w:after="156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总保险费＝基本责任保险费+可选责任保险费</w:t>
      </w:r>
    </w:p>
    <w:p>
      <w:pPr>
        <w:jc w:val="left"/>
        <w:rPr>
          <w:rFonts w:ascii="宋体" w:hAnsi="宋体" w:eastAsia="宋体" w:cs="宋体"/>
          <w:b/>
          <w:bCs/>
          <w:szCs w:val="21"/>
        </w:rPr>
      </w:pPr>
    </w:p>
    <w:p>
      <w:pPr>
        <w:jc w:val="left"/>
        <w:rPr>
          <w:rFonts w:ascii="宋体" w:hAnsi="宋体" w:eastAsia="宋体" w:cs="宋体"/>
          <w:szCs w:val="21"/>
        </w:rPr>
      </w:pPr>
    </w:p>
    <w:p>
      <w:pPr>
        <w:jc w:val="left"/>
        <w:rPr>
          <w:rFonts w:ascii="宋体" w:hAnsi="宋体" w:eastAsia="宋体" w:cs="宋体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45837"/>
    <w:multiLevelType w:val="singleLevel"/>
    <w:tmpl w:val="B534583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5BA21FF"/>
    <w:multiLevelType w:val="singleLevel"/>
    <w:tmpl w:val="E5BA21F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MmE0ZjljZDExM2YyODdkMDQ1ZGRhYjY0YmQ5MmQifQ=="/>
  </w:docVars>
  <w:rsids>
    <w:rsidRoot w:val="000D7B1B"/>
    <w:rsid w:val="00041030"/>
    <w:rsid w:val="000674EA"/>
    <w:rsid w:val="000D7B1B"/>
    <w:rsid w:val="00335070"/>
    <w:rsid w:val="003954B2"/>
    <w:rsid w:val="00525FDF"/>
    <w:rsid w:val="005A7C95"/>
    <w:rsid w:val="00664E41"/>
    <w:rsid w:val="008D4BA6"/>
    <w:rsid w:val="00A55720"/>
    <w:rsid w:val="00C23E80"/>
    <w:rsid w:val="00C71ABE"/>
    <w:rsid w:val="00EE2125"/>
    <w:rsid w:val="00F8501A"/>
    <w:rsid w:val="00FF2F9A"/>
    <w:rsid w:val="015B3D80"/>
    <w:rsid w:val="02430525"/>
    <w:rsid w:val="025F7E68"/>
    <w:rsid w:val="05311296"/>
    <w:rsid w:val="058C5D77"/>
    <w:rsid w:val="068618C4"/>
    <w:rsid w:val="07BD4072"/>
    <w:rsid w:val="09E561E6"/>
    <w:rsid w:val="0E8951D1"/>
    <w:rsid w:val="1045246B"/>
    <w:rsid w:val="12BC28C5"/>
    <w:rsid w:val="12E24FBC"/>
    <w:rsid w:val="132207C5"/>
    <w:rsid w:val="13C544B3"/>
    <w:rsid w:val="15FA1A82"/>
    <w:rsid w:val="18AE23C6"/>
    <w:rsid w:val="1A0C111B"/>
    <w:rsid w:val="1BDF0F9F"/>
    <w:rsid w:val="1EA73741"/>
    <w:rsid w:val="1F1B5FEE"/>
    <w:rsid w:val="234C0469"/>
    <w:rsid w:val="236613BA"/>
    <w:rsid w:val="239E7764"/>
    <w:rsid w:val="27DB7259"/>
    <w:rsid w:val="29B35544"/>
    <w:rsid w:val="2C6D723F"/>
    <w:rsid w:val="2CDD1A02"/>
    <w:rsid w:val="2EA52D6F"/>
    <w:rsid w:val="2FD110AF"/>
    <w:rsid w:val="30E717A0"/>
    <w:rsid w:val="366F66E6"/>
    <w:rsid w:val="371137EB"/>
    <w:rsid w:val="382C57EF"/>
    <w:rsid w:val="3A5162B8"/>
    <w:rsid w:val="3D7F2460"/>
    <w:rsid w:val="3DEF1126"/>
    <w:rsid w:val="3DF04211"/>
    <w:rsid w:val="3E6C5743"/>
    <w:rsid w:val="3EAB495D"/>
    <w:rsid w:val="42440536"/>
    <w:rsid w:val="47A10146"/>
    <w:rsid w:val="47BD747D"/>
    <w:rsid w:val="49B23464"/>
    <w:rsid w:val="4FD46C59"/>
    <w:rsid w:val="50CE00B3"/>
    <w:rsid w:val="558C407D"/>
    <w:rsid w:val="55E122AB"/>
    <w:rsid w:val="56004527"/>
    <w:rsid w:val="56600E3C"/>
    <w:rsid w:val="56642552"/>
    <w:rsid w:val="57216625"/>
    <w:rsid w:val="57625C4B"/>
    <w:rsid w:val="5AC119B9"/>
    <w:rsid w:val="5CE32BF5"/>
    <w:rsid w:val="5CF105C3"/>
    <w:rsid w:val="5D8A47EA"/>
    <w:rsid w:val="62CD0DD9"/>
    <w:rsid w:val="634C4F41"/>
    <w:rsid w:val="67B76256"/>
    <w:rsid w:val="685760CA"/>
    <w:rsid w:val="698A0C9A"/>
    <w:rsid w:val="69DE0C9B"/>
    <w:rsid w:val="6CD257B4"/>
    <w:rsid w:val="727812A8"/>
    <w:rsid w:val="74634847"/>
    <w:rsid w:val="780B08A5"/>
    <w:rsid w:val="782F3D3B"/>
    <w:rsid w:val="7B667977"/>
    <w:rsid w:val="7EBC5850"/>
    <w:rsid w:val="7EFE9F02"/>
    <w:rsid w:val="7F9F5059"/>
    <w:rsid w:val="9DBA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8"/>
    <w:qFormat/>
    <w:uiPriority w:val="0"/>
    <w:rPr>
      <w:b/>
      <w:bCs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  <w:style w:type="character" w:customStyle="1" w:styleId="11">
    <w:name w:val="font01"/>
    <w:basedOn w:val="8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2">
    <w:name w:val="font4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7">
    <w:name w:val="批注文字 字符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5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339</Words>
  <Characters>1938</Characters>
  <Lines>16</Lines>
  <Paragraphs>4</Paragraphs>
  <TotalTime>48</TotalTime>
  <ScaleCrop>false</ScaleCrop>
  <LinksUpToDate>false</LinksUpToDate>
  <CharactersWithSpaces>2273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2020-12-07T20:23:00Z</dcterms:created>
  <dc:creator>10311</dc:creator>
  <cp:lastModifiedBy>Zixuan Shen</cp:lastModifiedBy>
  <dcterms:modified xsi:type="dcterms:W3CDTF">2022-06-22T17:57:02Z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B4C68F3938CE483F8CF3BF56A5649785</vt:lpwstr>
  </property>
</Properties>
</file>