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</w:rPr>
        <w:t>华农</w:t>
      </w:r>
      <w:r>
        <w:rPr>
          <w:rFonts w:ascii="宋体" w:hAnsi="宋体" w:eastAsia="宋体" w:cs="宋体"/>
          <w:b/>
          <w:kern w:val="0"/>
          <w:sz w:val="28"/>
          <w:szCs w:val="28"/>
        </w:rPr>
        <w:t>财产保险股份有限公司</w:t>
      </w:r>
    </w:p>
    <w:p>
      <w:pPr>
        <w:widowControl/>
        <w:spacing w:line="360" w:lineRule="auto"/>
        <w:jc w:val="center"/>
        <w:rPr>
          <w:rFonts w:ascii="宋体" w:hAnsi="宋体" w:eastAsia="宋体" w:cs="宋体"/>
          <w:b/>
          <w:kern w:val="0"/>
          <w:sz w:val="28"/>
          <w:szCs w:val="28"/>
        </w:rPr>
      </w:pPr>
      <w:r>
        <w:rPr>
          <w:rFonts w:ascii="宋体" w:hAnsi="宋体" w:eastAsia="宋体" w:cs="宋体"/>
          <w:b/>
          <w:kern w:val="0"/>
          <w:sz w:val="28"/>
          <w:szCs w:val="28"/>
        </w:rPr>
        <w:t>非机动车驾驶人意外伤害保险</w:t>
      </w:r>
      <w:r>
        <w:rPr>
          <w:rFonts w:hint="eastAsia" w:ascii="宋体" w:hAnsi="宋体" w:eastAsia="宋体" w:cs="宋体"/>
          <w:b/>
          <w:kern w:val="0"/>
          <w:sz w:val="28"/>
          <w:szCs w:val="28"/>
        </w:rPr>
        <w:t>费率表</w:t>
      </w:r>
    </w:p>
    <w:p>
      <w:pPr>
        <w:widowControl/>
        <w:spacing w:line="360" w:lineRule="auto"/>
        <w:jc w:val="center"/>
        <w:rPr>
          <w:rFonts w:ascii="宋体" w:hAnsi="宋体" w:eastAsia="宋体" w:cs="宋体"/>
          <w:b/>
          <w:kern w:val="0"/>
          <w:sz w:val="28"/>
          <w:szCs w:val="28"/>
        </w:rPr>
      </w:pPr>
    </w:p>
    <w:p>
      <w:pPr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一、年基</w:t>
      </w:r>
      <w:r>
        <w:rPr>
          <w:rFonts w:hint="eastAsia" w:ascii="宋体" w:hAnsi="宋体" w:eastAsia="宋体" w:cs="宋体"/>
          <w:b/>
          <w:bCs/>
          <w:szCs w:val="21"/>
          <w:lang w:eastAsia="zh-Hans"/>
        </w:rPr>
        <w:t>准</w:t>
      </w:r>
      <w:r>
        <w:rPr>
          <w:rFonts w:hint="eastAsia" w:ascii="宋体" w:hAnsi="宋体" w:eastAsia="宋体" w:cs="宋体"/>
          <w:b/>
          <w:bCs/>
          <w:szCs w:val="21"/>
        </w:rPr>
        <w:t>费率</w:t>
      </w:r>
    </w:p>
    <w:tbl>
      <w:tblPr>
        <w:tblStyle w:val="8"/>
        <w:tblW w:w="8487" w:type="dxa"/>
        <w:tblInd w:w="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1"/>
        <w:gridCol w:w="2155"/>
        <w:gridCol w:w="2155"/>
        <w:gridCol w:w="2156"/>
      </w:tblGrid>
      <w:tr>
        <w:trPr>
          <w:trHeight w:val="285" w:hRule="atLeast"/>
        </w:trPr>
        <w:tc>
          <w:tcPr>
            <w:tcW w:w="20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62" w:beforeLines="20" w:after="62" w:afterLines="2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保障项目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62" w:beforeLines="20" w:after="62" w:afterLines="2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基本责任</w:t>
            </w:r>
          </w:p>
        </w:tc>
        <w:tc>
          <w:tcPr>
            <w:tcW w:w="4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62" w:beforeLines="20" w:after="62" w:afterLines="2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可选责任</w:t>
            </w:r>
          </w:p>
        </w:tc>
      </w:tr>
      <w:tr>
        <w:trPr>
          <w:trHeight w:val="285" w:hRule="atLeast"/>
        </w:trPr>
        <w:tc>
          <w:tcPr>
            <w:tcW w:w="20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62" w:beforeLines="20" w:after="62" w:afterLines="2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62" w:beforeLines="20" w:after="62" w:afterLines="2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意外伤害身故保险责任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62" w:beforeLines="20" w:after="62" w:afterLines="2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意外伤害伤残保险责任</w:t>
            </w: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62" w:beforeLines="20" w:after="62" w:afterLines="2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意外伤害医疗保险责任</w:t>
            </w:r>
          </w:p>
        </w:tc>
      </w:tr>
      <w:tr>
        <w:trPr>
          <w:trHeight w:val="285" w:hRule="atLeast"/>
        </w:trPr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62" w:beforeLines="20" w:after="62" w:afterLines="2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年基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Hans"/>
              </w:rPr>
              <w:t>准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费率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62" w:beforeLines="20" w:after="62" w:afterLines="2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0.2</w:t>
            </w:r>
            <w:r>
              <w:rPr>
                <w:rFonts w:ascii="宋体" w:hAnsi="宋体" w:eastAsia="宋体" w:cs="宋体"/>
                <w:kern w:val="0"/>
                <w:szCs w:val="21"/>
              </w:rPr>
              <w:t>‰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62" w:beforeLines="20" w:after="62" w:afterLines="2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0.15‰</w:t>
            </w: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62" w:beforeLines="20" w:after="62" w:afterLines="2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3.5</w:t>
            </w:r>
            <w:r>
              <w:rPr>
                <w:rFonts w:ascii="宋体" w:hAnsi="宋体" w:eastAsia="宋体" w:cs="宋体"/>
                <w:kern w:val="0"/>
                <w:szCs w:val="21"/>
              </w:rPr>
              <w:t>‰</w:t>
            </w:r>
          </w:p>
        </w:tc>
      </w:tr>
    </w:tbl>
    <w:p>
      <w:pPr>
        <w:numPr>
          <w:ilvl w:val="0"/>
          <w:numId w:val="0"/>
        </w:numPr>
        <w:spacing w:after="156" w:afterLines="50" w:line="276" w:lineRule="auto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  <w:lang w:val="en-US" w:eastAsia="zh-Hans"/>
        </w:rPr>
        <w:t>二、</w:t>
      </w:r>
      <w:r>
        <w:rPr>
          <w:rFonts w:hint="eastAsia" w:ascii="宋体" w:hAnsi="宋体" w:eastAsia="宋体" w:cs="宋体"/>
          <w:b/>
          <w:bCs/>
          <w:szCs w:val="21"/>
        </w:rPr>
        <w:t>费率调整系数</w:t>
      </w:r>
    </w:p>
    <w:p>
      <w:pPr>
        <w:numPr>
          <w:ilvl w:val="255"/>
          <w:numId w:val="0"/>
        </w:numPr>
        <w:spacing w:after="156" w:afterLines="50" w:line="276" w:lineRule="auto"/>
        <w:rPr>
          <w:rFonts w:ascii="宋体" w:hAnsi="宋体" w:eastAsia="宋体" w:cs="宋体"/>
          <w:b w:val="0"/>
          <w:bCs w:val="0"/>
          <w:szCs w:val="21"/>
        </w:rPr>
      </w:pPr>
      <w:r>
        <w:rPr>
          <w:rFonts w:ascii="宋体" w:hAnsi="宋体" w:eastAsia="宋体" w:cs="宋体"/>
          <w:b w:val="0"/>
          <w:bCs w:val="0"/>
          <w:szCs w:val="21"/>
        </w:rPr>
        <w:t>1</w:t>
      </w:r>
      <w:r>
        <w:rPr>
          <w:rFonts w:hint="eastAsia" w:ascii="宋体" w:hAnsi="宋体" w:eastAsia="宋体" w:cs="宋体"/>
          <w:b w:val="0"/>
          <w:bCs w:val="0"/>
          <w:szCs w:val="21"/>
        </w:rPr>
        <w:t>、非机动车类型调整系数：根据非机动车类型的不同</w:t>
      </w:r>
      <w:r>
        <w:rPr>
          <w:rFonts w:hint="eastAsia" w:ascii="宋体" w:hAnsi="宋体" w:eastAsia="宋体" w:cs="宋体"/>
          <w:b w:val="0"/>
          <w:bCs w:val="0"/>
          <w:szCs w:val="21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Cs w:val="21"/>
        </w:rPr>
        <w:t>进行</w:t>
      </w:r>
      <w:r>
        <w:rPr>
          <w:rFonts w:hint="eastAsia" w:ascii="宋体" w:hAnsi="宋体" w:eastAsia="宋体" w:cs="宋体"/>
          <w:b w:val="0"/>
          <w:bCs w:val="0"/>
          <w:szCs w:val="21"/>
          <w:lang w:val="en-US" w:eastAsia="zh-Hans"/>
        </w:rPr>
        <w:t>划分</w:t>
      </w:r>
      <w:r>
        <w:rPr>
          <w:rFonts w:hint="eastAsia" w:ascii="宋体" w:hAnsi="宋体" w:eastAsia="宋体" w:cs="宋体"/>
          <w:b w:val="0"/>
          <w:bCs w:val="0"/>
          <w:szCs w:val="21"/>
        </w:rPr>
        <w:t>。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30" w:type="dxa"/>
          </w:tcPr>
          <w:p>
            <w:pPr>
              <w:numPr>
                <w:ilvl w:val="255"/>
                <w:numId w:val="0"/>
              </w:numPr>
              <w:spacing w:after="156" w:afterLines="50" w:line="276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非机动车类型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F1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  <w:t>）</w:t>
            </w:r>
          </w:p>
        </w:tc>
        <w:tc>
          <w:tcPr>
            <w:tcW w:w="2130" w:type="dxa"/>
          </w:tcPr>
          <w:p>
            <w:pPr>
              <w:numPr>
                <w:ilvl w:val="255"/>
                <w:numId w:val="0"/>
              </w:numPr>
              <w:spacing w:after="156" w:afterLines="50" w:line="276" w:lineRule="auto"/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人力自行车、人力三轮车</w:t>
            </w:r>
          </w:p>
        </w:tc>
        <w:tc>
          <w:tcPr>
            <w:tcW w:w="2131" w:type="dxa"/>
          </w:tcPr>
          <w:p>
            <w:pPr>
              <w:numPr>
                <w:ilvl w:val="255"/>
                <w:numId w:val="0"/>
              </w:numPr>
              <w:spacing w:after="156" w:afterLines="50" w:line="276" w:lineRule="auto"/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电动自行车、电动三轮车</w:t>
            </w:r>
          </w:p>
        </w:tc>
        <w:tc>
          <w:tcPr>
            <w:tcW w:w="2131" w:type="dxa"/>
          </w:tcPr>
          <w:p>
            <w:pPr>
              <w:numPr>
                <w:ilvl w:val="255"/>
                <w:numId w:val="0"/>
              </w:numPr>
              <w:spacing w:after="156" w:afterLines="50" w:line="276" w:lineRule="auto"/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其他非机动车辆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30" w:type="dxa"/>
          </w:tcPr>
          <w:p>
            <w:pPr>
              <w:numPr>
                <w:ilvl w:val="255"/>
                <w:numId w:val="0"/>
              </w:numPr>
              <w:spacing w:after="156" w:afterLines="50" w:line="276" w:lineRule="auto"/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调整系数</w:t>
            </w:r>
          </w:p>
        </w:tc>
        <w:tc>
          <w:tcPr>
            <w:tcW w:w="2130" w:type="dxa"/>
          </w:tcPr>
          <w:p>
            <w:pPr>
              <w:numPr>
                <w:ilvl w:val="255"/>
                <w:numId w:val="0"/>
              </w:numPr>
              <w:spacing w:after="156" w:afterLines="50" w:line="276" w:lineRule="auto"/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szCs w:val="21"/>
              </w:rPr>
              <w:t>[0.8,1.0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]</w:t>
            </w:r>
          </w:p>
        </w:tc>
        <w:tc>
          <w:tcPr>
            <w:tcW w:w="2131" w:type="dxa"/>
          </w:tcPr>
          <w:p>
            <w:pPr>
              <w:numPr>
                <w:ilvl w:val="255"/>
                <w:numId w:val="0"/>
              </w:numPr>
              <w:spacing w:after="156" w:afterLines="50" w:line="276" w:lineRule="auto"/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[</w:t>
            </w:r>
            <w:r>
              <w:rPr>
                <w:rFonts w:ascii="宋体" w:hAnsi="宋体" w:eastAsia="宋体" w:cs="宋体"/>
                <w:b w:val="0"/>
                <w:bCs w:val="0"/>
                <w:szCs w:val="21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b w:val="0"/>
                <w:bCs w:val="0"/>
                <w:szCs w:val="21"/>
              </w:rPr>
              <w:t>,1.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5</w:t>
            </w:r>
            <w:r>
              <w:rPr>
                <w:rFonts w:ascii="宋体" w:hAnsi="宋体" w:eastAsia="宋体" w:cs="宋体"/>
                <w:b w:val="0"/>
                <w:bCs w:val="0"/>
                <w:szCs w:val="21"/>
              </w:rPr>
              <w:t>]</w:t>
            </w:r>
          </w:p>
        </w:tc>
        <w:tc>
          <w:tcPr>
            <w:tcW w:w="2131" w:type="dxa"/>
          </w:tcPr>
          <w:p>
            <w:pPr>
              <w:numPr>
                <w:ilvl w:val="255"/>
                <w:numId w:val="0"/>
              </w:numPr>
              <w:spacing w:after="156" w:afterLines="50" w:line="276" w:lineRule="auto"/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szCs w:val="21"/>
              </w:rPr>
              <w:t>[0.8,1.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5</w:t>
            </w:r>
            <w:r>
              <w:rPr>
                <w:rFonts w:ascii="宋体" w:hAnsi="宋体" w:eastAsia="宋体" w:cs="宋体"/>
                <w:b w:val="0"/>
                <w:bCs w:val="0"/>
                <w:szCs w:val="21"/>
              </w:rPr>
              <w:t>]</w:t>
            </w:r>
          </w:p>
        </w:tc>
      </w:tr>
    </w:tbl>
    <w:p>
      <w:pPr>
        <w:numPr>
          <w:ilvl w:val="255"/>
          <w:numId w:val="0"/>
        </w:numPr>
        <w:spacing w:after="156" w:afterLines="50" w:line="276" w:lineRule="auto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Cs w:val="21"/>
        </w:rPr>
        <w:t>、行驶区域交通情况调整系数：根据被保险人所在地区、实际交通情况</w:t>
      </w:r>
      <w:r>
        <w:rPr>
          <w:rFonts w:hint="eastAsia" w:ascii="宋体" w:hAnsi="宋体" w:eastAsia="宋体" w:cs="宋体"/>
          <w:szCs w:val="21"/>
          <w:lang w:eastAsia="zh-Hans"/>
        </w:rPr>
        <w:t>，</w:t>
      </w:r>
      <w:r>
        <w:rPr>
          <w:rFonts w:hint="eastAsia" w:ascii="宋体" w:hAnsi="宋体" w:eastAsia="宋体" w:cs="宋体"/>
          <w:szCs w:val="21"/>
        </w:rPr>
        <w:t>进行</w:t>
      </w:r>
      <w:r>
        <w:rPr>
          <w:rFonts w:hint="eastAsia" w:ascii="宋体" w:hAnsi="宋体" w:eastAsia="宋体" w:cs="宋体"/>
          <w:b w:val="0"/>
          <w:bCs w:val="0"/>
          <w:szCs w:val="21"/>
          <w:lang w:val="en-US" w:eastAsia="zh-Hans"/>
        </w:rPr>
        <w:t>划分</w:t>
      </w:r>
      <w:r>
        <w:rPr>
          <w:rFonts w:hint="eastAsia" w:ascii="宋体" w:hAnsi="宋体" w:eastAsia="宋体" w:cs="宋体"/>
          <w:szCs w:val="21"/>
        </w:rPr>
        <w:t>。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c>
          <w:tcPr>
            <w:tcW w:w="2130" w:type="dxa"/>
          </w:tcPr>
          <w:p>
            <w:pPr>
              <w:spacing w:after="156" w:afterLines="50" w:line="276" w:lineRule="auto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行驶区域交通情况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(F2)</w:t>
            </w:r>
          </w:p>
        </w:tc>
        <w:tc>
          <w:tcPr>
            <w:tcW w:w="2130" w:type="dxa"/>
          </w:tcPr>
          <w:p>
            <w:pPr>
              <w:spacing w:after="156" w:afterLines="50" w:line="276" w:lineRule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交通规划不合理、发生意外事故风险较高</w:t>
            </w:r>
          </w:p>
        </w:tc>
        <w:tc>
          <w:tcPr>
            <w:tcW w:w="2131" w:type="dxa"/>
          </w:tcPr>
          <w:p>
            <w:pPr>
              <w:spacing w:after="156" w:afterLines="50" w:line="276" w:lineRule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交通规划较好、发生意外事故风险较低</w:t>
            </w:r>
          </w:p>
        </w:tc>
        <w:tc>
          <w:tcPr>
            <w:tcW w:w="2131" w:type="dxa"/>
          </w:tcPr>
          <w:p>
            <w:pPr>
              <w:spacing w:after="156" w:afterLines="50" w:line="276" w:lineRule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交通规划合理、发生意外事故风险很低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30" w:type="dxa"/>
          </w:tcPr>
          <w:p>
            <w:pPr>
              <w:spacing w:after="156" w:afterLines="50" w:line="276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调整系数</w:t>
            </w:r>
          </w:p>
        </w:tc>
        <w:tc>
          <w:tcPr>
            <w:tcW w:w="2130" w:type="dxa"/>
          </w:tcPr>
          <w:p>
            <w:pPr>
              <w:spacing w:after="156" w:afterLines="50" w:line="276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(1.0,1.5]</w:t>
            </w:r>
          </w:p>
        </w:tc>
        <w:tc>
          <w:tcPr>
            <w:tcW w:w="2131" w:type="dxa"/>
          </w:tcPr>
          <w:p>
            <w:pPr>
              <w:spacing w:after="156" w:afterLines="50" w:line="276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(0.8,1.0]</w:t>
            </w:r>
          </w:p>
        </w:tc>
        <w:tc>
          <w:tcPr>
            <w:tcW w:w="2131" w:type="dxa"/>
          </w:tcPr>
          <w:p>
            <w:pPr>
              <w:spacing w:after="156" w:afterLines="50" w:line="276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[0.7,0.8]</w:t>
            </w:r>
          </w:p>
        </w:tc>
      </w:tr>
    </w:tbl>
    <w:p>
      <w:pPr>
        <w:numPr>
          <w:ilvl w:val="255"/>
          <w:numId w:val="0"/>
        </w:numPr>
        <w:spacing w:after="156" w:afterLines="50" w:line="276" w:lineRule="auto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Cs w:val="21"/>
        </w:rPr>
        <w:t>、预期（经验）赔付率调整系数：根据预期赔付率或经验赔付率</w:t>
      </w:r>
      <w:r>
        <w:rPr>
          <w:rFonts w:hint="eastAsia" w:ascii="宋体" w:hAnsi="宋体" w:eastAsia="宋体" w:cs="宋体"/>
          <w:szCs w:val="21"/>
          <w:lang w:eastAsia="zh-Hans"/>
        </w:rPr>
        <w:t>，</w:t>
      </w:r>
      <w:r>
        <w:rPr>
          <w:rFonts w:hint="eastAsia" w:ascii="宋体" w:hAnsi="宋体" w:eastAsia="宋体" w:cs="宋体"/>
          <w:szCs w:val="21"/>
        </w:rPr>
        <w:t>进行</w:t>
      </w:r>
      <w:r>
        <w:rPr>
          <w:rFonts w:hint="eastAsia" w:ascii="宋体" w:hAnsi="宋体" w:eastAsia="宋体" w:cs="宋体"/>
          <w:b w:val="0"/>
          <w:bCs w:val="0"/>
          <w:szCs w:val="21"/>
          <w:lang w:val="en-US" w:eastAsia="zh-Hans"/>
        </w:rPr>
        <w:t>划分</w:t>
      </w:r>
      <w:r>
        <w:rPr>
          <w:rFonts w:hint="eastAsia" w:ascii="宋体" w:hAnsi="宋体" w:eastAsia="宋体" w:cs="宋体"/>
          <w:szCs w:val="21"/>
        </w:rPr>
        <w:t>。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04" w:type="dxa"/>
            <w:vAlign w:val="center"/>
          </w:tcPr>
          <w:p>
            <w:pPr>
              <w:spacing w:after="156" w:afterLines="50" w:line="276" w:lineRule="auto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赔付率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(F3)</w:t>
            </w:r>
          </w:p>
        </w:tc>
        <w:tc>
          <w:tcPr>
            <w:tcW w:w="1704" w:type="dxa"/>
            <w:vAlign w:val="center"/>
          </w:tcPr>
          <w:p>
            <w:pPr>
              <w:spacing w:after="156" w:afterLines="50" w:line="276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80%及以上</w:t>
            </w:r>
          </w:p>
        </w:tc>
        <w:tc>
          <w:tcPr>
            <w:tcW w:w="1704" w:type="dxa"/>
            <w:vAlign w:val="center"/>
          </w:tcPr>
          <w:p>
            <w:pPr>
              <w:spacing w:after="156" w:afterLines="50" w:line="276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（60%,80%]</w:t>
            </w:r>
          </w:p>
        </w:tc>
        <w:tc>
          <w:tcPr>
            <w:tcW w:w="1705" w:type="dxa"/>
            <w:vAlign w:val="center"/>
          </w:tcPr>
          <w:p>
            <w:pPr>
              <w:spacing w:after="156" w:afterLines="50" w:line="276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(40%,60%]</w:t>
            </w:r>
          </w:p>
        </w:tc>
        <w:tc>
          <w:tcPr>
            <w:tcW w:w="1705" w:type="dxa"/>
            <w:vAlign w:val="center"/>
          </w:tcPr>
          <w:p>
            <w:pPr>
              <w:spacing w:after="156" w:afterLines="50" w:line="276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[0,40%]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04" w:type="dxa"/>
            <w:vAlign w:val="center"/>
          </w:tcPr>
          <w:p>
            <w:pPr>
              <w:spacing w:after="156" w:afterLines="50" w:line="276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调整系数</w:t>
            </w:r>
          </w:p>
        </w:tc>
        <w:tc>
          <w:tcPr>
            <w:tcW w:w="1704" w:type="dxa"/>
            <w:vAlign w:val="center"/>
          </w:tcPr>
          <w:p>
            <w:pPr>
              <w:spacing w:after="156" w:afterLines="50" w:line="276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（1.2,1.8]</w:t>
            </w:r>
          </w:p>
        </w:tc>
        <w:tc>
          <w:tcPr>
            <w:tcW w:w="1704" w:type="dxa"/>
            <w:vAlign w:val="center"/>
          </w:tcPr>
          <w:p>
            <w:pPr>
              <w:spacing w:after="156" w:afterLines="50" w:line="276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(1.0,1.2]</w:t>
            </w:r>
          </w:p>
        </w:tc>
        <w:tc>
          <w:tcPr>
            <w:tcW w:w="1705" w:type="dxa"/>
            <w:vAlign w:val="center"/>
          </w:tcPr>
          <w:p>
            <w:pPr>
              <w:spacing w:after="156" w:afterLines="50" w:line="276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(0.6,1.0]</w:t>
            </w:r>
          </w:p>
        </w:tc>
        <w:tc>
          <w:tcPr>
            <w:tcW w:w="1705" w:type="dxa"/>
            <w:vAlign w:val="center"/>
          </w:tcPr>
          <w:p>
            <w:pPr>
              <w:spacing w:after="156" w:afterLines="50" w:line="276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[0.4,0.6]</w:t>
            </w:r>
          </w:p>
        </w:tc>
      </w:tr>
    </w:tbl>
    <w:p>
      <w:pPr>
        <w:spacing w:after="50" w:line="276" w:lineRule="auto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Cs w:val="21"/>
        </w:rPr>
        <w:t>、渠道年度预计投保人数调整系数：根据渠道年度预计投保人数</w:t>
      </w:r>
      <w:r>
        <w:rPr>
          <w:rFonts w:hint="eastAsia" w:ascii="宋体" w:hAnsi="宋体" w:eastAsia="宋体" w:cs="宋体"/>
          <w:szCs w:val="21"/>
          <w:lang w:eastAsia="zh-Hans"/>
        </w:rPr>
        <w:t>，</w:t>
      </w:r>
      <w:r>
        <w:rPr>
          <w:rFonts w:hint="eastAsia" w:ascii="宋体" w:hAnsi="宋体" w:eastAsia="宋体" w:cs="宋体"/>
          <w:szCs w:val="21"/>
        </w:rPr>
        <w:t>进行</w:t>
      </w:r>
      <w:r>
        <w:rPr>
          <w:rFonts w:hint="eastAsia" w:ascii="宋体" w:hAnsi="宋体" w:eastAsia="宋体" w:cs="宋体"/>
          <w:b w:val="0"/>
          <w:bCs w:val="0"/>
          <w:szCs w:val="21"/>
          <w:lang w:val="en-US" w:eastAsia="zh-Hans"/>
        </w:rPr>
        <w:t>划分</w:t>
      </w:r>
      <w:r>
        <w:rPr>
          <w:rFonts w:hint="eastAsia" w:ascii="宋体" w:hAnsi="宋体" w:eastAsia="宋体" w:cs="宋体"/>
          <w:szCs w:val="21"/>
        </w:rPr>
        <w:t>。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8"/>
        <w:gridCol w:w="1302"/>
        <w:gridCol w:w="1218"/>
        <w:gridCol w:w="1418"/>
        <w:gridCol w:w="1275"/>
        <w:gridCol w:w="1524"/>
      </w:tblGrid>
      <w:tr>
        <w:trPr>
          <w:jc w:val="center"/>
        </w:trPr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62" w:beforeLines="20" w:after="62" w:afterLines="20"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投保人数（人）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(F4)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62" w:beforeLines="20" w:after="62" w:afterLines="2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[1,50]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62" w:beforeLines="20" w:after="62" w:afterLines="2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(50,100]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62" w:beforeLines="20" w:after="62" w:afterLines="2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(100,300]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62" w:beforeLines="20" w:after="62" w:afterLines="2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(300,500]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62" w:beforeLines="20" w:after="62" w:afterLines="2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500以上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3" w:hRule="atLeast"/>
          <w:jc w:val="center"/>
        </w:trPr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62" w:beforeLines="20" w:after="62" w:afterLines="2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调整系数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62" w:beforeLines="20" w:after="62" w:afterLines="2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(1.0,1.2]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62" w:beforeLines="20" w:after="62" w:afterLines="2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(0.9,1.0]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62" w:beforeLines="20" w:after="62" w:afterLines="2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(0.8,0.9]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62" w:beforeLines="20" w:after="62" w:afterLines="2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(0.7,0.8]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62" w:beforeLines="20" w:after="62" w:afterLines="2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[0.5,0.7]</w:t>
            </w:r>
          </w:p>
        </w:tc>
      </w:tr>
    </w:tbl>
    <w:p>
      <w:pPr>
        <w:numPr>
          <w:ilvl w:val="0"/>
          <w:numId w:val="1"/>
        </w:numPr>
        <w:spacing w:after="156" w:afterLines="50" w:line="276" w:lineRule="auto"/>
        <w:rPr>
          <w:rFonts w:hint="eastAsia" w:ascii="宋体" w:hAnsi="宋体" w:eastAsia="宋体" w:cs="宋体"/>
          <w:b w:val="0"/>
          <w:bCs w:val="0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lang w:val="en-US" w:eastAsia="zh-CN"/>
        </w:rPr>
        <w:t>销售方式</w:t>
      </w:r>
      <w:r>
        <w:rPr>
          <w:rFonts w:hint="eastAsia" w:ascii="宋体" w:hAnsi="宋体" w:eastAsia="宋体" w:cs="宋体"/>
          <w:b w:val="0"/>
          <w:bCs w:val="0"/>
          <w:szCs w:val="21"/>
          <w:lang w:val="en-US" w:eastAsia="zh-Hans"/>
        </w:rPr>
        <w:t>调整系数：根据销售方式，进行划分。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-1"/>
                <w:numId w:val="0"/>
              </w:numPr>
              <w:spacing w:after="156" w:afterLines="50" w:line="276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vertAlign w:val="baseline"/>
                <w:lang w:val="en-US" w:eastAsia="zh-CN"/>
              </w:rPr>
              <w:t>销售方式(F5)</w:t>
            </w:r>
          </w:p>
        </w:tc>
        <w:tc>
          <w:tcPr>
            <w:tcW w:w="2841" w:type="dxa"/>
          </w:tcPr>
          <w:p>
            <w:pPr>
              <w:numPr>
                <w:ilvl w:val="-1"/>
                <w:numId w:val="0"/>
              </w:numPr>
              <w:spacing w:after="156" w:afterLines="50" w:line="276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vertAlign w:val="baseline"/>
                <w:lang w:val="en-US" w:eastAsia="zh-CN"/>
              </w:rPr>
              <w:t>直销</w:t>
            </w:r>
          </w:p>
        </w:tc>
        <w:tc>
          <w:tcPr>
            <w:tcW w:w="2841" w:type="dxa"/>
          </w:tcPr>
          <w:p>
            <w:pPr>
              <w:numPr>
                <w:ilvl w:val="-1"/>
                <w:numId w:val="0"/>
              </w:numPr>
              <w:spacing w:after="156" w:afterLines="50" w:line="276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vertAlign w:val="baseline"/>
                <w:lang w:val="en-US" w:eastAsia="zh-CN"/>
              </w:rPr>
              <w:t>非直销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-1"/>
                <w:numId w:val="0"/>
              </w:numPr>
              <w:spacing w:after="156" w:afterLines="50" w:line="276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vertAlign w:val="baseline"/>
                <w:lang w:val="en-US" w:eastAsia="zh-CN"/>
              </w:rPr>
              <w:t>调整系数</w:t>
            </w:r>
          </w:p>
        </w:tc>
        <w:tc>
          <w:tcPr>
            <w:tcW w:w="2841" w:type="dxa"/>
          </w:tcPr>
          <w:p>
            <w:pPr>
              <w:numPr>
                <w:ilvl w:val="-1"/>
                <w:numId w:val="0"/>
              </w:numPr>
              <w:spacing w:after="156" w:afterLines="50" w:line="276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[0.8</w:t>
            </w:r>
            <w:r>
              <w:rPr>
                <w:rFonts w:hint="default" w:ascii="宋体" w:hAnsi="宋体" w:eastAsia="宋体" w:cs="宋体"/>
                <w:szCs w:val="21"/>
              </w:rPr>
              <w:t>,</w:t>
            </w:r>
            <w:r>
              <w:rPr>
                <w:rFonts w:hint="eastAsia" w:ascii="宋体" w:hAnsi="宋体" w:eastAsia="宋体" w:cs="宋体"/>
                <w:szCs w:val="21"/>
              </w:rPr>
              <w:t>1.1]</w:t>
            </w:r>
          </w:p>
        </w:tc>
        <w:tc>
          <w:tcPr>
            <w:tcW w:w="2841" w:type="dxa"/>
          </w:tcPr>
          <w:p>
            <w:pPr>
              <w:numPr>
                <w:ilvl w:val="-1"/>
                <w:numId w:val="0"/>
              </w:numPr>
              <w:spacing w:after="156" w:afterLines="50" w:line="276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vertAlign w:val="baseline"/>
                <w:lang w:val="en-US" w:eastAsia="zh-CN"/>
              </w:rPr>
              <w:t>[0.9,1.3]</w:t>
            </w:r>
          </w:p>
        </w:tc>
      </w:tr>
    </w:tbl>
    <w:p>
      <w:pPr>
        <w:spacing w:after="156" w:afterLines="5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 w:val="0"/>
          <w:bCs w:val="0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szCs w:val="21"/>
        </w:rPr>
        <w:t>、</w:t>
      </w:r>
      <w:r>
        <w:rPr>
          <w:rFonts w:hint="eastAsia" w:ascii="宋体" w:hAnsi="宋体" w:eastAsia="宋体" w:cs="宋体"/>
          <w:szCs w:val="21"/>
        </w:rPr>
        <w:t>免赔额调整系数：根据承保时约定的免赔额，进行划分。（仅限</w:t>
      </w:r>
      <w:r>
        <w:rPr>
          <w:rFonts w:hint="eastAsia" w:ascii="宋体" w:hAnsi="宋体" w:eastAsia="宋体" w:cs="宋体"/>
          <w:kern w:val="0"/>
          <w:szCs w:val="21"/>
        </w:rPr>
        <w:t>意外伤害医疗保险责任使用</w:t>
      </w:r>
      <w:r>
        <w:rPr>
          <w:rFonts w:hint="eastAsia" w:ascii="宋体" w:hAnsi="宋体" w:eastAsia="宋体" w:cs="宋体"/>
          <w:szCs w:val="21"/>
        </w:rPr>
        <w:t>）</w:t>
      </w:r>
    </w:p>
    <w:tbl>
      <w:tblPr>
        <w:tblStyle w:val="8"/>
        <w:tblW w:w="865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2"/>
        <w:gridCol w:w="1170"/>
        <w:gridCol w:w="1425"/>
        <w:gridCol w:w="1245"/>
        <w:gridCol w:w="1200"/>
        <w:gridCol w:w="1215"/>
        <w:gridCol w:w="1173"/>
      </w:tblGrid>
      <w:tr>
        <w:trPr>
          <w:trHeight w:val="315" w:hRule="atLeast"/>
          <w:jc w:val="center"/>
        </w:trPr>
        <w:tc>
          <w:tcPr>
            <w:tcW w:w="12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after="156" w:afterLines="5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免赔额（元）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(F6)</w:t>
            </w:r>
          </w:p>
        </w:tc>
        <w:tc>
          <w:tcPr>
            <w:tcW w:w="11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0-50（含）</w:t>
            </w:r>
          </w:p>
        </w:tc>
        <w:tc>
          <w:tcPr>
            <w:tcW w:w="14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50-100（含）</w:t>
            </w:r>
          </w:p>
        </w:tc>
        <w:tc>
          <w:tcPr>
            <w:tcW w:w="124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100-200（含）</w:t>
            </w:r>
          </w:p>
        </w:tc>
        <w:tc>
          <w:tcPr>
            <w:tcW w:w="12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200-300（含）</w:t>
            </w:r>
          </w:p>
        </w:tc>
        <w:tc>
          <w:tcPr>
            <w:tcW w:w="121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300-500（含）</w:t>
            </w:r>
          </w:p>
        </w:tc>
        <w:tc>
          <w:tcPr>
            <w:tcW w:w="117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500以上</w:t>
            </w:r>
          </w:p>
        </w:tc>
      </w:tr>
      <w:tr>
        <w:trPr>
          <w:trHeight w:val="315" w:hRule="atLeast"/>
          <w:jc w:val="center"/>
        </w:trPr>
        <w:tc>
          <w:tcPr>
            <w:tcW w:w="122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调整系数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[1.2,1.3]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[1.1,1.2)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[1.0,1.1)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[0.9,1.0)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[0.8,0.9)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[0.7,0.8)</w:t>
            </w:r>
          </w:p>
        </w:tc>
      </w:tr>
    </w:tbl>
    <w:p>
      <w:pPr>
        <w:spacing w:after="156" w:afterLines="50"/>
        <w:ind w:firstLine="0" w:firstLineChars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szCs w:val="21"/>
        </w:rPr>
        <w:t>、赔付比例调整系数：根据承保时约定的赔付比例，进行划分。（仅限</w:t>
      </w:r>
      <w:r>
        <w:rPr>
          <w:rFonts w:hint="eastAsia" w:ascii="宋体" w:hAnsi="宋体" w:eastAsia="宋体" w:cs="宋体"/>
          <w:kern w:val="0"/>
          <w:szCs w:val="21"/>
        </w:rPr>
        <w:t>意外伤害医疗保险责任使用</w:t>
      </w:r>
      <w:r>
        <w:rPr>
          <w:rFonts w:hint="eastAsia" w:ascii="宋体" w:hAnsi="宋体" w:eastAsia="宋体" w:cs="宋体"/>
          <w:szCs w:val="21"/>
        </w:rPr>
        <w:t>）</w:t>
      </w:r>
    </w:p>
    <w:tbl>
      <w:tblPr>
        <w:tblStyle w:val="8"/>
        <w:tblW w:w="871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1301"/>
        <w:gridCol w:w="1301"/>
        <w:gridCol w:w="1301"/>
        <w:gridCol w:w="1301"/>
        <w:gridCol w:w="1202"/>
        <w:gridCol w:w="1237"/>
      </w:tblGrid>
      <w:tr>
        <w:trPr>
          <w:trHeight w:val="315" w:hRule="atLeast"/>
          <w:jc w:val="center"/>
        </w:trPr>
        <w:tc>
          <w:tcPr>
            <w:tcW w:w="10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after="156" w:afterLines="5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赔付比例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(F7)</w:t>
            </w:r>
          </w:p>
        </w:tc>
        <w:tc>
          <w:tcPr>
            <w:tcW w:w="13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(90%,100%]</w:t>
            </w:r>
          </w:p>
        </w:tc>
        <w:tc>
          <w:tcPr>
            <w:tcW w:w="13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(80%,90%]</w:t>
            </w:r>
          </w:p>
        </w:tc>
        <w:tc>
          <w:tcPr>
            <w:tcW w:w="13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(70%,80%]</w:t>
            </w:r>
          </w:p>
        </w:tc>
        <w:tc>
          <w:tcPr>
            <w:tcW w:w="13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(60%,70%]</w:t>
            </w:r>
          </w:p>
        </w:tc>
        <w:tc>
          <w:tcPr>
            <w:tcW w:w="12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(50%,60%]</w:t>
            </w:r>
          </w:p>
        </w:tc>
        <w:tc>
          <w:tcPr>
            <w:tcW w:w="123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≤50%</w:t>
            </w:r>
          </w:p>
        </w:tc>
      </w:tr>
      <w:tr>
        <w:trPr>
          <w:trHeight w:val="315" w:hRule="atLeast"/>
          <w:jc w:val="center"/>
        </w:trPr>
        <w:tc>
          <w:tcPr>
            <w:tcW w:w="107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调整系数</w:t>
            </w:r>
          </w:p>
        </w:tc>
        <w:tc>
          <w:tcPr>
            <w:tcW w:w="13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(1.1,1.2]</w:t>
            </w:r>
          </w:p>
        </w:tc>
        <w:tc>
          <w:tcPr>
            <w:tcW w:w="13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(1.0,1.1]</w:t>
            </w:r>
          </w:p>
        </w:tc>
        <w:tc>
          <w:tcPr>
            <w:tcW w:w="13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(0.9,1.0]</w:t>
            </w:r>
          </w:p>
        </w:tc>
        <w:tc>
          <w:tcPr>
            <w:tcW w:w="13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(0.8,0.9]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(0.7,0.8]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[0.6,0.7]</w:t>
            </w:r>
          </w:p>
        </w:tc>
      </w:tr>
    </w:tbl>
    <w:p>
      <w:pPr>
        <w:spacing w:after="156" w:afterLines="5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szCs w:val="21"/>
          <w:lang w:bidi="ar"/>
        </w:rPr>
        <w:t>、基本医疗保险调整系数：根据被保险人承保时是否参加基本医疗保险，进行划分。</w:t>
      </w:r>
      <w:r>
        <w:rPr>
          <w:rFonts w:hint="eastAsia" w:ascii="宋体" w:hAnsi="宋体" w:eastAsia="宋体" w:cs="宋体"/>
          <w:szCs w:val="21"/>
        </w:rPr>
        <w:t>（仅限</w:t>
      </w:r>
      <w:r>
        <w:rPr>
          <w:rFonts w:hint="eastAsia" w:ascii="宋体" w:hAnsi="宋体" w:eastAsia="宋体" w:cs="宋体"/>
          <w:kern w:val="0"/>
          <w:szCs w:val="21"/>
        </w:rPr>
        <w:t>意外伤害医疗保险责任使用</w:t>
      </w:r>
      <w:r>
        <w:rPr>
          <w:rFonts w:hint="eastAsia" w:ascii="宋体" w:hAnsi="宋体" w:eastAsia="宋体" w:cs="宋体"/>
          <w:szCs w:val="21"/>
        </w:rPr>
        <w:t>）</w:t>
      </w:r>
    </w:p>
    <w:tbl>
      <w:tblPr>
        <w:tblStyle w:val="9"/>
        <w:tblW w:w="8760" w:type="dxa"/>
        <w:tblInd w:w="-1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7"/>
        <w:gridCol w:w="2840"/>
        <w:gridCol w:w="2963"/>
      </w:tblGrid>
      <w:tr>
        <w:tc>
          <w:tcPr>
            <w:tcW w:w="2957" w:type="dxa"/>
            <w:vAlign w:val="center"/>
          </w:tcPr>
          <w:p>
            <w:pPr>
              <w:spacing w:after="156" w:afterLines="5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有无基本医疗保险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(F8)</w:t>
            </w:r>
          </w:p>
        </w:tc>
        <w:tc>
          <w:tcPr>
            <w:tcW w:w="2840" w:type="dxa"/>
            <w:vAlign w:val="center"/>
          </w:tcPr>
          <w:p>
            <w:pPr>
              <w:spacing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有</w:t>
            </w:r>
          </w:p>
        </w:tc>
        <w:tc>
          <w:tcPr>
            <w:tcW w:w="2963" w:type="dxa"/>
            <w:vAlign w:val="center"/>
          </w:tcPr>
          <w:p>
            <w:pPr>
              <w:spacing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无</w:t>
            </w:r>
          </w:p>
        </w:tc>
      </w:tr>
      <w:tr>
        <w:tc>
          <w:tcPr>
            <w:tcW w:w="2957" w:type="dxa"/>
            <w:vAlign w:val="center"/>
          </w:tcPr>
          <w:p>
            <w:pPr>
              <w:spacing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调整系数</w:t>
            </w:r>
          </w:p>
        </w:tc>
        <w:tc>
          <w:tcPr>
            <w:tcW w:w="2840" w:type="dxa"/>
            <w:vAlign w:val="center"/>
          </w:tcPr>
          <w:p>
            <w:pPr>
              <w:spacing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1.0</w:t>
            </w:r>
          </w:p>
        </w:tc>
        <w:tc>
          <w:tcPr>
            <w:tcW w:w="2963" w:type="dxa"/>
            <w:vAlign w:val="center"/>
          </w:tcPr>
          <w:p>
            <w:pPr>
              <w:spacing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1.5</w:t>
            </w:r>
          </w:p>
        </w:tc>
      </w:tr>
    </w:tbl>
    <w:p>
      <w:pPr>
        <w:widowControl/>
        <w:spacing w:before="120" w:line="240" w:lineRule="exact"/>
        <w:rPr>
          <w:rFonts w:ascii="宋体" w:hAnsi="宋体" w:eastAsia="宋体" w:cs="宋体"/>
          <w:szCs w:val="21"/>
        </w:rPr>
      </w:pPr>
    </w:p>
    <w:p>
      <w:pPr>
        <w:spacing w:after="156" w:afterLines="50" w:line="276" w:lineRule="auto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三、保险费计算公式</w:t>
      </w:r>
    </w:p>
    <w:p>
      <w:pPr>
        <w:spacing w:after="156" w:afterLines="50" w:line="276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基本责任年保险费=意外伤害身故保险金额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×意外伤害身故年基</w:t>
      </w:r>
      <w:r>
        <w:rPr>
          <w:rFonts w:hint="eastAsia" w:ascii="宋体" w:hAnsi="宋体" w:cs="宋体"/>
          <w:color w:val="000000" w:themeColor="text1"/>
          <w:szCs w:val="21"/>
          <w:lang w:eastAsia="zh-Hans"/>
          <w14:textFill>
            <w14:solidFill>
              <w14:schemeClr w14:val="tx1"/>
            </w14:solidFill>
          </w14:textFill>
        </w:rPr>
        <w:t>准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费率×</w:t>
      </w:r>
      <w:r>
        <w:rPr>
          <w:rFonts w:hint="eastAsia" w:ascii="宋体" w:hAnsi="宋体"/>
          <w:szCs w:val="21"/>
        </w:rPr>
        <w:t>F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 w:cs="宋体"/>
          <w:szCs w:val="21"/>
        </w:rPr>
        <w:t>×F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×F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×F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×F</w:t>
      </w:r>
      <w:r>
        <w:rPr>
          <w:rFonts w:ascii="宋体" w:hAnsi="宋体" w:cs="宋体"/>
          <w:szCs w:val="21"/>
        </w:rPr>
        <w:t>5</w:t>
      </w:r>
    </w:p>
    <w:p>
      <w:pPr>
        <w:spacing w:after="156" w:afterLines="50" w:line="276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可选责任年保险费=意外伤害伤残保险金额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×意外伤害伤残年基</w:t>
      </w:r>
      <w:r>
        <w:rPr>
          <w:rFonts w:hint="eastAsia" w:ascii="宋体" w:hAnsi="宋体" w:cs="宋体"/>
          <w:color w:val="000000" w:themeColor="text1"/>
          <w:szCs w:val="21"/>
          <w:lang w:eastAsia="zh-Hans"/>
          <w14:textFill>
            <w14:solidFill>
              <w14:schemeClr w14:val="tx1"/>
            </w14:solidFill>
          </w14:textFill>
        </w:rPr>
        <w:t>准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费率</w:t>
      </w:r>
      <w:r>
        <w:rPr>
          <w:rFonts w:hint="eastAsia" w:ascii="宋体" w:hAnsi="宋体"/>
          <w:szCs w:val="21"/>
        </w:rPr>
        <w:t>F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 w:cs="宋体"/>
          <w:szCs w:val="21"/>
        </w:rPr>
        <w:t>×F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×F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×F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×F</w:t>
      </w:r>
      <w:r>
        <w:rPr>
          <w:rFonts w:ascii="宋体" w:hAnsi="宋体" w:cs="宋体"/>
          <w:szCs w:val="21"/>
        </w:rPr>
        <w:t>5</w:t>
      </w:r>
      <w:r>
        <w:rPr>
          <w:rFonts w:hint="eastAsia" w:ascii="宋体" w:hAnsi="宋体" w:eastAsia="宋体" w:cs="宋体"/>
          <w:szCs w:val="21"/>
        </w:rPr>
        <w:t>+意外伤害医疗保险金额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×意外伤害医疗年</w:t>
      </w:r>
      <w:r>
        <w:rPr>
          <w:rFonts w:hint="eastAsia" w:ascii="宋体" w:hAnsi="宋体" w:cs="宋体"/>
          <w:color w:val="000000" w:themeColor="text1"/>
          <w:szCs w:val="21"/>
          <w:lang w:eastAsia="zh-Hans"/>
          <w14:textFill>
            <w14:solidFill>
              <w14:schemeClr w14:val="tx1"/>
            </w14:solidFill>
          </w14:textFill>
        </w:rPr>
        <w:t>基准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费率×</w:t>
      </w:r>
      <w:r>
        <w:rPr>
          <w:rFonts w:hint="eastAsia" w:ascii="宋体" w:hAnsi="宋体"/>
          <w:szCs w:val="21"/>
        </w:rPr>
        <w:t>F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 w:cs="宋体"/>
          <w:szCs w:val="21"/>
        </w:rPr>
        <w:t>×F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×F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×F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×F</w:t>
      </w:r>
      <w:r>
        <w:rPr>
          <w:rFonts w:ascii="宋体" w:hAnsi="宋体" w:cs="宋体"/>
          <w:szCs w:val="21"/>
        </w:rPr>
        <w:t>5</w:t>
      </w:r>
      <w:r>
        <w:rPr>
          <w:rFonts w:hint="eastAsia" w:ascii="宋体" w:hAnsi="宋体" w:cs="宋体"/>
          <w:szCs w:val="21"/>
        </w:rPr>
        <w:t>×F</w:t>
      </w:r>
      <w:r>
        <w:rPr>
          <w:rFonts w:hint="eastAsia" w:ascii="宋体" w:hAnsi="宋体" w:cs="宋体"/>
          <w:szCs w:val="21"/>
          <w:lang w:val="en-US" w:eastAsia="zh-CN"/>
        </w:rPr>
        <w:t>6</w:t>
      </w:r>
      <w:r>
        <w:rPr>
          <w:rFonts w:hint="eastAsia" w:ascii="宋体" w:hAnsi="宋体" w:cs="宋体"/>
          <w:szCs w:val="21"/>
        </w:rPr>
        <w:t>×F</w:t>
      </w:r>
      <w:r>
        <w:rPr>
          <w:rFonts w:hint="eastAsia" w:ascii="宋体" w:hAnsi="宋体" w:cs="宋体"/>
          <w:szCs w:val="21"/>
          <w:lang w:val="en-US" w:eastAsia="zh-CN"/>
        </w:rPr>
        <w:t>7</w:t>
      </w:r>
      <w:r>
        <w:rPr>
          <w:rFonts w:hint="eastAsia" w:ascii="宋体" w:hAnsi="宋体" w:cs="宋体"/>
          <w:szCs w:val="21"/>
        </w:rPr>
        <w:t>×F</w:t>
      </w:r>
      <w:r>
        <w:rPr>
          <w:rFonts w:hint="eastAsia" w:ascii="宋体" w:hAnsi="宋体" w:cs="宋体"/>
          <w:szCs w:val="21"/>
          <w:lang w:val="en-US" w:eastAsia="zh-CN"/>
        </w:rPr>
        <w:t>8</w:t>
      </w:r>
    </w:p>
    <w:p>
      <w:pPr>
        <w:spacing w:after="156" w:afterLines="50" w:line="276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年保险费=基本责任年保险费+可选责任年保险费</w:t>
      </w:r>
    </w:p>
    <w:p>
      <w:pPr>
        <w:spacing w:line="312" w:lineRule="auto"/>
        <w:jc w:val="left"/>
        <w:rPr>
          <w:rFonts w:ascii="宋体" w:hAnsi="宋体" w:eastAsia="宋体" w:cs="宋体"/>
          <w:szCs w:val="21"/>
        </w:rPr>
      </w:pPr>
      <w:r>
        <w:rPr>
          <w:rFonts w:ascii="Times New Roman" w:hAnsi="宋体"/>
          <w:szCs w:val="21"/>
        </w:rPr>
        <w:t>说明：投保人必须投保基本</w:t>
      </w:r>
      <w:r>
        <w:rPr>
          <w:rFonts w:hint="eastAsia" w:ascii="Times New Roman" w:hAnsi="宋体"/>
          <w:szCs w:val="21"/>
        </w:rPr>
        <w:t>责任</w:t>
      </w:r>
      <w:r>
        <w:rPr>
          <w:rFonts w:ascii="Times New Roman" w:hAnsi="宋体"/>
          <w:szCs w:val="21"/>
        </w:rPr>
        <w:t>，并可以在投保基本</w:t>
      </w:r>
      <w:r>
        <w:rPr>
          <w:rFonts w:hint="eastAsia" w:ascii="Times New Roman" w:hAnsi="宋体"/>
          <w:szCs w:val="21"/>
        </w:rPr>
        <w:t>责任</w:t>
      </w:r>
      <w:r>
        <w:rPr>
          <w:rFonts w:ascii="Times New Roman" w:hAnsi="宋体"/>
          <w:szCs w:val="21"/>
        </w:rPr>
        <w:t>的基础上选择投保可选</w:t>
      </w:r>
      <w:r>
        <w:rPr>
          <w:rFonts w:hint="eastAsia" w:ascii="Times New Roman" w:hAnsi="宋体"/>
          <w:szCs w:val="21"/>
        </w:rPr>
        <w:t>责任</w:t>
      </w:r>
      <w:r>
        <w:rPr>
          <w:rFonts w:ascii="Times New Roman" w:hAnsi="宋体"/>
          <w:szCs w:val="21"/>
        </w:rPr>
        <w:t>；若投保人未选择投保</w:t>
      </w:r>
      <w:r>
        <w:rPr>
          <w:rFonts w:hint="eastAsia" w:ascii="Times New Roman" w:hAnsi="宋体"/>
          <w:szCs w:val="21"/>
        </w:rPr>
        <w:t>某一项或多项</w:t>
      </w:r>
      <w:r>
        <w:rPr>
          <w:rFonts w:ascii="Times New Roman" w:hAnsi="宋体"/>
          <w:szCs w:val="21"/>
        </w:rPr>
        <w:t>可选</w:t>
      </w:r>
      <w:r>
        <w:rPr>
          <w:rFonts w:hint="eastAsia" w:ascii="Times New Roman" w:hAnsi="宋体"/>
          <w:szCs w:val="21"/>
        </w:rPr>
        <w:t>责任</w:t>
      </w:r>
      <w:r>
        <w:rPr>
          <w:rFonts w:ascii="Times New Roman" w:hAnsi="宋体"/>
          <w:szCs w:val="21"/>
        </w:rPr>
        <w:t>，则以上公式中相应责任的保险金额取值为</w:t>
      </w:r>
      <w:r>
        <w:rPr>
          <w:rFonts w:ascii="Times New Roman"/>
          <w:szCs w:val="21"/>
        </w:rPr>
        <w:t>0</w:t>
      </w:r>
      <w:r>
        <w:rPr>
          <w:rFonts w:ascii="Times New Roman" w:hAnsi="宋体"/>
          <w:szCs w:val="21"/>
        </w:rPr>
        <w:t>。</w:t>
      </w:r>
    </w:p>
    <w:p>
      <w:pPr>
        <w:widowControl/>
        <w:numPr>
          <w:ilvl w:val="0"/>
          <w:numId w:val="0"/>
        </w:numPr>
        <w:spacing w:before="120" w:line="240" w:lineRule="exact"/>
        <w:rPr>
          <w:rFonts w:ascii="宋体" w:cs="Arial"/>
          <w:b/>
          <w:bCs/>
          <w:kern w:val="0"/>
          <w:szCs w:val="21"/>
        </w:rPr>
      </w:pPr>
      <w:r>
        <w:rPr>
          <w:rFonts w:hint="eastAsia" w:ascii="宋体" w:cs="Arial"/>
          <w:b/>
          <w:bCs/>
          <w:kern w:val="0"/>
          <w:szCs w:val="21"/>
          <w:lang w:val="en-US" w:eastAsia="zh-Hans"/>
        </w:rPr>
        <w:t>四、</w:t>
      </w:r>
      <w:r>
        <w:rPr>
          <w:rFonts w:hint="eastAsia" w:ascii="宋体" w:cs="Arial"/>
          <w:b/>
          <w:bCs/>
          <w:kern w:val="0"/>
          <w:szCs w:val="21"/>
        </w:rPr>
        <w:t>短期费率表</w:t>
      </w:r>
      <w:r>
        <w:rPr>
          <w:rFonts w:hint="eastAsia" w:ascii="宋体" w:hAnsi="宋体"/>
          <w:color w:val="000000"/>
          <w:szCs w:val="21"/>
        </w:rPr>
        <w:t>（按年费率的百分比计算）</w:t>
      </w:r>
    </w:p>
    <w:tbl>
      <w:tblPr>
        <w:tblStyle w:val="8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3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792"/>
      </w:tblGrid>
      <w:tr>
        <w:trPr>
          <w:cantSplit/>
          <w:trHeight w:val="520" w:hRule="exact"/>
        </w:trPr>
        <w:tc>
          <w:tcPr>
            <w:tcW w:w="1913" w:type="dxa"/>
            <w:vAlign w:val="center"/>
          </w:tcPr>
          <w:p>
            <w:pPr>
              <w:pStyle w:val="19"/>
              <w:jc w:val="center"/>
              <w:rPr>
                <w:rFonts w:ascii="宋体" w:hAnsi="宋体"/>
                <w:color w:val="000000"/>
                <w:szCs w:val="21"/>
              </w:rPr>
            </w:pPr>
            <w:bookmarkStart w:id="0" w:name="_GoBack" w:colFirst="12" w:colLast="0"/>
            <w:r>
              <w:rPr>
                <w:rFonts w:hint="eastAsia" w:ascii="宋体" w:hAnsi="宋体"/>
                <w:color w:val="000000"/>
                <w:szCs w:val="21"/>
              </w:rPr>
              <w:t>保险期间（个月）</w:t>
            </w:r>
          </w:p>
        </w:tc>
        <w:tc>
          <w:tcPr>
            <w:tcW w:w="550" w:type="dxa"/>
            <w:vAlign w:val="center"/>
          </w:tcPr>
          <w:p>
            <w:pPr>
              <w:pStyle w:val="19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550" w:type="dxa"/>
            <w:vAlign w:val="center"/>
          </w:tcPr>
          <w:p>
            <w:pPr>
              <w:pStyle w:val="19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550" w:type="dxa"/>
            <w:vAlign w:val="center"/>
          </w:tcPr>
          <w:p>
            <w:pPr>
              <w:pStyle w:val="19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</w:p>
        </w:tc>
        <w:tc>
          <w:tcPr>
            <w:tcW w:w="550" w:type="dxa"/>
            <w:vAlign w:val="center"/>
          </w:tcPr>
          <w:p>
            <w:pPr>
              <w:pStyle w:val="19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</w:t>
            </w:r>
          </w:p>
        </w:tc>
        <w:tc>
          <w:tcPr>
            <w:tcW w:w="550" w:type="dxa"/>
            <w:vAlign w:val="center"/>
          </w:tcPr>
          <w:p>
            <w:pPr>
              <w:pStyle w:val="19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</w:t>
            </w:r>
          </w:p>
        </w:tc>
        <w:tc>
          <w:tcPr>
            <w:tcW w:w="550" w:type="dxa"/>
            <w:vAlign w:val="center"/>
          </w:tcPr>
          <w:p>
            <w:pPr>
              <w:pStyle w:val="19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6</w:t>
            </w:r>
          </w:p>
        </w:tc>
        <w:tc>
          <w:tcPr>
            <w:tcW w:w="550" w:type="dxa"/>
            <w:vAlign w:val="center"/>
          </w:tcPr>
          <w:p>
            <w:pPr>
              <w:pStyle w:val="19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7</w:t>
            </w:r>
          </w:p>
        </w:tc>
        <w:tc>
          <w:tcPr>
            <w:tcW w:w="550" w:type="dxa"/>
            <w:vAlign w:val="center"/>
          </w:tcPr>
          <w:p>
            <w:pPr>
              <w:pStyle w:val="19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8</w:t>
            </w:r>
          </w:p>
        </w:tc>
        <w:tc>
          <w:tcPr>
            <w:tcW w:w="550" w:type="dxa"/>
            <w:vAlign w:val="center"/>
          </w:tcPr>
          <w:p>
            <w:pPr>
              <w:pStyle w:val="19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9</w:t>
            </w:r>
          </w:p>
        </w:tc>
        <w:tc>
          <w:tcPr>
            <w:tcW w:w="550" w:type="dxa"/>
            <w:vAlign w:val="center"/>
          </w:tcPr>
          <w:p>
            <w:pPr>
              <w:pStyle w:val="19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10</w:t>
            </w:r>
          </w:p>
        </w:tc>
        <w:tc>
          <w:tcPr>
            <w:tcW w:w="550" w:type="dxa"/>
            <w:vAlign w:val="center"/>
          </w:tcPr>
          <w:p>
            <w:pPr>
              <w:pStyle w:val="19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11</w:t>
            </w:r>
          </w:p>
        </w:tc>
        <w:tc>
          <w:tcPr>
            <w:tcW w:w="792" w:type="dxa"/>
            <w:vAlign w:val="center"/>
          </w:tcPr>
          <w:p>
            <w:pPr>
              <w:pStyle w:val="19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12</w:t>
            </w:r>
          </w:p>
        </w:tc>
      </w:tr>
      <w:tr>
        <w:trPr>
          <w:cantSplit/>
          <w:trHeight w:val="930" w:hRule="exact"/>
        </w:trPr>
        <w:tc>
          <w:tcPr>
            <w:tcW w:w="1913" w:type="dxa"/>
            <w:vAlign w:val="center"/>
          </w:tcPr>
          <w:p>
            <w:pPr>
              <w:pStyle w:val="19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年</w:t>
            </w:r>
            <w:r>
              <w:rPr>
                <w:rFonts w:hint="eastAsia" w:ascii="宋体" w:hAnsi="宋体"/>
                <w:color w:val="000000"/>
                <w:szCs w:val="21"/>
                <w:lang w:eastAsia="zh-Hans"/>
              </w:rPr>
              <w:t>费率</w:t>
            </w:r>
            <w:r>
              <w:rPr>
                <w:rFonts w:hint="eastAsia" w:ascii="宋体" w:hAnsi="宋体"/>
                <w:color w:val="000000"/>
                <w:szCs w:val="21"/>
              </w:rPr>
              <w:t>的百分比</w:t>
            </w:r>
          </w:p>
        </w:tc>
        <w:tc>
          <w:tcPr>
            <w:tcW w:w="550" w:type="dxa"/>
            <w:vAlign w:val="center"/>
          </w:tcPr>
          <w:p>
            <w:pPr>
              <w:pStyle w:val="19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10%</w:t>
            </w:r>
          </w:p>
        </w:tc>
        <w:tc>
          <w:tcPr>
            <w:tcW w:w="550" w:type="dxa"/>
            <w:vAlign w:val="center"/>
          </w:tcPr>
          <w:p>
            <w:pPr>
              <w:pStyle w:val="19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20%</w:t>
            </w:r>
          </w:p>
        </w:tc>
        <w:tc>
          <w:tcPr>
            <w:tcW w:w="550" w:type="dxa"/>
            <w:vAlign w:val="center"/>
          </w:tcPr>
          <w:p>
            <w:pPr>
              <w:pStyle w:val="19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30%</w:t>
            </w:r>
          </w:p>
        </w:tc>
        <w:tc>
          <w:tcPr>
            <w:tcW w:w="550" w:type="dxa"/>
            <w:vAlign w:val="center"/>
          </w:tcPr>
          <w:p>
            <w:pPr>
              <w:pStyle w:val="19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40%</w:t>
            </w:r>
          </w:p>
        </w:tc>
        <w:tc>
          <w:tcPr>
            <w:tcW w:w="550" w:type="dxa"/>
            <w:vAlign w:val="center"/>
          </w:tcPr>
          <w:p>
            <w:pPr>
              <w:pStyle w:val="19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50%</w:t>
            </w:r>
          </w:p>
        </w:tc>
        <w:tc>
          <w:tcPr>
            <w:tcW w:w="550" w:type="dxa"/>
            <w:vAlign w:val="center"/>
          </w:tcPr>
          <w:p>
            <w:pPr>
              <w:pStyle w:val="19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60%</w:t>
            </w:r>
          </w:p>
        </w:tc>
        <w:tc>
          <w:tcPr>
            <w:tcW w:w="550" w:type="dxa"/>
            <w:vAlign w:val="center"/>
          </w:tcPr>
          <w:p>
            <w:pPr>
              <w:pStyle w:val="19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70%</w:t>
            </w:r>
          </w:p>
        </w:tc>
        <w:tc>
          <w:tcPr>
            <w:tcW w:w="550" w:type="dxa"/>
            <w:vAlign w:val="center"/>
          </w:tcPr>
          <w:p>
            <w:pPr>
              <w:pStyle w:val="19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80%</w:t>
            </w:r>
          </w:p>
        </w:tc>
        <w:tc>
          <w:tcPr>
            <w:tcW w:w="550" w:type="dxa"/>
            <w:vAlign w:val="center"/>
          </w:tcPr>
          <w:p>
            <w:pPr>
              <w:pStyle w:val="19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85%</w:t>
            </w:r>
          </w:p>
        </w:tc>
        <w:tc>
          <w:tcPr>
            <w:tcW w:w="550" w:type="dxa"/>
            <w:vAlign w:val="center"/>
          </w:tcPr>
          <w:p>
            <w:pPr>
              <w:pStyle w:val="19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90%</w:t>
            </w:r>
          </w:p>
        </w:tc>
        <w:tc>
          <w:tcPr>
            <w:tcW w:w="550" w:type="dxa"/>
            <w:vAlign w:val="center"/>
          </w:tcPr>
          <w:p>
            <w:pPr>
              <w:pStyle w:val="19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95%</w:t>
            </w:r>
          </w:p>
        </w:tc>
        <w:tc>
          <w:tcPr>
            <w:tcW w:w="792" w:type="dxa"/>
            <w:vAlign w:val="center"/>
          </w:tcPr>
          <w:p>
            <w:pPr>
              <w:pStyle w:val="19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100%</w:t>
            </w:r>
          </w:p>
        </w:tc>
      </w:tr>
      <w:bookmarkEnd w:id="0"/>
    </w:tbl>
    <w:p>
      <w:pPr>
        <w:spacing w:before="156" w:beforeLines="50" w:after="50" w:line="276" w:lineRule="auto"/>
        <w:ind w:firstLine="424" w:firstLineChars="202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注：保险期间不足1个月的，按1个月计算；保险期间在1个月以上，不足2个月的，按2个月计算；保险期间在2个月以上，不足3个月的，按3个月计算，依此类推。</w:t>
      </w:r>
    </w:p>
    <w:p>
      <w:pPr>
        <w:spacing w:line="360" w:lineRule="auto"/>
        <w:rPr>
          <w:szCs w:val="21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BYAAABkcnMvUEsBAhQAFAAAAAgAh07iQM6pebnPAAAABQEAAA8AAAAAAAAAAQAg&#10;AAAAOAAAAGRycy9kb3ducmV2LnhtbFBLAQIUABQAAAAIAIdO4kAJEq28yAEAAJkDAAAOAAAAAAAA&#10;AAEAIAAAADQ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CD7176"/>
    <w:multiLevelType w:val="singleLevel"/>
    <w:tmpl w:val="01CD7176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hN2M5YjFmMzE2ZWU5YmM2OWUyMGI0M2U5YWY0YjQifQ=="/>
  </w:docVars>
  <w:rsids>
    <w:rsidRoot w:val="008F0A55"/>
    <w:rsid w:val="00001931"/>
    <w:rsid w:val="00043A7E"/>
    <w:rsid w:val="000F1443"/>
    <w:rsid w:val="00102610"/>
    <w:rsid w:val="00106E60"/>
    <w:rsid w:val="001339C5"/>
    <w:rsid w:val="00171974"/>
    <w:rsid w:val="001A4BB0"/>
    <w:rsid w:val="001B568E"/>
    <w:rsid w:val="001C6D43"/>
    <w:rsid w:val="001F0450"/>
    <w:rsid w:val="001F3CEE"/>
    <w:rsid w:val="00210D67"/>
    <w:rsid w:val="00234B8F"/>
    <w:rsid w:val="002A03D1"/>
    <w:rsid w:val="002B210E"/>
    <w:rsid w:val="002E7456"/>
    <w:rsid w:val="002F21EB"/>
    <w:rsid w:val="00300FBE"/>
    <w:rsid w:val="00310BFD"/>
    <w:rsid w:val="00323346"/>
    <w:rsid w:val="00345CCC"/>
    <w:rsid w:val="00353C08"/>
    <w:rsid w:val="003767FB"/>
    <w:rsid w:val="00387F22"/>
    <w:rsid w:val="003926DE"/>
    <w:rsid w:val="003E21DF"/>
    <w:rsid w:val="003E56FD"/>
    <w:rsid w:val="004654B2"/>
    <w:rsid w:val="00476505"/>
    <w:rsid w:val="004851DD"/>
    <w:rsid w:val="00490119"/>
    <w:rsid w:val="0050035D"/>
    <w:rsid w:val="005165C3"/>
    <w:rsid w:val="00566ACA"/>
    <w:rsid w:val="0057562C"/>
    <w:rsid w:val="005A0A90"/>
    <w:rsid w:val="005A3CA7"/>
    <w:rsid w:val="005A3D55"/>
    <w:rsid w:val="005B48E0"/>
    <w:rsid w:val="005C579A"/>
    <w:rsid w:val="005D2C40"/>
    <w:rsid w:val="005D4F00"/>
    <w:rsid w:val="005E3133"/>
    <w:rsid w:val="006A364C"/>
    <w:rsid w:val="006C69C9"/>
    <w:rsid w:val="0070083D"/>
    <w:rsid w:val="00707115"/>
    <w:rsid w:val="00723C0D"/>
    <w:rsid w:val="0077445F"/>
    <w:rsid w:val="007B0349"/>
    <w:rsid w:val="007F5439"/>
    <w:rsid w:val="00847260"/>
    <w:rsid w:val="008F0A55"/>
    <w:rsid w:val="00931DE2"/>
    <w:rsid w:val="0093377C"/>
    <w:rsid w:val="00991C52"/>
    <w:rsid w:val="009942A6"/>
    <w:rsid w:val="00A14449"/>
    <w:rsid w:val="00A210B3"/>
    <w:rsid w:val="00A6586A"/>
    <w:rsid w:val="00A66581"/>
    <w:rsid w:val="00A671AE"/>
    <w:rsid w:val="00A822F7"/>
    <w:rsid w:val="00A93599"/>
    <w:rsid w:val="00A97605"/>
    <w:rsid w:val="00AA60D7"/>
    <w:rsid w:val="00BA1471"/>
    <w:rsid w:val="00BD14F0"/>
    <w:rsid w:val="00BD3E17"/>
    <w:rsid w:val="00BE602F"/>
    <w:rsid w:val="00BE75EF"/>
    <w:rsid w:val="00C0397C"/>
    <w:rsid w:val="00C34C63"/>
    <w:rsid w:val="00C42F47"/>
    <w:rsid w:val="00C85C7A"/>
    <w:rsid w:val="00C86A4B"/>
    <w:rsid w:val="00CB6A2F"/>
    <w:rsid w:val="00D10A25"/>
    <w:rsid w:val="00DA5F62"/>
    <w:rsid w:val="00DC5725"/>
    <w:rsid w:val="00DE192C"/>
    <w:rsid w:val="00DE6F15"/>
    <w:rsid w:val="00DE70AF"/>
    <w:rsid w:val="00E10A4D"/>
    <w:rsid w:val="00E178CD"/>
    <w:rsid w:val="00E25A97"/>
    <w:rsid w:val="00E31A2E"/>
    <w:rsid w:val="00E60CED"/>
    <w:rsid w:val="00EA24F0"/>
    <w:rsid w:val="00EB1149"/>
    <w:rsid w:val="00ED19D3"/>
    <w:rsid w:val="00F24744"/>
    <w:rsid w:val="00F571D5"/>
    <w:rsid w:val="00F578E2"/>
    <w:rsid w:val="00F655A5"/>
    <w:rsid w:val="00F66AA6"/>
    <w:rsid w:val="00F90BBB"/>
    <w:rsid w:val="00FA5E1A"/>
    <w:rsid w:val="00FC2F85"/>
    <w:rsid w:val="00FC59A4"/>
    <w:rsid w:val="025E6DEC"/>
    <w:rsid w:val="06CC48E8"/>
    <w:rsid w:val="0EEF8F49"/>
    <w:rsid w:val="18740BF4"/>
    <w:rsid w:val="1BA65F3A"/>
    <w:rsid w:val="22344D08"/>
    <w:rsid w:val="22846A5B"/>
    <w:rsid w:val="235C2FBC"/>
    <w:rsid w:val="329B16F3"/>
    <w:rsid w:val="366F28ED"/>
    <w:rsid w:val="3BF5CD8E"/>
    <w:rsid w:val="3E190A7B"/>
    <w:rsid w:val="3E314009"/>
    <w:rsid w:val="434632E8"/>
    <w:rsid w:val="443A4F59"/>
    <w:rsid w:val="48140DA5"/>
    <w:rsid w:val="4B2F2B36"/>
    <w:rsid w:val="4B875A6F"/>
    <w:rsid w:val="4F2A05A0"/>
    <w:rsid w:val="5AB92C25"/>
    <w:rsid w:val="5C217150"/>
    <w:rsid w:val="5E016530"/>
    <w:rsid w:val="5F4EDACB"/>
    <w:rsid w:val="624A34F8"/>
    <w:rsid w:val="684E1DE6"/>
    <w:rsid w:val="688B67C7"/>
    <w:rsid w:val="6C340F21"/>
    <w:rsid w:val="6C5F36A8"/>
    <w:rsid w:val="6E9A58EF"/>
    <w:rsid w:val="73273696"/>
    <w:rsid w:val="749114EE"/>
    <w:rsid w:val="76FD5D10"/>
    <w:rsid w:val="B9795044"/>
    <w:rsid w:val="D31F5FAE"/>
    <w:rsid w:val="FB4D190E"/>
    <w:rsid w:val="FFFE273B"/>
    <w:rsid w:val="FFFFA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1"/>
    <w:unhideWhenUsed/>
    <w:qFormat/>
    <w:uiPriority w:val="99"/>
    <w:pPr>
      <w:jc w:val="left"/>
    </w:pPr>
  </w:style>
  <w:style w:type="paragraph" w:styleId="3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link w:val="17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annotation subject"/>
    <w:basedOn w:val="2"/>
    <w:next w:val="2"/>
    <w:link w:val="22"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FollowedHyperlink"/>
    <w:basedOn w:val="10"/>
    <w:unhideWhenUsed/>
    <w:qFormat/>
    <w:uiPriority w:val="99"/>
    <w:rPr>
      <w:color w:val="800080"/>
      <w:u w:val="single"/>
    </w:rPr>
  </w:style>
  <w:style w:type="character" w:styleId="12">
    <w:name w:val="Hyperlink"/>
    <w:basedOn w:val="10"/>
    <w:unhideWhenUsed/>
    <w:qFormat/>
    <w:uiPriority w:val="99"/>
    <w:rPr>
      <w:color w:val="0000FF"/>
      <w:u w:val="single"/>
    </w:rPr>
  </w:style>
  <w:style w:type="character" w:styleId="13">
    <w:name w:val="annotation reference"/>
    <w:basedOn w:val="10"/>
    <w:unhideWhenUsed/>
    <w:qFormat/>
    <w:uiPriority w:val="99"/>
    <w:rPr>
      <w:sz w:val="21"/>
      <w:szCs w:val="21"/>
    </w:rPr>
  </w:style>
  <w:style w:type="character" w:customStyle="1" w:styleId="14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5">
    <w:name w:val="页脚 字符"/>
    <w:basedOn w:val="10"/>
    <w:link w:val="4"/>
    <w:qFormat/>
    <w:uiPriority w:val="99"/>
    <w:rPr>
      <w:sz w:val="18"/>
      <w:szCs w:val="18"/>
    </w:rPr>
  </w:style>
  <w:style w:type="paragraph" w:customStyle="1" w:styleId="16">
    <w:name w:val="列表段落1"/>
    <w:basedOn w:val="1"/>
    <w:qFormat/>
    <w:uiPriority w:val="34"/>
    <w:pPr>
      <w:ind w:firstLine="420" w:firstLineChars="200"/>
    </w:pPr>
  </w:style>
  <w:style w:type="character" w:customStyle="1" w:styleId="17">
    <w:name w:val="HTML 预设格式 字符"/>
    <w:basedOn w:val="10"/>
    <w:link w:val="6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框文本 字符"/>
    <w:basedOn w:val="10"/>
    <w:link w:val="3"/>
    <w:semiHidden/>
    <w:qFormat/>
    <w:uiPriority w:val="99"/>
    <w:rPr>
      <w:sz w:val="18"/>
      <w:szCs w:val="18"/>
    </w:rPr>
  </w:style>
  <w:style w:type="paragraph" w:customStyle="1" w:styleId="19">
    <w:name w:val="无间隔1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无间隔11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21">
    <w:name w:val="批注文字 字符"/>
    <w:basedOn w:val="10"/>
    <w:link w:val="2"/>
    <w:semiHidden/>
    <w:qFormat/>
    <w:uiPriority w:val="99"/>
    <w:rPr>
      <w:kern w:val="2"/>
      <w:sz w:val="21"/>
      <w:szCs w:val="22"/>
    </w:rPr>
  </w:style>
  <w:style w:type="character" w:customStyle="1" w:styleId="22">
    <w:name w:val="批注主题 字符"/>
    <w:basedOn w:val="21"/>
    <w:link w:val="7"/>
    <w:semiHidden/>
    <w:qFormat/>
    <w:uiPriority w:val="99"/>
    <w:rPr>
      <w:b/>
      <w:bCs/>
      <w:kern w:val="2"/>
      <w:sz w:val="21"/>
      <w:szCs w:val="22"/>
    </w:rPr>
  </w:style>
  <w:style w:type="paragraph" w:customStyle="1" w:styleId="23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1311</Words>
  <Characters>1819</Characters>
  <Lines>13</Lines>
  <Paragraphs>3</Paragraphs>
  <TotalTime>0</TotalTime>
  <ScaleCrop>false</ScaleCrop>
  <LinksUpToDate>false</LinksUpToDate>
  <CharactersWithSpaces>1819</CharactersWithSpaces>
  <Application>WPS Office_4.2.2.6882_F1E327BC-269C-435d-A152-05C5408002CA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2016-11-05T21:55:00Z</dcterms:created>
  <dc:creator>封树静</dc:creator>
  <cp:lastModifiedBy>Zixuan Shen</cp:lastModifiedBy>
  <cp:lastPrinted>2015-07-17T21:50:00Z</cp:lastPrinted>
  <dcterms:modified xsi:type="dcterms:W3CDTF">2022-06-29T19:10:54Z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2052-4.2.2.6882</vt:lpwstr>
  </property>
  <property fmtid="{D5CDD505-2E9C-101B-9397-08002B2CF9AE}" pid="3" name="ICV">
    <vt:lpwstr>5939B16F297D4A95B5F00E7841E6FCE6</vt:lpwstr>
  </property>
</Properties>
</file>