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A0019" w14:textId="77777777" w:rsidR="00A051FB" w:rsidRDefault="00A13CCD">
      <w:pPr>
        <w:spacing w:afterLines="50" w:after="156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Ansi="宋体" w:cs="宋体" w:hint="eastAsia"/>
          <w:b/>
          <w:color w:val="000000"/>
          <w:kern w:val="2"/>
          <w:sz w:val="28"/>
          <w:szCs w:val="28"/>
        </w:rPr>
        <w:t>华农财产保险股份有限公司</w:t>
      </w:r>
    </w:p>
    <w:p w14:paraId="49F2B2D9" w14:textId="77777777" w:rsidR="00A051FB" w:rsidRDefault="00A13CCD">
      <w:pPr>
        <w:pStyle w:val="a9"/>
        <w:adjustRightInd w:val="0"/>
        <w:snapToGrid w:val="0"/>
        <w:spacing w:beforeAutospacing="0" w:afterLines="50" w:after="156" w:afterAutospacing="0"/>
        <w:jc w:val="center"/>
        <w:outlineLvl w:val="1"/>
        <w:rPr>
          <w:rFonts w:cstheme="minorBidi"/>
          <w:b/>
          <w:kern w:val="2"/>
          <w:sz w:val="28"/>
          <w:szCs w:val="28"/>
        </w:rPr>
      </w:pPr>
      <w:r>
        <w:rPr>
          <w:rFonts w:cstheme="minorBidi" w:hint="eastAsia"/>
          <w:b/>
          <w:kern w:val="2"/>
          <w:sz w:val="28"/>
          <w:szCs w:val="28"/>
        </w:rPr>
        <w:t>学生、幼儿意外伤害保险附加重大疾病保险费率</w:t>
      </w:r>
      <w:r>
        <w:rPr>
          <w:rFonts w:cstheme="minorBidi" w:hint="eastAsia"/>
          <w:b/>
          <w:kern w:val="2"/>
          <w:sz w:val="28"/>
          <w:szCs w:val="28"/>
        </w:rPr>
        <w:t>表</w:t>
      </w:r>
    </w:p>
    <w:p w14:paraId="7EC3FABB" w14:textId="77777777" w:rsidR="00A051FB" w:rsidRDefault="00A13CCD">
      <w:pPr>
        <w:spacing w:afterLines="50" w:after="156"/>
        <w:rPr>
          <w:rFonts w:hAnsi="宋体" w:cs="宋体"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一、年基准费率</w:t>
      </w:r>
    </w:p>
    <w:tbl>
      <w:tblPr>
        <w:tblW w:w="637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6"/>
        <w:gridCol w:w="3823"/>
      </w:tblGrid>
      <w:tr w:rsidR="00A051FB" w14:paraId="4719813F" w14:textId="77777777">
        <w:trPr>
          <w:trHeight w:val="285"/>
          <w:jc w:val="center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D836" w14:textId="77777777" w:rsidR="00A051FB" w:rsidRDefault="00A13CCD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</w:rPr>
              <w:t>学生群体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6842" w14:textId="77777777" w:rsidR="00A051FB" w:rsidRDefault="00A13CCD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 w:val="21"/>
                <w:szCs w:val="21"/>
              </w:rPr>
              <w:t>基准费率</w:t>
            </w:r>
          </w:p>
        </w:tc>
      </w:tr>
      <w:tr w:rsidR="00A051FB" w14:paraId="784C044F" w14:textId="77777777">
        <w:trPr>
          <w:trHeight w:val="285"/>
          <w:jc w:val="center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01C7D" w14:textId="77777777" w:rsidR="00A051FB" w:rsidRDefault="00A13CCD">
            <w:pPr>
              <w:widowControl/>
              <w:jc w:val="center"/>
              <w:textAlignment w:val="bottom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幼儿园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AFA5" w14:textId="77777777" w:rsidR="00A051FB" w:rsidRDefault="00A13CCD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0.9</w:t>
            </w:r>
            <w:r>
              <w:rPr>
                <w:rFonts w:hAnsi="宋体" w:cs="宋体" w:hint="eastAsia"/>
                <w:color w:val="000000"/>
                <w:sz w:val="21"/>
                <w:szCs w:val="21"/>
              </w:rPr>
              <w:t>‰</w:t>
            </w:r>
          </w:p>
        </w:tc>
      </w:tr>
      <w:tr w:rsidR="00A051FB" w14:paraId="17B3DFFA" w14:textId="77777777">
        <w:trPr>
          <w:trHeight w:val="285"/>
          <w:jc w:val="center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E53D2" w14:textId="77777777" w:rsidR="00A051FB" w:rsidRDefault="00A13CCD">
            <w:pPr>
              <w:widowControl/>
              <w:jc w:val="center"/>
              <w:textAlignment w:val="bottom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小学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2625A" w14:textId="77777777" w:rsidR="00A051FB" w:rsidRDefault="00A13CCD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0.4</w:t>
            </w:r>
            <w:r>
              <w:rPr>
                <w:rFonts w:hAnsi="宋体" w:cs="宋体" w:hint="eastAsia"/>
                <w:color w:val="000000"/>
                <w:sz w:val="21"/>
                <w:szCs w:val="21"/>
              </w:rPr>
              <w:t>‰</w:t>
            </w:r>
          </w:p>
        </w:tc>
      </w:tr>
      <w:tr w:rsidR="00A051FB" w14:paraId="34A5B977" w14:textId="77777777">
        <w:trPr>
          <w:trHeight w:val="285"/>
          <w:jc w:val="center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44605" w14:textId="77777777" w:rsidR="00A051FB" w:rsidRDefault="00A13CCD">
            <w:pPr>
              <w:widowControl/>
              <w:jc w:val="center"/>
              <w:textAlignment w:val="bottom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F239B" w14:textId="77777777" w:rsidR="00A051FB" w:rsidRDefault="00A13CCD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0.4</w:t>
            </w:r>
            <w:r>
              <w:rPr>
                <w:rFonts w:hAnsi="宋体" w:cs="宋体" w:hint="eastAsia"/>
                <w:color w:val="000000"/>
                <w:sz w:val="21"/>
                <w:szCs w:val="21"/>
              </w:rPr>
              <w:t>‰</w:t>
            </w:r>
          </w:p>
        </w:tc>
      </w:tr>
      <w:tr w:rsidR="00A051FB" w14:paraId="1217F37E" w14:textId="77777777">
        <w:trPr>
          <w:trHeight w:val="285"/>
          <w:jc w:val="center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8E0FF" w14:textId="77777777" w:rsidR="00A051FB" w:rsidRDefault="00A13CCD">
            <w:pPr>
              <w:widowControl/>
              <w:jc w:val="center"/>
              <w:textAlignment w:val="bottom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C7D84" w14:textId="77777777" w:rsidR="00A051FB" w:rsidRDefault="00A13CCD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0.4</w:t>
            </w:r>
            <w:r>
              <w:rPr>
                <w:rFonts w:hAnsi="宋体" w:cs="宋体" w:hint="eastAsia"/>
                <w:color w:val="000000"/>
                <w:sz w:val="21"/>
                <w:szCs w:val="21"/>
              </w:rPr>
              <w:t>‰</w:t>
            </w:r>
          </w:p>
        </w:tc>
      </w:tr>
      <w:tr w:rsidR="00A051FB" w14:paraId="60AF9A81" w14:textId="77777777">
        <w:trPr>
          <w:trHeight w:val="285"/>
          <w:jc w:val="center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4E7A4" w14:textId="77777777" w:rsidR="00A051FB" w:rsidRDefault="00A13CCD">
            <w:pPr>
              <w:widowControl/>
              <w:jc w:val="center"/>
              <w:textAlignment w:val="bottom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74143" w14:textId="77777777" w:rsidR="00A051FB" w:rsidRDefault="00A13CCD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0.6</w:t>
            </w:r>
            <w:r>
              <w:rPr>
                <w:rFonts w:hAnsi="宋体" w:cs="宋体" w:hint="eastAsia"/>
                <w:color w:val="000000"/>
                <w:sz w:val="21"/>
                <w:szCs w:val="21"/>
              </w:rPr>
              <w:t>‰</w:t>
            </w:r>
          </w:p>
        </w:tc>
      </w:tr>
    </w:tbl>
    <w:p w14:paraId="4BC727AC" w14:textId="77777777" w:rsidR="00A051FB" w:rsidRDefault="00A051FB">
      <w:pPr>
        <w:spacing w:line="312" w:lineRule="auto"/>
        <w:rPr>
          <w:rFonts w:hAnsi="宋体" w:cs="Arial"/>
          <w:color w:val="000000"/>
          <w:kern w:val="2"/>
          <w:sz w:val="21"/>
          <w:szCs w:val="21"/>
        </w:rPr>
      </w:pPr>
    </w:p>
    <w:p w14:paraId="3249BF09" w14:textId="77777777" w:rsidR="00A051FB" w:rsidRDefault="00A13CCD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二、调整系数</w:t>
      </w:r>
    </w:p>
    <w:p w14:paraId="52329608" w14:textId="77777777" w:rsidR="00A051FB" w:rsidRDefault="00A13CCD">
      <w:pPr>
        <w:spacing w:afterLines="50" w:after="156" w:line="312" w:lineRule="auto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1</w:t>
      </w:r>
      <w:r>
        <w:rPr>
          <w:rFonts w:hAnsi="宋体" w:cs="Arial" w:hint="eastAsia"/>
          <w:color w:val="000000"/>
          <w:kern w:val="2"/>
          <w:sz w:val="21"/>
          <w:szCs w:val="21"/>
        </w:rPr>
        <w:t>、规模调整系数：根据客户承保年度人数规模，进行划分。</w:t>
      </w:r>
    </w:p>
    <w:tbl>
      <w:tblPr>
        <w:tblW w:w="85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A051FB" w14:paraId="7C37B9F1" w14:textId="77777777">
        <w:trPr>
          <w:trHeight w:val="3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A1F8" w14:textId="77777777" w:rsidR="00A051FB" w:rsidRDefault="00A13CCD">
            <w:pPr>
              <w:widowControl/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人数规模（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N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）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CAAF7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A051FB" w14:paraId="1E377092" w14:textId="77777777">
        <w:trPr>
          <w:trHeight w:val="3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4831" w14:textId="77777777" w:rsidR="00A051FB" w:rsidRDefault="00A13CCD">
            <w:pPr>
              <w:widowControl/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N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≤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100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F3A2B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1.0</w:t>
            </w:r>
          </w:p>
        </w:tc>
      </w:tr>
      <w:tr w:rsidR="00A051FB" w14:paraId="5DE7D5C5" w14:textId="77777777">
        <w:trPr>
          <w:trHeight w:val="3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5419" w14:textId="77777777" w:rsidR="00A051FB" w:rsidRDefault="00A13CCD">
            <w:pPr>
              <w:widowControl/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101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≤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N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≤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300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532B9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0.7</w:t>
            </w:r>
          </w:p>
        </w:tc>
      </w:tr>
      <w:tr w:rsidR="00A051FB" w14:paraId="58A8AFBF" w14:textId="77777777">
        <w:trPr>
          <w:trHeight w:val="3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DC5B" w14:textId="77777777" w:rsidR="00A051FB" w:rsidRDefault="00A13CCD">
            <w:pPr>
              <w:widowControl/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301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≤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N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≤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500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25738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0.6</w:t>
            </w:r>
          </w:p>
        </w:tc>
      </w:tr>
      <w:tr w:rsidR="00A051FB" w14:paraId="1109F164" w14:textId="77777777">
        <w:trPr>
          <w:trHeight w:val="3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1943" w14:textId="77777777" w:rsidR="00A051FB" w:rsidRDefault="00A13CCD">
            <w:pPr>
              <w:widowControl/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501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≤</w:t>
            </w: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N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5083D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</w:rPr>
              <w:t>0.5</w:t>
            </w:r>
          </w:p>
        </w:tc>
      </w:tr>
    </w:tbl>
    <w:p w14:paraId="457E4C04" w14:textId="77777777" w:rsidR="00A051FB" w:rsidRDefault="00A13CCD">
      <w:pPr>
        <w:spacing w:afterLines="50" w:after="156" w:line="312" w:lineRule="auto"/>
        <w:rPr>
          <w:rFonts w:hAnsi="宋体" w:cs="宋体"/>
          <w:color w:val="000000"/>
          <w:kern w:val="2"/>
          <w:sz w:val="21"/>
          <w:szCs w:val="21"/>
        </w:rPr>
      </w:pPr>
      <w:r>
        <w:rPr>
          <w:rFonts w:hAnsi="宋体" w:cs="宋体" w:hint="eastAsia"/>
          <w:color w:val="000000"/>
          <w:kern w:val="2"/>
          <w:sz w:val="21"/>
          <w:szCs w:val="21"/>
        </w:rPr>
        <w:t xml:space="preserve"> </w:t>
      </w:r>
    </w:p>
    <w:p w14:paraId="19370242" w14:textId="77777777" w:rsidR="00A051FB" w:rsidRDefault="00A13CCD">
      <w:pPr>
        <w:spacing w:afterLines="50" w:after="156" w:line="312" w:lineRule="auto"/>
        <w:rPr>
          <w:rFonts w:hAnsi="宋体" w:cs="宋体"/>
          <w:color w:val="000000"/>
          <w:kern w:val="2"/>
          <w:sz w:val="21"/>
          <w:szCs w:val="21"/>
        </w:rPr>
      </w:pPr>
      <w:r>
        <w:rPr>
          <w:rFonts w:hAnsi="宋体" w:cs="宋体" w:hint="eastAsia"/>
          <w:color w:val="000000"/>
          <w:kern w:val="2"/>
          <w:sz w:val="21"/>
          <w:szCs w:val="21"/>
        </w:rPr>
        <w:t>2</w:t>
      </w:r>
      <w:r>
        <w:rPr>
          <w:rFonts w:hAnsi="宋体" w:cs="宋体" w:hint="eastAsia"/>
          <w:color w:val="000000"/>
          <w:kern w:val="2"/>
          <w:sz w:val="21"/>
          <w:szCs w:val="21"/>
        </w:rPr>
        <w:t>、历史赔付率调整系数：按客户近三年赔付率，进行划分。</w:t>
      </w:r>
    </w:p>
    <w:tbl>
      <w:tblPr>
        <w:tblW w:w="8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9"/>
        <w:gridCol w:w="4249"/>
      </w:tblGrid>
      <w:tr w:rsidR="00A051FB" w14:paraId="39259CDC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586B" w14:textId="77777777" w:rsidR="00A051FB" w:rsidRDefault="00A13CCD">
            <w:pPr>
              <w:widowControl/>
              <w:spacing w:afterLines="50" w:after="156"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历史赔付率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2F4C9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A051FB" w14:paraId="6FC92BF8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7597" w14:textId="77777777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0%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（含）—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30%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F219C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0.6</w:t>
            </w:r>
          </w:p>
        </w:tc>
      </w:tr>
      <w:tr w:rsidR="00A051FB" w14:paraId="218A69EF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C22E" w14:textId="77777777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30%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（含）—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50%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E2691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0.8</w:t>
            </w:r>
          </w:p>
        </w:tc>
      </w:tr>
      <w:tr w:rsidR="00A051FB" w14:paraId="44274C41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C6D2" w14:textId="77777777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50%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（含）—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80%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E4DB2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1.1</w:t>
            </w:r>
          </w:p>
        </w:tc>
      </w:tr>
      <w:tr w:rsidR="00A051FB" w14:paraId="59FC366D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21FF" w14:textId="77777777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80%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（含）以上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5F8F3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1.3</w:t>
            </w:r>
          </w:p>
        </w:tc>
      </w:tr>
      <w:tr w:rsidR="00A051FB" w14:paraId="19DAE232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DD9F" w14:textId="77777777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无历史赔付率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2F76C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1.0</w:t>
            </w:r>
          </w:p>
        </w:tc>
      </w:tr>
    </w:tbl>
    <w:p w14:paraId="7D246AA8" w14:textId="77777777" w:rsidR="00A051FB" w:rsidRDefault="00A051FB">
      <w:pPr>
        <w:rPr>
          <w:rFonts w:hAnsi="宋体" w:cs="Arial"/>
          <w:b/>
          <w:color w:val="000000"/>
          <w:kern w:val="2"/>
          <w:sz w:val="21"/>
          <w:szCs w:val="21"/>
        </w:rPr>
      </w:pPr>
    </w:p>
    <w:p w14:paraId="791CAEB5" w14:textId="77777777" w:rsidR="00A051FB" w:rsidRDefault="00A13CCD">
      <w:pPr>
        <w:spacing w:afterLines="50" w:after="156" w:line="312" w:lineRule="auto"/>
        <w:rPr>
          <w:rFonts w:hAnsi="宋体" w:cs="宋体"/>
          <w:color w:val="000000"/>
          <w:kern w:val="2"/>
          <w:sz w:val="21"/>
          <w:szCs w:val="21"/>
        </w:rPr>
      </w:pPr>
      <w:r>
        <w:rPr>
          <w:rFonts w:hAnsi="宋体" w:cs="宋体" w:hint="eastAsia"/>
          <w:color w:val="000000"/>
          <w:kern w:val="2"/>
          <w:sz w:val="21"/>
          <w:szCs w:val="21"/>
        </w:rPr>
        <w:t>3</w:t>
      </w:r>
      <w:r>
        <w:rPr>
          <w:rFonts w:hAnsi="宋体" w:cs="宋体" w:hint="eastAsia"/>
          <w:color w:val="000000"/>
          <w:kern w:val="2"/>
          <w:sz w:val="21"/>
          <w:szCs w:val="21"/>
        </w:rPr>
        <w:t>、等待</w:t>
      </w:r>
      <w:proofErr w:type="gramStart"/>
      <w:r>
        <w:rPr>
          <w:rFonts w:hAnsi="宋体" w:cs="宋体" w:hint="eastAsia"/>
          <w:color w:val="000000"/>
          <w:kern w:val="2"/>
          <w:sz w:val="21"/>
          <w:szCs w:val="21"/>
        </w:rPr>
        <w:t>期调整</w:t>
      </w:r>
      <w:proofErr w:type="gramEnd"/>
      <w:r>
        <w:rPr>
          <w:rFonts w:hAnsi="宋体" w:cs="宋体" w:hint="eastAsia"/>
          <w:color w:val="000000"/>
          <w:kern w:val="2"/>
          <w:sz w:val="21"/>
          <w:szCs w:val="21"/>
        </w:rPr>
        <w:t>系数：按约定的等待期，进行划分。</w:t>
      </w:r>
    </w:p>
    <w:tbl>
      <w:tblPr>
        <w:tblW w:w="8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9"/>
        <w:gridCol w:w="4249"/>
      </w:tblGrid>
      <w:tr w:rsidR="00A051FB" w14:paraId="44043639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435F" w14:textId="77777777" w:rsidR="00A051FB" w:rsidRDefault="00A13CCD">
            <w:pPr>
              <w:widowControl/>
              <w:spacing w:afterLines="50" w:after="156"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089D4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 w:rsidR="00A051FB" w14:paraId="52F447AE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08FD" w14:textId="15323EBA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lastRenderedPageBreak/>
              <w:t>＞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30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天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2C6DF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1.0</w:t>
            </w:r>
          </w:p>
        </w:tc>
      </w:tr>
      <w:tr w:rsidR="00A051FB" w14:paraId="61800C1E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C2FE" w14:textId="77777777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20-30</w:t>
            </w: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天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（含）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B4984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1.2</w:t>
            </w:r>
          </w:p>
        </w:tc>
      </w:tr>
      <w:tr w:rsidR="00A051FB" w14:paraId="62651BA9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C4F7" w14:textId="77777777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10-20</w:t>
            </w: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天</w:t>
            </w:r>
            <w:r>
              <w:rPr>
                <w:rFonts w:hAnsi="宋体" w:cs="Arial" w:hint="eastAsia"/>
                <w:kern w:val="2"/>
                <w:sz w:val="21"/>
                <w:szCs w:val="21"/>
              </w:rPr>
              <w:t>（含）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9DC4C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1.4</w:t>
            </w:r>
          </w:p>
        </w:tc>
      </w:tr>
      <w:tr w:rsidR="00A051FB" w14:paraId="79783D89" w14:textId="77777777">
        <w:trPr>
          <w:trHeight w:val="405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0A3E" w14:textId="439D19F2" w:rsidR="00A051FB" w:rsidRDefault="00A13CCD">
            <w:pPr>
              <w:widowControl/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≤</w:t>
            </w: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10</w:t>
            </w:r>
            <w:r>
              <w:rPr>
                <w:rFonts w:hAnsi="宋体" w:cs="宋体" w:hint="eastAsia"/>
                <w:color w:val="000000"/>
                <w:kern w:val="2"/>
                <w:sz w:val="21"/>
                <w:szCs w:val="21"/>
              </w:rPr>
              <w:t>天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E349" w14:textId="77777777" w:rsidR="00A051FB" w:rsidRDefault="00A13CCD">
            <w:pPr>
              <w:spacing w:afterLines="50" w:after="156"/>
              <w:jc w:val="center"/>
              <w:rPr>
                <w:rFonts w:hAnsi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1.6</w:t>
            </w:r>
          </w:p>
        </w:tc>
      </w:tr>
    </w:tbl>
    <w:p w14:paraId="14DD9EB1" w14:textId="77777777" w:rsidR="00A051FB" w:rsidRDefault="00A051FB">
      <w:pPr>
        <w:rPr>
          <w:rFonts w:hAnsi="宋体" w:cs="Arial"/>
          <w:b/>
          <w:color w:val="000000"/>
          <w:kern w:val="2"/>
          <w:sz w:val="21"/>
          <w:szCs w:val="21"/>
        </w:rPr>
      </w:pPr>
    </w:p>
    <w:p w14:paraId="151DB1C3" w14:textId="77777777" w:rsidR="00A051FB" w:rsidRDefault="00A13CCD"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三、保险费计算</w:t>
      </w:r>
    </w:p>
    <w:p w14:paraId="2F3947EE" w14:textId="77777777" w:rsidR="00A051FB" w:rsidRDefault="00A13CCD">
      <w:pPr>
        <w:spacing w:line="312" w:lineRule="auto"/>
        <w:ind w:firstLineChars="200" w:firstLine="42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被保险人年保险费</w:t>
      </w:r>
      <w:r>
        <w:rPr>
          <w:rFonts w:hAnsi="宋体" w:cs="Arial" w:hint="eastAsia"/>
          <w:color w:val="000000"/>
          <w:kern w:val="2"/>
          <w:sz w:val="21"/>
          <w:szCs w:val="21"/>
        </w:rPr>
        <w:t>=</w:t>
      </w:r>
      <w:r>
        <w:rPr>
          <w:rFonts w:hAnsi="宋体" w:cs="Arial" w:hint="eastAsia"/>
          <w:color w:val="000000"/>
          <w:kern w:val="2"/>
          <w:sz w:val="21"/>
          <w:szCs w:val="21"/>
        </w:rPr>
        <w:t>保险金额×年基准费率×规模调整系数×历史赔付率调整系数×</w:t>
      </w:r>
      <w:r>
        <w:rPr>
          <w:rFonts w:hAnsi="宋体" w:cs="宋体" w:hint="eastAsia"/>
          <w:color w:val="000000"/>
          <w:kern w:val="2"/>
          <w:sz w:val="21"/>
          <w:szCs w:val="21"/>
        </w:rPr>
        <w:t>等待</w:t>
      </w:r>
      <w:proofErr w:type="gramStart"/>
      <w:r>
        <w:rPr>
          <w:rFonts w:hAnsi="宋体" w:cs="宋体" w:hint="eastAsia"/>
          <w:color w:val="000000"/>
          <w:kern w:val="2"/>
          <w:sz w:val="21"/>
          <w:szCs w:val="21"/>
        </w:rPr>
        <w:t>期调整</w:t>
      </w:r>
      <w:proofErr w:type="gramEnd"/>
      <w:r>
        <w:rPr>
          <w:rFonts w:hAnsi="宋体" w:cs="宋体" w:hint="eastAsia"/>
          <w:color w:val="000000"/>
          <w:kern w:val="2"/>
          <w:sz w:val="21"/>
          <w:szCs w:val="21"/>
        </w:rPr>
        <w:t>系数</w:t>
      </w:r>
    </w:p>
    <w:p w14:paraId="438930E1" w14:textId="77777777" w:rsidR="00A051FB" w:rsidRDefault="00A13CCD">
      <w:pPr>
        <w:spacing w:afterLines="50" w:after="156"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Ansi="宋体" w:cs="Arial" w:hint="eastAsia"/>
          <w:b/>
          <w:color w:val="000000"/>
          <w:kern w:val="2"/>
          <w:sz w:val="21"/>
          <w:szCs w:val="21"/>
        </w:rPr>
        <w:t>四、短期费率表</w:t>
      </w:r>
    </w:p>
    <w:p w14:paraId="01250328" w14:textId="77777777" w:rsidR="00A051FB" w:rsidRDefault="00A13CCD">
      <w:pPr>
        <w:spacing w:afterLines="50" w:after="156" w:line="312" w:lineRule="auto"/>
        <w:ind w:firstLineChars="224" w:firstLine="470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Ansi="宋体" w:cs="Arial" w:hint="eastAsia"/>
          <w:color w:val="000000"/>
          <w:kern w:val="2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A051FB" w14:paraId="7A518FDA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B9BA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FBDC9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4760833F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5C97DD6A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625A4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71AEE143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5D04BBA1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EE5BC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三</w:t>
            </w:r>
          </w:p>
          <w:p w14:paraId="7FE01364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5254E913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E6096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四</w:t>
            </w:r>
          </w:p>
          <w:p w14:paraId="714C166F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F058628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5A50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五</w:t>
            </w:r>
          </w:p>
          <w:p w14:paraId="0FAD883B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F4FF8C2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6DC3C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六</w:t>
            </w:r>
          </w:p>
          <w:p w14:paraId="443B8E49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3BCE71F8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6FCB3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七</w:t>
            </w:r>
          </w:p>
          <w:p w14:paraId="1349556B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7F5E9D0B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BB185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八</w:t>
            </w:r>
          </w:p>
          <w:p w14:paraId="1A962558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0D235559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DE989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九</w:t>
            </w:r>
          </w:p>
          <w:p w14:paraId="2244FB12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4B60B442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03632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355BFD6C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2515E93C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163D5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4E7FD5B1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一</w:t>
            </w:r>
          </w:p>
          <w:p w14:paraId="1935D60C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41614FAB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A2DA2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十</w:t>
            </w:r>
          </w:p>
          <w:p w14:paraId="4BF589E0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二</w:t>
            </w:r>
          </w:p>
          <w:p w14:paraId="25B7310A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个</w:t>
            </w:r>
          </w:p>
          <w:p w14:paraId="7FE11E3A" w14:textId="77777777" w:rsidR="00A051FB" w:rsidRDefault="00A13CCD"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 w:rsidR="00A051FB" w14:paraId="43933101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96E8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20DBC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5BBC4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11935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0D947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C3629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693AB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BD99E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85BB6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342BD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41C88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77F5F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43FE" w14:textId="77777777" w:rsidR="00A051FB" w:rsidRDefault="00A13CCD">
            <w:pPr>
              <w:spacing w:afterLines="50" w:after="156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color w:val="000000"/>
                <w:kern w:val="2"/>
                <w:sz w:val="21"/>
                <w:szCs w:val="21"/>
              </w:rPr>
              <w:t>100%</w:t>
            </w:r>
          </w:p>
        </w:tc>
      </w:tr>
    </w:tbl>
    <w:p w14:paraId="00CBC304" w14:textId="77777777" w:rsidR="00A051FB" w:rsidRDefault="00A051FB"/>
    <w:sectPr w:rsidR="00A051FB">
      <w:footerReference w:type="default" r:id="rId7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57F79" w14:textId="77777777" w:rsidR="00A13CCD" w:rsidRDefault="00A13CCD">
      <w:r>
        <w:separator/>
      </w:r>
    </w:p>
  </w:endnote>
  <w:endnote w:type="continuationSeparator" w:id="0">
    <w:p w14:paraId="1E20D4A6" w14:textId="77777777" w:rsidR="00A13CCD" w:rsidRDefault="00A1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41F93" w14:textId="77777777" w:rsidR="00A051FB" w:rsidRDefault="00A13CC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443D8F" wp14:editId="60FA9C6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4EBBDE" w14:textId="77777777" w:rsidR="00A051FB" w:rsidRDefault="00A13CCD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443D8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14:paraId="094EBBDE" w14:textId="77777777" w:rsidR="00A051FB" w:rsidRDefault="00A13CCD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2A63B" w14:textId="77777777" w:rsidR="00A13CCD" w:rsidRDefault="00A13CCD">
      <w:r>
        <w:separator/>
      </w:r>
    </w:p>
  </w:footnote>
  <w:footnote w:type="continuationSeparator" w:id="0">
    <w:p w14:paraId="02DB4D52" w14:textId="77777777" w:rsidR="00A13CCD" w:rsidRDefault="00A13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267E4B"/>
    <w:rsid w:val="003E5E0D"/>
    <w:rsid w:val="00A051FB"/>
    <w:rsid w:val="00A13CCD"/>
    <w:rsid w:val="00B60583"/>
    <w:rsid w:val="00EA4763"/>
    <w:rsid w:val="0D6A1072"/>
    <w:rsid w:val="129A7B6C"/>
    <w:rsid w:val="18E63DD0"/>
    <w:rsid w:val="2E9D35C3"/>
    <w:rsid w:val="35111140"/>
    <w:rsid w:val="53FA23CC"/>
    <w:rsid w:val="7442561D"/>
    <w:rsid w:val="7CD72AA1"/>
    <w:rsid w:val="7E00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3AAEF"/>
  <w15:docId w15:val="{C905832F-ED7D-4F57-B589-8CAE3C21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Times New Roman" w:cs="Times New Roman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character" w:customStyle="1" w:styleId="a8">
    <w:name w:val="页眉 字符"/>
    <w:basedOn w:val="a0"/>
    <w:link w:val="a7"/>
    <w:rPr>
      <w:rFonts w:ascii="宋体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rPr>
      <w:rFonts w:ascii="宋体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315</Words>
  <Characters>345</Characters>
  <Application>Microsoft Office Word</Application>
  <DocSecurity>0</DocSecurity>
  <Lines>49</Lines>
  <Paragraphs>19</Paragraphs>
  <ScaleCrop>false</ScaleCrop>
  <Company>Kingsoft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孙晓琪</cp:lastModifiedBy>
  <cp:revision>5</cp:revision>
  <dcterms:created xsi:type="dcterms:W3CDTF">2014-10-29T12:08:00Z</dcterms:created>
  <dcterms:modified xsi:type="dcterms:W3CDTF">2020-09-18T03:42:00Z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