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住院医疗费用保险</w:t>
      </w:r>
      <w:r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  <w:t>P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款费率表（互联网专属）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1、保险金额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（1）基本责任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一般医疗保险金：300万元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重大疾病医疗保险金：在一般医疗保险金基础上叠加300万元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质子重离子医疗保险金：与一般医疗保险金及重大疾病医疗保险金共享保险金额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重大疾病异地就医交通费用保险</w:t>
      </w:r>
      <w:r>
        <w:rPr>
          <w:rFonts w:hint="eastAsia" w:ascii="宋体" w:hAnsi="宋体" w:eastAsia="宋体" w:cs="宋体"/>
          <w:szCs w:val="21"/>
        </w:rPr>
        <w:t>金：0.5</w:t>
      </w:r>
      <w:r>
        <w:rPr>
          <w:rFonts w:hint="eastAsia" w:ascii="宋体" w:hAnsi="宋体" w:eastAsia="宋体" w:cs="宋体"/>
          <w:szCs w:val="21"/>
          <w:lang w:eastAsia="zh-Hans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（2）可选责任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院外靶向药费用保险金：30万元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2、免赔额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1万元，因重大疾病导致的医疗费用免赔额为0元。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3、赔付比例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（1）一般医疗及重大疾病医疗保险金：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①若被保险人以参加基本医疗保险或公费医疗身份投保，并以基本医疗保险或公费医疗身份就诊并结算，赔付比例为100%；</w:t>
      </w:r>
    </w:p>
    <w:p>
      <w:pPr>
        <w:snapToGrid w:val="0"/>
        <w:spacing w:line="360" w:lineRule="auto"/>
        <w:ind w:firstLine="440"/>
        <w:rPr>
          <w:rFonts w:ascii="宋体" w:hAnsi="宋体" w:eastAsia="宋体" w:cs="宋体"/>
          <w:b/>
          <w:color w:val="FF0000"/>
          <w:szCs w:val="21"/>
        </w:rPr>
      </w:pPr>
      <w:r>
        <w:rPr>
          <w:rFonts w:hint="eastAsia" w:ascii="宋体" w:hAnsi="宋体" w:eastAsia="宋体" w:cs="宋体"/>
          <w:szCs w:val="21"/>
        </w:rPr>
        <w:t>②若被保险人以参加基本医疗保险或公费医疗身份投保，但未以基本医疗保险或公费医疗身份就诊并结算，赔付比例为60%；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若被保险人因本保险合同约定的重大疾病（无论一种或者多种）在异地（中国大陆地区的省外或直辖市外）就医无法使用参保地的基本医疗保险结算，且被保险人已向参保地的医保经办机构申请报销，但参保地医保经办机构无法给予基本医疗保险报销时，赔付比例调整为100%；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④若被保险人未以参加基本医疗保险或公费医疗身份投保，赔付比例为100%。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质子重离子医疗保险金：赔付比例为100%。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院外靶向药费用保险金</w:t>
      </w:r>
      <w:r>
        <w:rPr>
          <w:rFonts w:hint="eastAsia" w:ascii="宋体" w:hAnsi="宋体" w:eastAsia="宋体" w:cs="宋体"/>
          <w:szCs w:val="21"/>
        </w:rPr>
        <w:t>：赔付比例为70%。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</w:t>
      </w:r>
      <w:r>
        <w:rPr>
          <w:rFonts w:hint="eastAsia" w:ascii="宋体" w:hAnsi="宋体" w:eastAsia="宋体" w:cs="宋体"/>
          <w:b/>
          <w:szCs w:val="21"/>
        </w:rPr>
        <w:t>（单位：元）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1、基本责任：</w:t>
      </w:r>
    </w:p>
    <w:tbl>
      <w:tblPr>
        <w:tblStyle w:val="8"/>
        <w:tblW w:w="4075" w:type="pct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8"/>
        <w:gridCol w:w="2225"/>
        <w:gridCol w:w="2552"/>
        <w:tblGridChange w:id="0">
          <w:tblGrid>
            <w:gridCol w:w="2168"/>
            <w:gridCol w:w="2225"/>
            <w:gridCol w:w="2552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561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439" w:type="pct"/>
            <w:gridSpan w:val="2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基本责任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602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有社保</w:t>
            </w:r>
          </w:p>
        </w:tc>
        <w:tc>
          <w:tcPr>
            <w:tcW w:w="1837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0-4周岁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703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1412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5-10周岁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309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596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11-15周岁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112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16-20周岁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124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249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21-25周岁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147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287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26-30周岁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206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417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31-35周岁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259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552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36-40周岁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346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769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41-45周岁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427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1082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46-50周岁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520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1500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51-55周岁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807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2360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56-60周岁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996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3166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61-65周岁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1337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3962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66-70周岁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1721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5158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71-75周岁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3226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9309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76-80周岁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3912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11555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81-85周岁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6094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17703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86-90周岁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7777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21957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91-95周岁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9893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27222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pc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96-100周岁</w:t>
            </w:r>
          </w:p>
        </w:tc>
        <w:tc>
          <w:tcPr>
            <w:tcW w:w="160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12583 </w:t>
            </w:r>
          </w:p>
        </w:tc>
        <w:tc>
          <w:tcPr>
            <w:tcW w:w="18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33858 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ascii="宋体" w:hAnsi="宋体" w:eastAsia="宋体" w:cs="宋体"/>
          <w:szCs w:val="21"/>
        </w:rPr>
        <w:t>0周岁指出生满</w:t>
      </w:r>
      <w:r>
        <w:rPr>
          <w:rFonts w:hint="eastAsia" w:ascii="宋体" w:hAnsi="宋体" w:eastAsia="宋体" w:cs="宋体"/>
          <w:szCs w:val="21"/>
        </w:rPr>
        <w:t>30</w:t>
      </w:r>
      <w:r>
        <w:rPr>
          <w:rFonts w:ascii="宋体" w:hAnsi="宋体" w:eastAsia="宋体" w:cs="宋体"/>
          <w:szCs w:val="21"/>
        </w:rPr>
        <w:t>天且健康出院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ind w:firstLine="420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t>2、</w:t>
      </w:r>
      <w:r>
        <w:rPr>
          <w:rFonts w:hint="eastAsia" w:ascii="宋体" w:hAnsi="宋体" w:eastAsia="宋体" w:cs="宋体"/>
          <w:b/>
          <w:szCs w:val="21"/>
        </w:rPr>
        <w:t>可选责任：</w:t>
      </w:r>
    </w:p>
    <w:tbl>
      <w:tblPr>
        <w:tblStyle w:val="8"/>
        <w:tblW w:w="6360" w:type="dxa"/>
        <w:tblInd w:w="10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042"/>
        <w:gridCol w:w="2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1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04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2203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47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20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8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13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18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23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50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29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72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34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53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155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66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88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261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114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340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212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614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259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762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402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1168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513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1449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653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1797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1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0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830 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2234 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注：0周岁指出生满30天且健康出院。</w:t>
      </w:r>
    </w:p>
    <w:p>
      <w:pPr>
        <w:adjustRightInd w:val="0"/>
        <w:snapToGrid w:val="0"/>
        <w:spacing w:line="360" w:lineRule="auto"/>
        <w:ind w:firstLine="420"/>
      </w:pPr>
    </w:p>
    <w:p>
      <w:pPr>
        <w:spacing w:line="312" w:lineRule="auto"/>
        <w:ind w:firstLine="422" w:firstLineChars="200"/>
        <w:rPr>
          <w:rFonts w:ascii="宋体" w:hAnsi="宋体" w:eastAsia="宋体" w:cs="Arial"/>
          <w:b/>
          <w:bCs/>
          <w:szCs w:val="21"/>
        </w:rPr>
      </w:pPr>
      <w:r>
        <w:rPr>
          <w:rFonts w:ascii="宋体" w:hAnsi="宋体" w:eastAsia="宋体" w:cs="Arial"/>
          <w:b/>
          <w:bCs/>
          <w:szCs w:val="21"/>
        </w:rPr>
        <w:t>三</w:t>
      </w:r>
      <w:r>
        <w:rPr>
          <w:rFonts w:hint="eastAsia" w:ascii="宋体" w:hAnsi="宋体" w:eastAsia="宋体" w:cs="Arial"/>
          <w:b/>
          <w:bCs/>
          <w:szCs w:val="21"/>
        </w:rPr>
        <w:t>、</w:t>
      </w:r>
      <w:r>
        <w:rPr>
          <w:rFonts w:ascii="宋体" w:hAnsi="宋体" w:eastAsia="宋体" w:cs="Arial"/>
          <w:b/>
          <w:bCs/>
          <w:szCs w:val="21"/>
        </w:rPr>
        <w:t>调整系数</w:t>
      </w:r>
    </w:p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Times New Roman"/>
          <w:kern w:val="0"/>
        </w:rPr>
        <w:t>1</w:t>
      </w:r>
      <w:r>
        <w:rPr>
          <w:rFonts w:hint="eastAsia" w:ascii="宋体" w:hAnsi="宋体" w:eastAsia="宋体" w:cs="Times New Roman"/>
          <w:kern w:val="0"/>
        </w:rPr>
        <w:t>、规模调整系数：按渠道年度投保人数规模，进行划分。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N&gt;</w:t>
            </w:r>
            <w:r>
              <w:rPr>
                <w:rFonts w:ascii="宋体" w:hAnsi="宋体" w:eastAsia="宋体" w:cs="Times New Roman"/>
                <w:kern w:val="0"/>
              </w:rPr>
              <w:t>200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100</w:t>
            </w:r>
            <w:r>
              <w:rPr>
                <w:rFonts w:hint="eastAsia" w:ascii="宋体" w:hAnsi="宋体" w:eastAsia="宋体" w:cs="Times New Roman"/>
                <w:kern w:val="0"/>
              </w:rPr>
              <w:t>00&lt;N≤</w:t>
            </w:r>
            <w:r>
              <w:rPr>
                <w:rFonts w:ascii="宋体" w:hAnsi="宋体" w:eastAsia="宋体" w:cs="Times New Roman"/>
                <w:kern w:val="0"/>
              </w:rPr>
              <w:t>200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50</w:t>
            </w:r>
            <w:r>
              <w:rPr>
                <w:rFonts w:hint="eastAsia" w:ascii="宋体" w:hAnsi="宋体" w:eastAsia="宋体" w:cs="Times New Roman"/>
                <w:kern w:val="0"/>
              </w:rPr>
              <w:t>00&lt;N≤</w:t>
            </w:r>
            <w:r>
              <w:rPr>
                <w:rFonts w:ascii="宋体" w:hAnsi="宋体" w:eastAsia="宋体" w:cs="Times New Roman"/>
                <w:kern w:val="0"/>
              </w:rPr>
              <w:t>100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N≤</w:t>
            </w:r>
            <w:r>
              <w:rPr>
                <w:rFonts w:ascii="宋体" w:hAnsi="宋体" w:eastAsia="宋体" w:cs="Times New Roman"/>
                <w:kern w:val="0"/>
              </w:rPr>
              <w:t>50</w:t>
            </w:r>
            <w:r>
              <w:rPr>
                <w:rFonts w:hint="eastAsia" w:ascii="宋体" w:hAnsi="宋体" w:eastAsia="宋体" w:cs="Times New Roman"/>
                <w:kern w:val="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</w:p>
    <w:p>
      <w:pPr>
        <w:spacing w:line="312" w:lineRule="auto"/>
        <w:ind w:firstLine="42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Times New Roman"/>
          <w:kern w:val="0"/>
        </w:rPr>
        <w:t>2</w:t>
      </w:r>
      <w:r>
        <w:rPr>
          <w:rFonts w:hint="eastAsia" w:ascii="宋体" w:hAnsi="宋体" w:eastAsia="宋体" w:cs="Times New Roman"/>
          <w:kern w:val="0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[</w:t>
            </w:r>
            <w:r>
              <w:rPr>
                <w:rFonts w:hint="eastAsia" w:ascii="宋体" w:hAnsi="宋体" w:eastAsia="宋体" w:cs="Times New Roman"/>
                <w:kern w:val="0"/>
              </w:rPr>
              <w:t>0.5,0.7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0.7,0.9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0.9,1.1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ascii="宋体" w:hAnsi="宋体" w:eastAsia="宋体" w:cs="Times New Roman"/>
                <w:kern w:val="0"/>
              </w:rPr>
              <w:t>(</w:t>
            </w:r>
            <w:r>
              <w:rPr>
                <w:rFonts w:hint="eastAsia" w:ascii="宋体" w:hAnsi="宋体" w:eastAsia="宋体" w:cs="Times New Roman"/>
                <w:kern w:val="0"/>
              </w:rPr>
              <w:t>1.1,1.5</w:t>
            </w:r>
            <w:r>
              <w:rPr>
                <w:rFonts w:ascii="宋体" w:hAnsi="宋体" w:eastAsia="宋体" w:cs="Times New Roman"/>
                <w:kern w:val="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1.0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Arial"/>
          <w:bCs/>
          <w:color w:val="000000"/>
          <w:szCs w:val="21"/>
        </w:rPr>
      </w:pPr>
    </w:p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Arial"/>
          <w:bCs/>
          <w:color w:val="000000"/>
          <w:szCs w:val="21"/>
          <w:lang w:bidi="ar"/>
        </w:rPr>
      </w:pPr>
      <w:r>
        <w:rPr>
          <w:rFonts w:ascii="宋体" w:hAnsi="宋体" w:eastAsia="宋体" w:cs="Arial"/>
          <w:bCs/>
          <w:color w:val="000000"/>
          <w:szCs w:val="21"/>
        </w:rPr>
        <w:t>3</w:t>
      </w:r>
      <w:r>
        <w:rPr>
          <w:rFonts w:hint="eastAsia" w:ascii="宋体" w:hAnsi="宋体" w:eastAsia="宋体" w:cs="Arial"/>
          <w:bCs/>
          <w:color w:val="000000"/>
          <w:szCs w:val="21"/>
        </w:rPr>
        <w:t>、缴费方式调整系数：按保单约定的缴费方式，进行划分。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[0.95,1.0]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Arial"/>
          <w:bCs/>
          <w:szCs w:val="21"/>
        </w:rPr>
      </w:pPr>
    </w:p>
    <w:p>
      <w:pPr>
        <w:spacing w:line="312" w:lineRule="auto"/>
        <w:ind w:firstLine="422" w:firstLineChars="200"/>
        <w:rPr>
          <w:rFonts w:ascii="宋体" w:hAnsi="宋体" w:eastAsia="宋体" w:cs="Arial"/>
          <w:b/>
          <w:bCs/>
          <w:szCs w:val="21"/>
        </w:rPr>
      </w:pPr>
      <w:r>
        <w:rPr>
          <w:rFonts w:ascii="宋体" w:hAnsi="宋体" w:eastAsia="宋体" w:cs="Arial"/>
          <w:b/>
          <w:bCs/>
          <w:szCs w:val="21"/>
        </w:rPr>
        <w:t>四</w:t>
      </w:r>
      <w:r>
        <w:rPr>
          <w:rFonts w:hint="eastAsia" w:ascii="宋体" w:hAnsi="宋体" w:eastAsia="宋体" w:cs="Arial"/>
          <w:b/>
          <w:bCs/>
          <w:szCs w:val="21"/>
        </w:rPr>
        <w:t>、</w:t>
      </w:r>
      <w:r>
        <w:rPr>
          <w:rFonts w:ascii="宋体" w:hAnsi="宋体" w:eastAsia="宋体" w:cs="Arial"/>
          <w:b/>
          <w:bCs/>
          <w:szCs w:val="21"/>
        </w:rPr>
        <w:t>保险费计算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Times New Roman"/>
          <w:kern w:val="0"/>
        </w:rPr>
        <w:t>1</w:t>
      </w:r>
      <w:r>
        <w:rPr>
          <w:rFonts w:hint="eastAsia" w:ascii="宋体" w:hAnsi="宋体" w:eastAsia="宋体" w:cs="Times New Roman"/>
          <w:kern w:val="0"/>
        </w:rPr>
        <w:t>、投保人选择一次性缴清保险费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基本责任年保险费</w:t>
      </w:r>
      <w:r>
        <w:rPr>
          <w:rFonts w:ascii="宋体" w:hAnsi="宋体" w:eastAsia="宋体" w:cs="Times New Roman"/>
          <w:kern w:val="0"/>
        </w:rPr>
        <w:t>=基本责任年基准保险费×规模调整系数×历史赔付率调整系数×缴费方式调整系数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可选责任年保险费</w:t>
      </w:r>
      <w:r>
        <w:rPr>
          <w:rFonts w:ascii="宋体" w:hAnsi="宋体" w:eastAsia="宋体" w:cs="Times New Roman"/>
          <w:kern w:val="0"/>
        </w:rPr>
        <w:t>=可选责任年基准保险费×规模调整系数×历史赔付率调整系数×缴费方式调整系数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Arial"/>
          <w:szCs w:val="21"/>
        </w:rPr>
      </w:pPr>
      <w:r>
        <w:rPr>
          <w:rFonts w:hint="eastAsia" w:ascii="宋体" w:hAnsi="宋体" w:eastAsia="宋体" w:cs="Times New Roman"/>
          <w:kern w:val="0"/>
        </w:rPr>
        <w:t>总年保险费</w:t>
      </w:r>
      <w:r>
        <w:rPr>
          <w:rFonts w:ascii="宋体" w:hAnsi="宋体" w:eastAsia="宋体" w:cs="Times New Roman"/>
          <w:kern w:val="0"/>
        </w:rPr>
        <w:t>=基本责任年保险费+可选责任年保险费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2、投保人选择分期缴付保险费，保险人根据保险费分期缴费期数，计收每期保险费：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基本责任年保险费</w:t>
      </w:r>
      <w:r>
        <w:rPr>
          <w:rFonts w:ascii="宋体" w:hAnsi="宋体" w:eastAsia="宋体" w:cs="Times New Roman"/>
          <w:kern w:val="0"/>
        </w:rPr>
        <w:t>=基本责任年基准保险费×规模调整系数×历史赔付率调整系数×缴费方式调整系数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可选责任年保险费</w:t>
      </w:r>
      <w:r>
        <w:rPr>
          <w:rFonts w:ascii="宋体" w:hAnsi="宋体" w:eastAsia="宋体" w:cs="Times New Roman"/>
          <w:kern w:val="0"/>
        </w:rPr>
        <w:t>=可选责任年基准保险费×规模调整系数×历史赔付率调整系数×缴费方式调整系数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总年保险费</w:t>
      </w:r>
      <w:r>
        <w:rPr>
          <w:rFonts w:ascii="宋体" w:hAnsi="宋体" w:eastAsia="宋体" w:cs="Times New Roman"/>
          <w:kern w:val="0"/>
        </w:rPr>
        <w:t>=基本责任年保险费+可选责任年保险费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每期保险费（按四舍五入计算）</w:t>
      </w:r>
      <w:r>
        <w:rPr>
          <w:rFonts w:ascii="宋体" w:hAnsi="宋体" w:eastAsia="宋体" w:cs="Times New Roman"/>
          <w:kern w:val="0"/>
        </w:rPr>
        <w:t>=总年保险费÷分期缴费期数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Arial"/>
          <w:szCs w:val="21"/>
        </w:rPr>
      </w:pPr>
      <w:r>
        <w:rPr>
          <w:rFonts w:hint="eastAsia" w:ascii="宋体" w:hAnsi="宋体" w:eastAsia="宋体" w:cs="Arial"/>
          <w:szCs w:val="21"/>
        </w:rPr>
        <w:t>注：本产品涉及分期缴费，每期缴费金额一致。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Arial"/>
          <w:szCs w:val="21"/>
        </w:rPr>
      </w:pPr>
    </w:p>
    <w:p>
      <w:pPr>
        <w:snapToGrid w:val="0"/>
        <w:spacing w:line="288" w:lineRule="auto"/>
        <w:ind w:firstLine="422" w:firstLineChars="200"/>
        <w:rPr>
          <w:rFonts w:ascii="宋体" w:hAnsi="宋体" w:eastAsia="宋体" w:cs="Times New Roman"/>
          <w:b/>
          <w:kern w:val="0"/>
        </w:rPr>
      </w:pPr>
      <w:r>
        <w:rPr>
          <w:rFonts w:hint="eastAsia" w:ascii="宋体" w:hAnsi="宋体" w:eastAsia="宋体" w:cs="Times New Roman"/>
          <w:b/>
          <w:kern w:val="0"/>
        </w:rPr>
        <w:t>五、短期费率表</w:t>
      </w:r>
    </w:p>
    <w:p>
      <w:pPr>
        <w:snapToGrid w:val="0"/>
        <w:spacing w:line="288" w:lineRule="auto"/>
        <w:ind w:firstLine="482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ind w:firstLine="42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3D00DC"/>
    <w:multiLevelType w:val="singleLevel"/>
    <w:tmpl w:val="143D00D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BE"/>
    <w:rsid w:val="00036B36"/>
    <w:rsid w:val="00067978"/>
    <w:rsid w:val="000A1E7C"/>
    <w:rsid w:val="000E23FB"/>
    <w:rsid w:val="000F6296"/>
    <w:rsid w:val="001916C4"/>
    <w:rsid w:val="001B247A"/>
    <w:rsid w:val="001B5EBE"/>
    <w:rsid w:val="001F113A"/>
    <w:rsid w:val="00214BF5"/>
    <w:rsid w:val="0025119D"/>
    <w:rsid w:val="00312204"/>
    <w:rsid w:val="003156AE"/>
    <w:rsid w:val="003161C0"/>
    <w:rsid w:val="0031785E"/>
    <w:rsid w:val="00331B57"/>
    <w:rsid w:val="00345D9A"/>
    <w:rsid w:val="00401115"/>
    <w:rsid w:val="00454944"/>
    <w:rsid w:val="0049422D"/>
    <w:rsid w:val="004B0C73"/>
    <w:rsid w:val="00586F39"/>
    <w:rsid w:val="005A3F88"/>
    <w:rsid w:val="005A5A3B"/>
    <w:rsid w:val="005D4DA8"/>
    <w:rsid w:val="005E62B5"/>
    <w:rsid w:val="00626D20"/>
    <w:rsid w:val="00653535"/>
    <w:rsid w:val="0067728A"/>
    <w:rsid w:val="00744F3C"/>
    <w:rsid w:val="007929EF"/>
    <w:rsid w:val="007B05B5"/>
    <w:rsid w:val="007B5EB5"/>
    <w:rsid w:val="008762E0"/>
    <w:rsid w:val="00890002"/>
    <w:rsid w:val="008E2C3D"/>
    <w:rsid w:val="00960831"/>
    <w:rsid w:val="00970626"/>
    <w:rsid w:val="0099441D"/>
    <w:rsid w:val="009B2594"/>
    <w:rsid w:val="00A34B72"/>
    <w:rsid w:val="00A805B1"/>
    <w:rsid w:val="00AD312C"/>
    <w:rsid w:val="00B80580"/>
    <w:rsid w:val="00B81B91"/>
    <w:rsid w:val="00BB0C7E"/>
    <w:rsid w:val="00C955A5"/>
    <w:rsid w:val="00CB0C5C"/>
    <w:rsid w:val="00CB6A12"/>
    <w:rsid w:val="00D134A8"/>
    <w:rsid w:val="00D433E6"/>
    <w:rsid w:val="00DC530A"/>
    <w:rsid w:val="00DD4F70"/>
    <w:rsid w:val="00E0495F"/>
    <w:rsid w:val="00E70AA2"/>
    <w:rsid w:val="00E9142A"/>
    <w:rsid w:val="00E95780"/>
    <w:rsid w:val="00ED7A77"/>
    <w:rsid w:val="00FB3092"/>
    <w:rsid w:val="00FB5B0F"/>
    <w:rsid w:val="00FC11CB"/>
    <w:rsid w:val="0B8C4600"/>
    <w:rsid w:val="0BD83AB9"/>
    <w:rsid w:val="0D3E5E25"/>
    <w:rsid w:val="19F13CB5"/>
    <w:rsid w:val="1A2A760D"/>
    <w:rsid w:val="23540439"/>
    <w:rsid w:val="31AF5519"/>
    <w:rsid w:val="31DA5E20"/>
    <w:rsid w:val="32CD27CF"/>
    <w:rsid w:val="350F5838"/>
    <w:rsid w:val="385805A2"/>
    <w:rsid w:val="3C583032"/>
    <w:rsid w:val="3D767D44"/>
    <w:rsid w:val="3DD305AA"/>
    <w:rsid w:val="3DF71B0D"/>
    <w:rsid w:val="40DB3913"/>
    <w:rsid w:val="42F2770A"/>
    <w:rsid w:val="4DBD17F2"/>
    <w:rsid w:val="4F81701C"/>
    <w:rsid w:val="501079C6"/>
    <w:rsid w:val="50147BF7"/>
    <w:rsid w:val="5AA1420B"/>
    <w:rsid w:val="5B6F2DB1"/>
    <w:rsid w:val="5C327970"/>
    <w:rsid w:val="5F685328"/>
    <w:rsid w:val="5FEA94CC"/>
    <w:rsid w:val="6ACC1485"/>
    <w:rsid w:val="75AD03B6"/>
    <w:rsid w:val="7C703F19"/>
    <w:rsid w:val="7D38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semiHidden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Char"/>
    <w:basedOn w:val="15"/>
    <w:link w:val="6"/>
    <w:semiHidden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2362</Characters>
  <Lines>19</Lines>
  <Paragraphs>5</Paragraphs>
  <TotalTime>11</TotalTime>
  <ScaleCrop>false</ScaleCrop>
  <LinksUpToDate>false</LinksUpToDate>
  <CharactersWithSpaces>2771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2020-02-15T15:24:00Z</dcterms:created>
  <dc:creator>林男 曹</dc:creator>
  <cp:lastModifiedBy>Zixuan Shen</cp:lastModifiedBy>
  <dcterms:modified xsi:type="dcterms:W3CDTF">2022-03-11T09:25:12Z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9FFC027041204A83AC259DD9E2E7FCE7</vt:lpwstr>
  </property>
</Properties>
</file>