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bookmarkStart w:id="1" w:name="_GoBack"/>
      <w:bookmarkEnd w:id="1"/>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附加乳腺恶性肿瘤复发特种药品费用医疗保险B款费率表（互联网专属）</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一、基准赔付标准</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（一）乳腺癌恶性肿瘤特种药品费用保险金</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1、保险金额：20万元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3、赔付比例：</w:t>
      </w:r>
    </w:p>
    <w:p>
      <w:pPr>
        <w:widowControl/>
        <w:adjustRightInd w:val="0"/>
        <w:snapToGrid w:val="0"/>
        <w:spacing w:line="360" w:lineRule="auto"/>
        <w:ind w:firstLine="420" w:firstLineChars="200"/>
        <w:jc w:val="left"/>
        <w:rPr>
          <w:rFonts w:ascii="宋体" w:hAnsi="宋体" w:eastAsia="宋体" w:cs="宋体"/>
          <w:szCs w:val="21"/>
        </w:rPr>
      </w:pPr>
      <w:bookmarkStart w:id="0" w:name="_Hlk31888858"/>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）保险人以参加基本医疗保险或公费医疗身份投保，并以基本医疗保险或公费医疗身份就诊并结算，赔付比例为100%。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（2）若被保险人以参加基本医疗保险或公费医疗身份投保，但未以基本医疗保险或公费 医疗身份就诊并结算，赔付比例为60%。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（3）若被保险人未以参加基本医疗保险或公费医疗身份投保，赔付比例为100%。</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（二）乳腺癌恶性肿瘤特许进口药品费用保险金</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1、</w:t>
      </w:r>
      <w:r>
        <w:rPr>
          <w:rFonts w:ascii="宋体" w:hAnsi="宋体" w:eastAsia="宋体" w:cs="宋体"/>
          <w:bCs/>
          <w:szCs w:val="21"/>
        </w:rPr>
        <w:t>保险金额：20万元</w:t>
      </w:r>
    </w:p>
    <w:p>
      <w:pPr>
        <w:adjustRightInd w:val="0"/>
        <w:snapToGrid w:val="0"/>
        <w:spacing w:line="360" w:lineRule="auto"/>
        <w:ind w:firstLine="420" w:firstLineChars="200"/>
        <w:rPr>
          <w:rFonts w:ascii="宋体" w:hAnsi="宋体" w:eastAsia="宋体" w:cs="宋体"/>
          <w:bCs/>
          <w:szCs w:val="21"/>
        </w:rPr>
      </w:pPr>
      <w:r>
        <w:rPr>
          <w:rFonts w:ascii="宋体" w:hAnsi="宋体" w:eastAsia="宋体" w:cs="宋体"/>
          <w:bCs/>
          <w:szCs w:val="21"/>
        </w:rPr>
        <w:t>2、免赔额：0元</w:t>
      </w:r>
    </w:p>
    <w:p>
      <w:pPr>
        <w:adjustRightInd w:val="0"/>
        <w:snapToGrid w:val="0"/>
        <w:spacing w:line="360" w:lineRule="auto"/>
        <w:ind w:firstLine="420" w:firstLineChars="200"/>
        <w:rPr>
          <w:rFonts w:ascii="宋体" w:hAnsi="宋体" w:eastAsia="宋体" w:cs="宋体"/>
          <w:bCs/>
          <w:szCs w:val="21"/>
        </w:rPr>
      </w:pPr>
      <w:r>
        <w:rPr>
          <w:rFonts w:ascii="宋体" w:hAnsi="宋体" w:eastAsia="宋体" w:cs="宋体"/>
          <w:bCs/>
          <w:szCs w:val="21"/>
        </w:rPr>
        <w:t>3、赔付比例：</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1）保险人以参加基本医疗保险或公费医疗身份投保，并以基本医疗保险或公费医疗身份就诊并结算，赔付比例为100%。</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2）若被保险人以参加基本医疗保险或公费医疗身份投保，但未以基本医疗保险或公费 医疗身份就诊并结算，赔付比例为60%。</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3）若被保险人未以参加基本医疗保险或公费医疗身份投保，赔付比例为100%。</w:t>
      </w:r>
    </w:p>
    <w:bookmarkEnd w:id="0"/>
    <w:p>
      <w:pPr>
        <w:widowControl/>
        <w:adjustRightInd w:val="0"/>
        <w:snapToGrid w:val="0"/>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二、基准年保险费（单位：元） </w:t>
      </w:r>
      <w:r>
        <w:rPr>
          <w:rFonts w:hint="eastAsia" w:ascii="宋体" w:hAnsi="宋体" w:eastAsia="宋体" w:cs="宋体"/>
          <w:szCs w:val="21"/>
        </w:rPr>
        <w:t xml:space="preserve">   </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（一）乳腺癌恶性肿瘤特种药品费用保险金</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1、对于已接受乳腺恶性肿瘤手术治疗，但未接受乳腺恶性肿瘤新辅助治疗人群：</w:t>
      </w:r>
    </w:p>
    <w:tbl>
      <w:tblPr>
        <w:tblStyle w:val="7"/>
        <w:tblW w:w="7961" w:type="dxa"/>
        <w:tblInd w:w="113" w:type="dxa"/>
        <w:tblLayout w:type="autofit"/>
        <w:tblCellMar>
          <w:top w:w="0" w:type="dxa"/>
          <w:left w:w="108" w:type="dxa"/>
          <w:bottom w:w="0" w:type="dxa"/>
          <w:right w:w="108" w:type="dxa"/>
        </w:tblCellMar>
      </w:tblPr>
      <w:tblGrid>
        <w:gridCol w:w="1242"/>
        <w:gridCol w:w="880"/>
        <w:gridCol w:w="708"/>
        <w:gridCol w:w="851"/>
        <w:gridCol w:w="926"/>
        <w:gridCol w:w="917"/>
        <w:gridCol w:w="850"/>
        <w:gridCol w:w="844"/>
        <w:gridCol w:w="743"/>
      </w:tblGrid>
      <w:tr>
        <w:tblPrEx>
          <w:tblCellMar>
            <w:top w:w="0" w:type="dxa"/>
            <w:left w:w="108" w:type="dxa"/>
            <w:bottom w:w="0" w:type="dxa"/>
            <w:right w:w="108" w:type="dxa"/>
          </w:tblCellMar>
        </w:tblPrEx>
        <w:trPr>
          <w:trHeight w:val="280" w:hRule="atLeast"/>
        </w:trPr>
        <w:tc>
          <w:tcPr>
            <w:tcW w:w="12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6719"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基准年保险费</w:t>
            </w:r>
          </w:p>
        </w:tc>
      </w:tr>
      <w:tr>
        <w:tblPrEx>
          <w:tblCellMar>
            <w:top w:w="0" w:type="dxa"/>
            <w:left w:w="108" w:type="dxa"/>
            <w:bottom w:w="0" w:type="dxa"/>
            <w:right w:w="108" w:type="dxa"/>
          </w:tblCellMar>
        </w:tblPrEx>
        <w:trPr>
          <w:trHeight w:val="28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336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有社保</w:t>
            </w:r>
          </w:p>
        </w:tc>
        <w:tc>
          <w:tcPr>
            <w:tcW w:w="335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无社保</w:t>
            </w:r>
          </w:p>
        </w:tc>
      </w:tr>
      <w:tr>
        <w:tblPrEx>
          <w:tblCellMar>
            <w:top w:w="0" w:type="dxa"/>
            <w:left w:w="108" w:type="dxa"/>
            <w:bottom w:w="0" w:type="dxa"/>
            <w:right w:w="108" w:type="dxa"/>
          </w:tblCellMar>
        </w:tblPrEx>
        <w:trPr>
          <w:trHeight w:val="28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9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c>
          <w:tcPr>
            <w:tcW w:w="9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8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r>
      <w:tr>
        <w:tblPrEx>
          <w:tblCellMar>
            <w:top w:w="0" w:type="dxa"/>
            <w:left w:w="108" w:type="dxa"/>
            <w:bottom w:w="0" w:type="dxa"/>
            <w:right w:w="108" w:type="dxa"/>
          </w:tblCellMar>
        </w:tblPrEx>
        <w:trPr>
          <w:trHeight w:val="560" w:hRule="atLeast"/>
        </w:trPr>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A</w:t>
            </w:r>
            <w:r>
              <w:rPr>
                <w:rFonts w:hint="eastAsia" w:ascii="等线" w:hAnsi="等线" w:eastAsia="等线" w:cs="宋体"/>
                <w:color w:val="000000"/>
                <w:kern w:val="0"/>
                <w:szCs w:val="21"/>
              </w:rPr>
              <w:t>）</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619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1642</w:t>
            </w:r>
          </w:p>
        </w:tc>
        <w:tc>
          <w:tcPr>
            <w:tcW w:w="9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2395</w:t>
            </w:r>
          </w:p>
        </w:tc>
        <w:tc>
          <w:tcPr>
            <w:tcW w:w="9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1355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1701</w:t>
            </w:r>
          </w:p>
        </w:tc>
        <w:tc>
          <w:tcPr>
            <w:tcW w:w="8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4512</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6585</w:t>
            </w:r>
          </w:p>
        </w:tc>
      </w:tr>
      <w:tr>
        <w:tblPrEx>
          <w:tblCellMar>
            <w:top w:w="0" w:type="dxa"/>
            <w:left w:w="108" w:type="dxa"/>
            <w:bottom w:w="0" w:type="dxa"/>
            <w:right w:w="108" w:type="dxa"/>
          </w:tblCellMar>
        </w:tblPrEx>
        <w:trPr>
          <w:trHeight w:val="560" w:hRule="atLeast"/>
        </w:trPr>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B</w:t>
            </w:r>
            <w:r>
              <w:rPr>
                <w:rFonts w:hint="eastAsia" w:ascii="等线" w:hAnsi="等线" w:eastAsia="等线" w:cs="宋体"/>
                <w:color w:val="000000"/>
                <w:kern w:val="0"/>
                <w:szCs w:val="21"/>
              </w:rPr>
              <w:t>）</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889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2376</w:t>
            </w:r>
          </w:p>
        </w:tc>
        <w:tc>
          <w:tcPr>
            <w:tcW w:w="9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3939</w:t>
            </w:r>
          </w:p>
        </w:tc>
        <w:tc>
          <w:tcPr>
            <w:tcW w:w="9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1355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2446</w:t>
            </w:r>
          </w:p>
        </w:tc>
        <w:tc>
          <w:tcPr>
            <w:tcW w:w="8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6527</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9532</w:t>
            </w:r>
          </w:p>
        </w:tc>
      </w:tr>
      <w:tr>
        <w:tblPrEx>
          <w:tblCellMar>
            <w:top w:w="0" w:type="dxa"/>
            <w:left w:w="108" w:type="dxa"/>
            <w:bottom w:w="0" w:type="dxa"/>
            <w:right w:w="108" w:type="dxa"/>
          </w:tblCellMar>
        </w:tblPrEx>
        <w:trPr>
          <w:trHeight w:val="280" w:hRule="atLeast"/>
        </w:trPr>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1067</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2851</w:t>
            </w:r>
          </w:p>
        </w:tc>
        <w:tc>
          <w:tcPr>
            <w:tcW w:w="9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4158</w:t>
            </w:r>
          </w:p>
        </w:tc>
        <w:tc>
          <w:tcPr>
            <w:tcW w:w="9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1355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2935</w:t>
            </w:r>
          </w:p>
        </w:tc>
        <w:tc>
          <w:tcPr>
            <w:tcW w:w="8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7832</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11435</w:t>
            </w:r>
          </w:p>
        </w:tc>
      </w:tr>
      <w:tr>
        <w:tblPrEx>
          <w:tblCellMar>
            <w:top w:w="0" w:type="dxa"/>
            <w:left w:w="108" w:type="dxa"/>
            <w:bottom w:w="0" w:type="dxa"/>
            <w:right w:w="108" w:type="dxa"/>
          </w:tblCellMar>
        </w:tblPrEx>
        <w:trPr>
          <w:trHeight w:val="280" w:hRule="atLeast"/>
        </w:trPr>
        <w:tc>
          <w:tcPr>
            <w:tcW w:w="12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1741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3133</w:t>
            </w:r>
          </w:p>
        </w:tc>
        <w:tc>
          <w:tcPr>
            <w:tcW w:w="9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4569</w:t>
            </w:r>
          </w:p>
        </w:tc>
        <w:tc>
          <w:tcPr>
            <w:tcW w:w="9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1355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4789</w:t>
            </w:r>
          </w:p>
        </w:tc>
        <w:tc>
          <w:tcPr>
            <w:tcW w:w="8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8607</w:t>
            </w: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12566</w:t>
            </w:r>
          </w:p>
        </w:tc>
      </w:tr>
    </w:tbl>
    <w:p>
      <w:pPr>
        <w:widowControl/>
        <w:adjustRightInd w:val="0"/>
        <w:snapToGrid w:val="0"/>
        <w:spacing w:line="360" w:lineRule="auto"/>
        <w:ind w:firstLine="420" w:firstLineChars="200"/>
        <w:jc w:val="left"/>
        <w:rPr>
          <w:rFonts w:ascii="宋体" w:hAnsi="宋体" w:eastAsia="宋体" w:cs="宋体"/>
          <w:szCs w:val="21"/>
        </w:rPr>
      </w:pP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2、对于已经接受乳腺恶性肿瘤手术治疗及乳腺恶性肿瘤新辅助治疗人群：</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963"/>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Merge w:val="restart"/>
            <w:vAlign w:val="center"/>
          </w:tcPr>
          <w:p>
            <w:pPr>
              <w:jc w:val="center"/>
              <w:rPr>
                <w:rFonts w:ascii="宋体" w:hAnsi="宋体" w:eastAsia="宋体" w:cs="宋体"/>
                <w:b/>
                <w:bCs/>
                <w:szCs w:val="21"/>
              </w:rPr>
            </w:pPr>
            <w:r>
              <w:rPr>
                <w:rFonts w:hint="eastAsia" w:ascii="宋体" w:hAnsi="宋体" w:eastAsia="宋体" w:cs="宋体"/>
                <w:b/>
                <w:bCs/>
              </w:rPr>
              <w:t>分型/分期</w:t>
            </w:r>
          </w:p>
        </w:tc>
        <w:tc>
          <w:tcPr>
            <w:tcW w:w="7051" w:type="dxa"/>
            <w:gridSpan w:val="6"/>
            <w:vAlign w:val="center"/>
          </w:tcPr>
          <w:p>
            <w:pPr>
              <w:widowControl/>
              <w:adjustRightInd w:val="0"/>
              <w:snapToGrid w:val="0"/>
              <w:jc w:val="center"/>
              <w:rPr>
                <w:rFonts w:ascii="宋体" w:hAnsi="宋体" w:eastAsia="宋体" w:cs="宋体"/>
                <w:b/>
                <w:bCs/>
                <w:szCs w:val="21"/>
              </w:rPr>
            </w:pPr>
            <w:r>
              <w:rPr>
                <w:rFonts w:hint="eastAsia" w:ascii="宋体" w:hAnsi="宋体" w:eastAsia="宋体" w:cs="宋体"/>
                <w:b/>
                <w:bCs/>
                <w:szCs w:val="21"/>
              </w:rPr>
              <w:t>基准年保险费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Merge w:val="continue"/>
            <w:vAlign w:val="center"/>
          </w:tcPr>
          <w:p>
            <w:pPr>
              <w:jc w:val="center"/>
              <w:rPr>
                <w:rFonts w:ascii="宋体" w:hAnsi="宋体" w:eastAsia="宋体" w:cs="宋体"/>
                <w:b/>
                <w:bCs/>
              </w:rPr>
            </w:pPr>
          </w:p>
        </w:tc>
        <w:tc>
          <w:tcPr>
            <w:tcW w:w="3397" w:type="dxa"/>
            <w:gridSpan w:val="3"/>
            <w:vAlign w:val="center"/>
          </w:tcPr>
          <w:p>
            <w:pPr>
              <w:widowControl/>
              <w:adjustRightInd w:val="0"/>
              <w:snapToGrid w:val="0"/>
              <w:jc w:val="center"/>
              <w:rPr>
                <w:rFonts w:ascii="宋体" w:hAnsi="宋体" w:eastAsia="宋体" w:cs="宋体"/>
                <w:b/>
                <w:bCs/>
                <w:szCs w:val="21"/>
              </w:rPr>
            </w:pPr>
            <w:r>
              <w:rPr>
                <w:rFonts w:hint="eastAsia" w:ascii="宋体" w:hAnsi="宋体" w:eastAsia="宋体" w:cs="宋体"/>
                <w:b/>
                <w:bCs/>
                <w:szCs w:val="21"/>
              </w:rPr>
              <w:t>有社保</w:t>
            </w:r>
          </w:p>
        </w:tc>
        <w:tc>
          <w:tcPr>
            <w:tcW w:w="3654" w:type="dxa"/>
            <w:gridSpan w:val="3"/>
            <w:vAlign w:val="center"/>
          </w:tcPr>
          <w:p>
            <w:pPr>
              <w:widowControl/>
              <w:adjustRightInd w:val="0"/>
              <w:snapToGrid w:val="0"/>
              <w:jc w:val="center"/>
              <w:rPr>
                <w:rFonts w:ascii="宋体" w:hAnsi="宋体" w:eastAsia="宋体" w:cs="宋体"/>
                <w:b/>
                <w:bCs/>
                <w:szCs w:val="21"/>
              </w:rPr>
            </w:pPr>
            <w:r>
              <w:rPr>
                <w:rFonts w:hint="eastAsia" w:ascii="宋体" w:hAnsi="宋体" w:eastAsia="宋体" w:cs="宋体"/>
                <w:b/>
                <w:bCs/>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Merge w:val="continue"/>
            <w:vAlign w:val="center"/>
          </w:tcPr>
          <w:p>
            <w:pPr>
              <w:jc w:val="center"/>
              <w:rPr>
                <w:rFonts w:ascii="宋体" w:hAnsi="宋体" w:eastAsia="宋体" w:cs="宋体"/>
                <w:b/>
                <w:bCs/>
              </w:rPr>
            </w:pPr>
          </w:p>
        </w:tc>
        <w:tc>
          <w:tcPr>
            <w:tcW w:w="963" w:type="dxa"/>
            <w:vAlign w:val="center"/>
          </w:tcPr>
          <w:p>
            <w:pPr>
              <w:jc w:val="center"/>
              <w:rPr>
                <w:rFonts w:ascii="宋体" w:hAnsi="宋体" w:eastAsia="宋体" w:cs="宋体"/>
                <w:b/>
                <w:bCs/>
                <w:szCs w:val="21"/>
              </w:rPr>
            </w:pPr>
            <w:r>
              <w:rPr>
                <w:rFonts w:hint="eastAsia" w:ascii="宋体" w:hAnsi="宋体" w:cs="宋体"/>
                <w:b/>
                <w:bCs/>
              </w:rPr>
              <w:t>pCR</w:t>
            </w:r>
          </w:p>
        </w:tc>
        <w:tc>
          <w:tcPr>
            <w:tcW w:w="1217" w:type="dxa"/>
            <w:vAlign w:val="center"/>
          </w:tcPr>
          <w:p>
            <w:pPr>
              <w:jc w:val="center"/>
              <w:rPr>
                <w:rFonts w:ascii="宋体" w:hAnsi="宋体" w:eastAsia="宋体" w:cs="宋体"/>
                <w:b/>
                <w:bCs/>
                <w:szCs w:val="21"/>
              </w:rPr>
            </w:pPr>
            <w:r>
              <w:rPr>
                <w:rFonts w:hint="eastAsia" w:ascii="宋体" w:hAnsi="宋体" w:eastAsia="宋体" w:cs="宋体"/>
                <w:b/>
                <w:bCs/>
                <w:spacing w:val="-1"/>
                <w:szCs w:val="21"/>
              </w:rPr>
              <w:t>I期</w:t>
            </w:r>
          </w:p>
        </w:tc>
        <w:tc>
          <w:tcPr>
            <w:tcW w:w="1217" w:type="dxa"/>
            <w:vAlign w:val="center"/>
          </w:tcPr>
          <w:p>
            <w:pPr>
              <w:jc w:val="center"/>
              <w:rPr>
                <w:rFonts w:ascii="宋体" w:hAnsi="宋体" w:eastAsia="宋体" w:cs="宋体"/>
                <w:b/>
                <w:bCs/>
                <w:szCs w:val="21"/>
              </w:rPr>
            </w:pPr>
            <w:r>
              <w:rPr>
                <w:rFonts w:hint="eastAsia" w:ascii="宋体" w:hAnsi="宋体" w:eastAsia="宋体" w:cs="宋体"/>
                <w:b/>
                <w:bCs/>
                <w:spacing w:val="-1"/>
                <w:szCs w:val="21"/>
              </w:rPr>
              <w:t>II期</w:t>
            </w:r>
          </w:p>
        </w:tc>
        <w:tc>
          <w:tcPr>
            <w:tcW w:w="1218" w:type="dxa"/>
            <w:vAlign w:val="center"/>
          </w:tcPr>
          <w:p>
            <w:pPr>
              <w:jc w:val="center"/>
              <w:rPr>
                <w:rFonts w:ascii="宋体" w:hAnsi="宋体" w:eastAsia="宋体" w:cs="宋体"/>
                <w:b/>
                <w:bCs/>
                <w:szCs w:val="21"/>
              </w:rPr>
            </w:pPr>
            <w:r>
              <w:rPr>
                <w:rFonts w:hint="eastAsia" w:ascii="宋体" w:hAnsi="宋体" w:cs="宋体"/>
                <w:b/>
                <w:bCs/>
              </w:rPr>
              <w:t>pCR</w:t>
            </w:r>
          </w:p>
        </w:tc>
        <w:tc>
          <w:tcPr>
            <w:tcW w:w="1218" w:type="dxa"/>
            <w:vAlign w:val="center"/>
          </w:tcPr>
          <w:p>
            <w:pPr>
              <w:jc w:val="center"/>
              <w:rPr>
                <w:rFonts w:ascii="宋体" w:hAnsi="宋体" w:eastAsia="宋体" w:cs="宋体"/>
                <w:b/>
                <w:bCs/>
                <w:szCs w:val="21"/>
              </w:rPr>
            </w:pPr>
            <w:r>
              <w:rPr>
                <w:rFonts w:hint="eastAsia" w:ascii="宋体" w:hAnsi="宋体" w:eastAsia="宋体" w:cs="宋体"/>
                <w:b/>
                <w:bCs/>
                <w:spacing w:val="-1"/>
                <w:szCs w:val="21"/>
              </w:rPr>
              <w:t>I期</w:t>
            </w:r>
          </w:p>
        </w:tc>
        <w:tc>
          <w:tcPr>
            <w:tcW w:w="1218" w:type="dxa"/>
            <w:vAlign w:val="center"/>
          </w:tcPr>
          <w:p>
            <w:pPr>
              <w:jc w:val="center"/>
              <w:rPr>
                <w:rFonts w:ascii="宋体" w:hAnsi="宋体" w:eastAsia="宋体" w:cs="宋体"/>
                <w:b/>
                <w:bCs/>
                <w:szCs w:val="21"/>
              </w:rPr>
            </w:pPr>
            <w:r>
              <w:rPr>
                <w:rFonts w:hint="eastAsia" w:ascii="宋体" w:hAnsi="宋体" w:eastAsia="宋体" w:cs="宋体"/>
                <w:b/>
                <w:bCs/>
                <w:spacing w:val="-1"/>
                <w:szCs w:val="21"/>
              </w:rPr>
              <w:t>II期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Align w:val="center"/>
          </w:tcPr>
          <w:p>
            <w:pPr>
              <w:jc w:val="center"/>
              <w:rPr>
                <w:rFonts w:ascii="宋体" w:hAnsi="宋体" w:eastAsia="宋体" w:cs="宋体"/>
                <w:szCs w:val="21"/>
              </w:rPr>
            </w:pPr>
            <w:r>
              <w:rPr>
                <w:rFonts w:hint="eastAsia" w:ascii="宋体" w:hAnsi="宋体" w:eastAsia="宋体" w:cs="宋体"/>
                <w:spacing w:val="-1"/>
                <w:szCs w:val="21"/>
              </w:rPr>
              <w:t>腔面A型</w:t>
            </w:r>
            <w:r>
              <w:rPr>
                <w:rFonts w:hint="eastAsia" w:ascii="宋体" w:hAnsi="宋体" w:cs="宋体"/>
                <w:spacing w:val="-1"/>
                <w:szCs w:val="21"/>
              </w:rPr>
              <w:t>（Luminal A）</w:t>
            </w:r>
          </w:p>
        </w:tc>
        <w:tc>
          <w:tcPr>
            <w:tcW w:w="963" w:type="dxa"/>
            <w:vAlign w:val="center"/>
          </w:tcPr>
          <w:p>
            <w:pPr>
              <w:widowControl/>
              <w:adjustRightInd w:val="0"/>
              <w:jc w:val="center"/>
              <w:rPr>
                <w:rFonts w:ascii="宋体" w:hAnsi="宋体" w:eastAsia="宋体" w:cs="宋体"/>
                <w:szCs w:val="21"/>
              </w:rPr>
            </w:pPr>
            <w:r>
              <w:rPr>
                <w:rFonts w:ascii="宋体" w:hAnsi="宋体" w:eastAsia="宋体" w:cs="宋体"/>
                <w:szCs w:val="21"/>
              </w:rPr>
              <w:t>495</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773</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2053</w:t>
            </w:r>
          </w:p>
        </w:tc>
        <w:tc>
          <w:tcPr>
            <w:tcW w:w="1218" w:type="dxa"/>
            <w:vAlign w:val="center"/>
          </w:tcPr>
          <w:p>
            <w:pPr>
              <w:widowControl/>
              <w:jc w:val="center"/>
              <w:textAlignment w:val="center"/>
              <w:rPr>
                <w:rFonts w:ascii="宋体" w:hAnsi="宋体" w:eastAsia="宋体" w:cs="宋体"/>
                <w:szCs w:val="21"/>
              </w:rPr>
            </w:pPr>
            <w:r>
              <w:rPr>
                <w:rFonts w:hint="eastAsia" w:ascii="宋体" w:hAnsi="宋体" w:eastAsia="宋体" w:cs="宋体"/>
                <w:szCs w:val="21"/>
              </w:rPr>
              <w:t>1363</w:t>
            </w:r>
          </w:p>
        </w:tc>
        <w:tc>
          <w:tcPr>
            <w:tcW w:w="1218" w:type="dxa"/>
            <w:vAlign w:val="center"/>
          </w:tcPr>
          <w:p>
            <w:pPr>
              <w:widowControl/>
              <w:jc w:val="center"/>
              <w:textAlignment w:val="center"/>
              <w:rPr>
                <w:rFonts w:ascii="宋体" w:hAnsi="宋体" w:eastAsia="宋体" w:cs="宋体"/>
                <w:szCs w:val="21"/>
              </w:rPr>
            </w:pPr>
            <w:r>
              <w:rPr>
                <w:rFonts w:hint="eastAsia" w:ascii="宋体" w:hAnsi="宋体" w:eastAsia="宋体" w:cs="宋体"/>
                <w:szCs w:val="21"/>
              </w:rPr>
              <w:t>2128</w:t>
            </w:r>
          </w:p>
        </w:tc>
        <w:tc>
          <w:tcPr>
            <w:tcW w:w="1218" w:type="dxa"/>
            <w:vAlign w:val="center"/>
          </w:tcPr>
          <w:p>
            <w:pPr>
              <w:widowControl/>
              <w:jc w:val="center"/>
              <w:textAlignment w:val="center"/>
              <w:rPr>
                <w:rFonts w:ascii="宋体" w:hAnsi="宋体" w:eastAsia="宋体" w:cs="宋体"/>
                <w:szCs w:val="21"/>
              </w:rPr>
            </w:pPr>
            <w:r>
              <w:rPr>
                <w:rFonts w:hint="eastAsia" w:ascii="宋体" w:hAnsi="宋体" w:eastAsia="宋体" w:cs="宋体"/>
                <w:szCs w:val="21"/>
              </w:rPr>
              <w:t>5640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Align w:val="center"/>
          </w:tcPr>
          <w:p>
            <w:pPr>
              <w:jc w:val="center"/>
              <w:rPr>
                <w:rFonts w:ascii="宋体" w:hAnsi="宋体" w:eastAsia="宋体" w:cs="宋体"/>
                <w:szCs w:val="21"/>
              </w:rPr>
            </w:pPr>
            <w:r>
              <w:rPr>
                <w:rFonts w:hint="eastAsia" w:ascii="宋体" w:hAnsi="宋体" w:eastAsia="宋体" w:cs="宋体"/>
                <w:spacing w:val="-1"/>
                <w:szCs w:val="21"/>
              </w:rPr>
              <w:t>腔面B型</w:t>
            </w:r>
            <w:r>
              <w:rPr>
                <w:rFonts w:hint="eastAsia" w:ascii="宋体" w:hAnsi="宋体" w:cs="宋体"/>
                <w:spacing w:val="-1"/>
                <w:szCs w:val="21"/>
              </w:rPr>
              <w:t>（Luminal B）</w:t>
            </w:r>
          </w:p>
        </w:tc>
        <w:tc>
          <w:tcPr>
            <w:tcW w:w="963" w:type="dxa"/>
            <w:vAlign w:val="center"/>
          </w:tcPr>
          <w:p>
            <w:pPr>
              <w:widowControl/>
              <w:adjustRightInd w:val="0"/>
              <w:jc w:val="center"/>
              <w:rPr>
                <w:rFonts w:ascii="宋体" w:hAnsi="宋体" w:eastAsia="宋体" w:cs="宋体"/>
                <w:szCs w:val="21"/>
              </w:rPr>
            </w:pPr>
            <w:r>
              <w:rPr>
                <w:rFonts w:ascii="宋体" w:hAnsi="宋体" w:eastAsia="宋体" w:cs="宋体"/>
                <w:szCs w:val="21"/>
              </w:rPr>
              <w:t>713</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1113</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2970</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1955</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3058</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Align w:val="center"/>
          </w:tcPr>
          <w:p>
            <w:pPr>
              <w:jc w:val="center"/>
              <w:rPr>
                <w:rFonts w:ascii="宋体" w:hAnsi="宋体" w:eastAsia="宋体" w:cs="宋体"/>
                <w:szCs w:val="21"/>
              </w:rPr>
            </w:pPr>
            <w:r>
              <w:rPr>
                <w:rFonts w:hint="eastAsia" w:ascii="宋体" w:hAnsi="宋体" w:eastAsia="宋体" w:cs="宋体"/>
                <w:spacing w:val="-1"/>
                <w:szCs w:val="21"/>
              </w:rPr>
              <w:t>Her2过表达型</w:t>
            </w:r>
          </w:p>
        </w:tc>
        <w:tc>
          <w:tcPr>
            <w:tcW w:w="963" w:type="dxa"/>
            <w:vAlign w:val="center"/>
          </w:tcPr>
          <w:p>
            <w:pPr>
              <w:widowControl/>
              <w:adjustRightInd w:val="0"/>
              <w:jc w:val="center"/>
              <w:rPr>
                <w:rFonts w:ascii="宋体" w:hAnsi="宋体" w:eastAsia="宋体" w:cs="宋体"/>
                <w:szCs w:val="21"/>
              </w:rPr>
            </w:pPr>
            <w:r>
              <w:rPr>
                <w:rFonts w:ascii="宋体" w:hAnsi="宋体" w:eastAsia="宋体" w:cs="宋体"/>
                <w:szCs w:val="21"/>
              </w:rPr>
              <w:t>855</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1335</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3565</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2348</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3670</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9790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vAlign w:val="center"/>
          </w:tcPr>
          <w:p>
            <w:pPr>
              <w:jc w:val="center"/>
              <w:rPr>
                <w:rFonts w:ascii="宋体" w:hAnsi="宋体" w:eastAsia="宋体" w:cs="宋体"/>
                <w:szCs w:val="21"/>
              </w:rPr>
            </w:pPr>
            <w:r>
              <w:rPr>
                <w:rFonts w:hint="eastAsia" w:ascii="宋体" w:hAnsi="宋体" w:eastAsia="宋体" w:cs="宋体"/>
                <w:spacing w:val="-1"/>
                <w:szCs w:val="21"/>
              </w:rPr>
              <w:t>三阴性</w:t>
            </w:r>
          </w:p>
        </w:tc>
        <w:tc>
          <w:tcPr>
            <w:tcW w:w="963" w:type="dxa"/>
            <w:vAlign w:val="center"/>
          </w:tcPr>
          <w:p>
            <w:pPr>
              <w:widowControl/>
              <w:adjustRightInd w:val="0"/>
              <w:jc w:val="center"/>
              <w:rPr>
                <w:rFonts w:ascii="宋体" w:hAnsi="宋体" w:eastAsia="宋体" w:cs="宋体"/>
                <w:szCs w:val="21"/>
              </w:rPr>
            </w:pPr>
            <w:r>
              <w:rPr>
                <w:rFonts w:ascii="宋体" w:hAnsi="宋体" w:eastAsia="宋体" w:cs="宋体"/>
                <w:szCs w:val="21"/>
              </w:rPr>
              <w:t>1395</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2178</w:t>
            </w:r>
          </w:p>
        </w:tc>
        <w:tc>
          <w:tcPr>
            <w:tcW w:w="1217" w:type="dxa"/>
            <w:vAlign w:val="center"/>
          </w:tcPr>
          <w:p>
            <w:pPr>
              <w:widowControl/>
              <w:adjustRightInd w:val="0"/>
              <w:jc w:val="center"/>
              <w:rPr>
                <w:rFonts w:ascii="宋体" w:hAnsi="宋体" w:eastAsia="宋体" w:cs="宋体"/>
                <w:szCs w:val="21"/>
              </w:rPr>
            </w:pPr>
            <w:r>
              <w:rPr>
                <w:rFonts w:ascii="宋体" w:hAnsi="宋体" w:eastAsia="宋体" w:cs="宋体"/>
                <w:szCs w:val="21"/>
              </w:rPr>
              <w:t>3915</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3833</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5988</w:t>
            </w:r>
          </w:p>
        </w:tc>
        <w:tc>
          <w:tcPr>
            <w:tcW w:w="1218" w:type="dxa"/>
            <w:vAlign w:val="center"/>
          </w:tcPr>
          <w:p>
            <w:pPr>
              <w:widowControl/>
              <w:adjustRightInd w:val="0"/>
              <w:jc w:val="center"/>
              <w:rPr>
                <w:rFonts w:ascii="宋体" w:hAnsi="宋体" w:eastAsia="宋体" w:cs="宋体"/>
                <w:szCs w:val="21"/>
              </w:rPr>
            </w:pPr>
            <w:r>
              <w:rPr>
                <w:rFonts w:hint="eastAsia" w:ascii="宋体" w:hAnsi="宋体" w:eastAsia="宋体" w:cs="宋体"/>
                <w:szCs w:val="21"/>
              </w:rPr>
              <w:t>10760</w:t>
            </w:r>
          </w:p>
        </w:tc>
      </w:tr>
    </w:tbl>
    <w:p>
      <w:pPr>
        <w:widowControl/>
        <w:adjustRightInd w:val="0"/>
        <w:snapToGrid w:val="0"/>
        <w:spacing w:line="360" w:lineRule="auto"/>
        <w:ind w:firstLine="422" w:firstLineChars="200"/>
        <w:jc w:val="left"/>
        <w:rPr>
          <w:rFonts w:ascii="宋体" w:hAnsi="宋体" w:eastAsia="宋体"/>
          <w:b/>
          <w:szCs w:val="21"/>
        </w:rPr>
      </w:pPr>
    </w:p>
    <w:p>
      <w:pPr>
        <w:adjustRightInd w:val="0"/>
        <w:snapToGrid w:val="0"/>
        <w:spacing w:line="360" w:lineRule="auto"/>
        <w:ind w:firstLine="211" w:firstLineChars="100"/>
        <w:rPr>
          <w:rFonts w:ascii="宋体" w:hAnsi="宋体" w:eastAsia="宋体" w:cs="宋体"/>
          <w:b/>
          <w:szCs w:val="21"/>
        </w:rPr>
      </w:pPr>
      <w:r>
        <w:rPr>
          <w:rFonts w:hint="eastAsia" w:ascii="宋体" w:hAnsi="宋体" w:eastAsia="宋体" w:cs="宋体"/>
          <w:b/>
          <w:szCs w:val="21"/>
        </w:rPr>
        <w:t>（二）乳腺癌恶性肿瘤特许进口药品费用保险金</w:t>
      </w:r>
    </w:p>
    <w:p>
      <w:pPr>
        <w:adjustRightInd w:val="0"/>
        <w:snapToGrid w:val="0"/>
        <w:spacing w:line="360" w:lineRule="auto"/>
        <w:ind w:firstLine="210" w:firstLineChars="100"/>
        <w:rPr>
          <w:rFonts w:ascii="宋体" w:hAnsi="宋体" w:eastAsia="宋体" w:cs="宋体"/>
          <w:bCs/>
          <w:szCs w:val="21"/>
        </w:rPr>
      </w:pPr>
      <w:r>
        <w:rPr>
          <w:rFonts w:ascii="宋体" w:hAnsi="宋体" w:eastAsia="宋体" w:cs="宋体"/>
          <w:bCs/>
          <w:szCs w:val="21"/>
        </w:rPr>
        <w:t>1、对于已接受乳腺恶性肿瘤手术治疗，但未接受乳腺恶性肿瘤新辅助治疗人群：</w:t>
      </w:r>
    </w:p>
    <w:tbl>
      <w:tblPr>
        <w:tblStyle w:val="7"/>
        <w:tblW w:w="8460" w:type="dxa"/>
        <w:tblInd w:w="113" w:type="dxa"/>
        <w:tblLayout w:type="autofit"/>
        <w:tblCellMar>
          <w:top w:w="0" w:type="dxa"/>
          <w:left w:w="108" w:type="dxa"/>
          <w:bottom w:w="0" w:type="dxa"/>
          <w:right w:w="108" w:type="dxa"/>
        </w:tblCellMar>
      </w:tblPr>
      <w:tblGrid>
        <w:gridCol w:w="1161"/>
        <w:gridCol w:w="830"/>
        <w:gridCol w:w="863"/>
        <w:gridCol w:w="863"/>
        <w:gridCol w:w="864"/>
        <w:gridCol w:w="863"/>
        <w:gridCol w:w="1004"/>
        <w:gridCol w:w="1005"/>
        <w:gridCol w:w="1007"/>
      </w:tblGrid>
      <w:tr>
        <w:tblPrEx>
          <w:tblCellMar>
            <w:top w:w="0" w:type="dxa"/>
            <w:left w:w="108" w:type="dxa"/>
            <w:bottom w:w="0" w:type="dxa"/>
            <w:right w:w="108" w:type="dxa"/>
          </w:tblCellMar>
        </w:tblPrEx>
        <w:trPr>
          <w:trHeight w:val="273" w:hRule="atLeast"/>
        </w:trPr>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732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基准年保险费</w:t>
            </w:r>
          </w:p>
        </w:tc>
      </w:tr>
      <w:tr>
        <w:tblPrEx>
          <w:tblCellMar>
            <w:top w:w="0" w:type="dxa"/>
            <w:left w:w="108" w:type="dxa"/>
            <w:bottom w:w="0" w:type="dxa"/>
            <w:right w:w="108" w:type="dxa"/>
          </w:tblCellMar>
        </w:tblPrEx>
        <w:trPr>
          <w:trHeight w:val="273" w:hRule="atLeast"/>
        </w:trPr>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343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有社保</w:t>
            </w:r>
          </w:p>
        </w:tc>
        <w:tc>
          <w:tcPr>
            <w:tcW w:w="389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无社保</w:t>
            </w:r>
          </w:p>
        </w:tc>
      </w:tr>
      <w:tr>
        <w:tblPrEx>
          <w:tblCellMar>
            <w:top w:w="0" w:type="dxa"/>
            <w:left w:w="108" w:type="dxa"/>
            <w:bottom w:w="0" w:type="dxa"/>
            <w:right w:w="108" w:type="dxa"/>
          </w:tblCellMar>
        </w:tblPrEx>
        <w:trPr>
          <w:trHeight w:val="273" w:hRule="atLeast"/>
        </w:trPr>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r>
      <w:tr>
        <w:tblPrEx>
          <w:tblCellMar>
            <w:top w:w="0" w:type="dxa"/>
            <w:left w:w="108" w:type="dxa"/>
            <w:bottom w:w="0" w:type="dxa"/>
            <w:right w:w="108" w:type="dxa"/>
          </w:tblCellMar>
        </w:tblPrEx>
        <w:trPr>
          <w:trHeight w:val="984"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A</w:t>
            </w:r>
            <w:r>
              <w:rPr>
                <w:rFonts w:hint="eastAsia" w:ascii="等线" w:hAnsi="等线" w:eastAsia="等线" w:cs="宋体"/>
                <w:color w:val="000000"/>
                <w:kern w:val="0"/>
                <w:szCs w:val="21"/>
              </w:rPr>
              <w:t>）</w:t>
            </w:r>
          </w:p>
        </w:tc>
        <w:tc>
          <w:tcPr>
            <w:tcW w:w="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108</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409</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234</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297</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784</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1125</w:t>
            </w:r>
          </w:p>
        </w:tc>
      </w:tr>
      <w:tr>
        <w:tblPrEx>
          <w:tblCellMar>
            <w:top w:w="0" w:type="dxa"/>
            <w:left w:w="108" w:type="dxa"/>
            <w:bottom w:w="0" w:type="dxa"/>
            <w:right w:w="108" w:type="dxa"/>
          </w:tblCellMar>
        </w:tblPrEx>
        <w:trPr>
          <w:trHeight w:val="88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B</w:t>
            </w:r>
            <w:r>
              <w:rPr>
                <w:rFonts w:hint="eastAsia" w:ascii="等线" w:hAnsi="等线" w:eastAsia="等线" w:cs="宋体"/>
                <w:color w:val="000000"/>
                <w:kern w:val="0"/>
                <w:szCs w:val="21"/>
              </w:rPr>
              <w:t>）</w:t>
            </w:r>
          </w:p>
        </w:tc>
        <w:tc>
          <w:tcPr>
            <w:tcW w:w="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155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413</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593</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234</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426</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1136</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1631</w:t>
            </w:r>
          </w:p>
        </w:tc>
      </w:tr>
      <w:tr>
        <w:tblPrEx>
          <w:tblCellMar>
            <w:top w:w="0" w:type="dxa"/>
            <w:left w:w="108" w:type="dxa"/>
            <w:bottom w:w="0" w:type="dxa"/>
            <w:right w:w="108" w:type="dxa"/>
          </w:tblCellMar>
        </w:tblPrEx>
        <w:trPr>
          <w:trHeight w:val="546"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711</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234</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509</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1361</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1955</w:t>
            </w:r>
          </w:p>
        </w:tc>
      </w:tr>
      <w:tr>
        <w:tblPrEx>
          <w:tblCellMar>
            <w:top w:w="0" w:type="dxa"/>
            <w:left w:w="108" w:type="dxa"/>
            <w:bottom w:w="0" w:type="dxa"/>
            <w:right w:w="108" w:type="dxa"/>
          </w:tblCellMar>
        </w:tblPrEx>
        <w:trPr>
          <w:trHeight w:val="448"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85</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303</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543</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779</w:t>
            </w:r>
          </w:p>
        </w:tc>
        <w:tc>
          <w:tcPr>
            <w:tcW w:w="8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234</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833</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1493</w:t>
            </w:r>
          </w:p>
        </w:tc>
        <w:tc>
          <w:tcPr>
            <w:tcW w:w="1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2142</w:t>
            </w:r>
          </w:p>
        </w:tc>
      </w:tr>
    </w:tbl>
    <w:p>
      <w:pPr>
        <w:widowControl/>
        <w:adjustRightInd w:val="0"/>
        <w:snapToGrid w:val="0"/>
        <w:spacing w:line="360" w:lineRule="auto"/>
        <w:ind w:firstLine="420" w:firstLineChars="200"/>
        <w:jc w:val="left"/>
        <w:rPr>
          <w:rFonts w:ascii="宋体" w:hAnsi="宋体" w:eastAsia="宋体" w:cs="宋体"/>
          <w:szCs w:val="21"/>
        </w:rPr>
      </w:pP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2、对于已经接受乳腺恶性肿瘤手术治疗及乳腺恶性肿瘤新辅助治疗人群：</w:t>
      </w:r>
    </w:p>
    <w:tbl>
      <w:tblPr>
        <w:tblStyle w:val="7"/>
        <w:tblW w:w="8180" w:type="dxa"/>
        <w:tblInd w:w="113" w:type="dxa"/>
        <w:tblLayout w:type="autofit"/>
        <w:tblCellMar>
          <w:top w:w="0" w:type="dxa"/>
          <w:left w:w="108" w:type="dxa"/>
          <w:bottom w:w="0" w:type="dxa"/>
          <w:right w:w="108" w:type="dxa"/>
        </w:tblCellMar>
      </w:tblPr>
      <w:tblGrid>
        <w:gridCol w:w="1440"/>
        <w:gridCol w:w="1060"/>
        <w:gridCol w:w="1100"/>
        <w:gridCol w:w="1100"/>
        <w:gridCol w:w="1100"/>
        <w:gridCol w:w="1100"/>
        <w:gridCol w:w="1280"/>
      </w:tblGrid>
      <w:tr>
        <w:tblPrEx>
          <w:tblCellMar>
            <w:top w:w="0" w:type="dxa"/>
            <w:left w:w="108" w:type="dxa"/>
            <w:bottom w:w="0" w:type="dxa"/>
            <w:right w:w="108" w:type="dxa"/>
          </w:tblCellMar>
        </w:tblPrEx>
        <w:trPr>
          <w:trHeight w:val="280" w:hRule="atLeast"/>
        </w:trPr>
        <w:tc>
          <w:tcPr>
            <w:tcW w:w="14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674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基准年保险费</w:t>
            </w:r>
          </w:p>
        </w:tc>
      </w:tr>
      <w:tr>
        <w:tblPrEx>
          <w:tblCellMar>
            <w:top w:w="0" w:type="dxa"/>
            <w:left w:w="108" w:type="dxa"/>
            <w:bottom w:w="0" w:type="dxa"/>
            <w:right w:w="108" w:type="dxa"/>
          </w:tblCellMar>
        </w:tblPrEx>
        <w:trPr>
          <w:trHeight w:val="280" w:hRule="atLeast"/>
        </w:trPr>
        <w:tc>
          <w:tcPr>
            <w:tcW w:w="14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326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有社保</w:t>
            </w:r>
          </w:p>
        </w:tc>
        <w:tc>
          <w:tcPr>
            <w:tcW w:w="348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无社保</w:t>
            </w:r>
          </w:p>
        </w:tc>
      </w:tr>
      <w:tr>
        <w:tblPrEx>
          <w:tblCellMar>
            <w:top w:w="0" w:type="dxa"/>
            <w:left w:w="108" w:type="dxa"/>
            <w:bottom w:w="0" w:type="dxa"/>
            <w:right w:w="108" w:type="dxa"/>
          </w:tblCellMar>
        </w:tblPrEx>
        <w:trPr>
          <w:trHeight w:val="280" w:hRule="atLeast"/>
        </w:trPr>
        <w:tc>
          <w:tcPr>
            <w:tcW w:w="14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pCR</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pCR</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r>
      <w:tr>
        <w:tblPrEx>
          <w:tblCellMar>
            <w:top w:w="0" w:type="dxa"/>
            <w:left w:w="108" w:type="dxa"/>
            <w:bottom w:w="0" w:type="dxa"/>
            <w:right w:w="108" w:type="dxa"/>
          </w:tblCellMar>
        </w:tblPrEx>
        <w:trPr>
          <w:trHeight w:val="810" w:hRule="atLeast"/>
        </w:trPr>
        <w:tc>
          <w:tcPr>
            <w:tcW w:w="1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腔面A型（Luminal A）</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87</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135</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357</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239</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371</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982</w:t>
            </w:r>
          </w:p>
        </w:tc>
      </w:tr>
      <w:tr>
        <w:tblPrEx>
          <w:tblCellMar>
            <w:top w:w="0" w:type="dxa"/>
            <w:left w:w="108" w:type="dxa"/>
            <w:bottom w:w="0" w:type="dxa"/>
            <w:right w:w="108" w:type="dxa"/>
          </w:tblCellMar>
        </w:tblPrEx>
        <w:trPr>
          <w:trHeight w:val="810" w:hRule="atLeast"/>
        </w:trPr>
        <w:tc>
          <w:tcPr>
            <w:tcW w:w="1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腔面B型（Luminal B）</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123</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193</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515</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338</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531</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1416</w:t>
            </w:r>
          </w:p>
        </w:tc>
      </w:tr>
      <w:tr>
        <w:tblPrEx>
          <w:tblCellMar>
            <w:top w:w="0" w:type="dxa"/>
            <w:left w:w="108" w:type="dxa"/>
            <w:bottom w:w="0" w:type="dxa"/>
            <w:right w:w="108" w:type="dxa"/>
          </w:tblCellMar>
        </w:tblPrEx>
        <w:trPr>
          <w:trHeight w:val="280" w:hRule="atLeast"/>
        </w:trPr>
        <w:tc>
          <w:tcPr>
            <w:tcW w:w="1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148</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232</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618</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407</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638</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1700</w:t>
            </w:r>
          </w:p>
        </w:tc>
      </w:tr>
      <w:tr>
        <w:tblPrEx>
          <w:tblCellMar>
            <w:top w:w="0" w:type="dxa"/>
            <w:left w:w="108" w:type="dxa"/>
            <w:bottom w:w="0" w:type="dxa"/>
            <w:right w:w="108" w:type="dxa"/>
          </w:tblCellMar>
        </w:tblPrEx>
        <w:trPr>
          <w:trHeight w:val="280" w:hRule="atLeast"/>
        </w:trPr>
        <w:tc>
          <w:tcPr>
            <w:tcW w:w="14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242</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378</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678</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666</w:t>
            </w:r>
          </w:p>
        </w:tc>
        <w:tc>
          <w:tcPr>
            <w:tcW w:w="1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1040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1865</w:t>
            </w:r>
          </w:p>
        </w:tc>
      </w:tr>
    </w:tbl>
    <w:p>
      <w:pPr>
        <w:widowControl/>
        <w:adjustRightInd w:val="0"/>
        <w:snapToGrid w:val="0"/>
        <w:spacing w:line="360" w:lineRule="auto"/>
        <w:jc w:val="left"/>
        <w:rPr>
          <w:rFonts w:ascii="宋体" w:hAnsi="宋体" w:eastAsia="宋体"/>
          <w:b/>
          <w:szCs w:val="21"/>
        </w:rPr>
      </w:pPr>
    </w:p>
    <w:p>
      <w:pPr>
        <w:widowControl/>
        <w:adjustRightInd w:val="0"/>
        <w:snapToGrid w:val="0"/>
        <w:spacing w:line="360" w:lineRule="auto"/>
        <w:ind w:firstLine="422" w:firstLineChars="200"/>
        <w:jc w:val="left"/>
        <w:rPr>
          <w:rFonts w:ascii="宋体" w:hAnsi="宋体" w:eastAsia="宋体"/>
          <w:b/>
          <w:szCs w:val="21"/>
        </w:rPr>
      </w:pPr>
      <w:r>
        <w:rPr>
          <w:rFonts w:ascii="宋体" w:hAnsi="宋体" w:eastAsia="宋体"/>
          <w:b/>
          <w:szCs w:val="21"/>
        </w:rPr>
        <w:t>三</w:t>
      </w:r>
      <w:r>
        <w:rPr>
          <w:rFonts w:hint="eastAsia" w:ascii="宋体" w:hAnsi="宋体" w:eastAsia="宋体"/>
          <w:b/>
          <w:szCs w:val="21"/>
        </w:rPr>
        <w:t>、费率调整系数</w:t>
      </w:r>
    </w:p>
    <w:p>
      <w:pPr>
        <w:spacing w:line="360" w:lineRule="auto"/>
        <w:ind w:firstLine="420" w:firstLineChars="200"/>
        <w:rPr>
          <w:rFonts w:ascii="宋体" w:hAnsi="宋体" w:eastAsia="宋体" w:cs="宋体"/>
          <w:szCs w:val="21"/>
          <w:lang w:bidi="ar"/>
        </w:rPr>
      </w:pPr>
      <w:r>
        <w:rPr>
          <w:rFonts w:ascii="宋体" w:hAnsi="宋体" w:eastAsia="宋体" w:cs="宋体"/>
          <w:szCs w:val="21"/>
          <w:lang w:bidi="ar"/>
        </w:rPr>
        <w:t>1</w:t>
      </w:r>
      <w:r>
        <w:rPr>
          <w:rFonts w:hint="eastAsia" w:ascii="宋体" w:hAnsi="宋体" w:eastAsia="宋体" w:cs="宋体"/>
          <w:szCs w:val="21"/>
          <w:lang w:bidi="ar"/>
        </w:rPr>
        <w:t>、年龄调整系数</w:t>
      </w:r>
    </w:p>
    <w:tbl>
      <w:tblPr>
        <w:tblStyle w:val="8"/>
        <w:tblW w:w="0" w:type="auto"/>
        <w:tblInd w:w="14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849" w:type="dxa"/>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被保险人年龄（周岁）</w:t>
            </w:r>
          </w:p>
        </w:tc>
        <w:tc>
          <w:tcPr>
            <w:tcW w:w="2841" w:type="dxa"/>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[18,</w:t>
            </w:r>
            <w:r>
              <w:rPr>
                <w:rFonts w:hint="eastAsia" w:ascii="宋体" w:hAnsi="宋体" w:eastAsia="宋体" w:cs="宋体"/>
                <w:szCs w:val="21"/>
                <w:lang w:bidi="ar"/>
              </w:rPr>
              <w:t>30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3</w:t>
            </w:r>
            <w:r>
              <w:rPr>
                <w:rFonts w:ascii="宋体" w:hAnsi="宋体" w:eastAsia="宋体" w:cs="宋体"/>
                <w:szCs w:val="21"/>
                <w:lang w:bidi="ar"/>
              </w:rPr>
              <w:t>1,</w:t>
            </w:r>
            <w:r>
              <w:rPr>
                <w:rFonts w:hint="eastAsia" w:ascii="宋体" w:hAnsi="宋体" w:eastAsia="宋体" w:cs="宋体"/>
                <w:szCs w:val="21"/>
                <w:lang w:bidi="ar"/>
              </w:rPr>
              <w:t>50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51</w:t>
            </w:r>
            <w:r>
              <w:rPr>
                <w:rFonts w:ascii="宋体" w:hAnsi="宋体" w:eastAsia="宋体" w:cs="宋体"/>
                <w:szCs w:val="21"/>
                <w:lang w:bidi="ar"/>
              </w:rPr>
              <w:t>,</w:t>
            </w:r>
            <w:r>
              <w:rPr>
                <w:rFonts w:hint="eastAsia" w:ascii="宋体" w:hAnsi="宋体" w:eastAsia="宋体" w:cs="宋体"/>
                <w:szCs w:val="21"/>
                <w:lang w:bidi="ar"/>
              </w:rPr>
              <w:t>65</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66</w:t>
            </w:r>
            <w:r>
              <w:rPr>
                <w:rFonts w:ascii="宋体" w:hAnsi="宋体" w:eastAsia="宋体" w:cs="宋体"/>
                <w:szCs w:val="21"/>
                <w:lang w:bidi="ar"/>
              </w:rPr>
              <w:t>,</w:t>
            </w:r>
            <w:r>
              <w:rPr>
                <w:rFonts w:hint="eastAsia" w:ascii="宋体" w:hAnsi="宋体" w:eastAsia="宋体" w:cs="宋体"/>
                <w:szCs w:val="21"/>
                <w:lang w:bidi="ar"/>
              </w:rPr>
              <w:t>70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71</w:t>
            </w:r>
            <w:r>
              <w:rPr>
                <w:rFonts w:ascii="宋体" w:hAnsi="宋体" w:eastAsia="宋体" w:cs="宋体"/>
                <w:szCs w:val="21"/>
                <w:lang w:bidi="ar"/>
              </w:rPr>
              <w:t>,</w:t>
            </w:r>
            <w:r>
              <w:rPr>
                <w:rFonts w:hint="eastAsia" w:ascii="宋体" w:hAnsi="宋体" w:eastAsia="宋体" w:cs="宋体"/>
                <w:szCs w:val="21"/>
                <w:lang w:bidi="ar"/>
              </w:rPr>
              <w:t>75</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1.4</w:t>
            </w:r>
          </w:p>
        </w:tc>
      </w:tr>
    </w:tbl>
    <w:p>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等待期调整系数</w:t>
      </w:r>
    </w:p>
    <w:tbl>
      <w:tblPr>
        <w:tblStyle w:val="8"/>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等待期</w:t>
            </w:r>
          </w:p>
        </w:tc>
        <w:tc>
          <w:tcPr>
            <w:tcW w:w="2838"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30天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60天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90天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120天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150天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180天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0.7</w:t>
            </w:r>
          </w:p>
        </w:tc>
      </w:tr>
    </w:tbl>
    <w:p>
      <w:pPr>
        <w:spacing w:line="360" w:lineRule="auto"/>
        <w:ind w:firstLine="420" w:firstLineChars="200"/>
        <w:rPr>
          <w:rFonts w:ascii="宋体" w:hAnsi="宋体" w:eastAsia="宋体" w:cs="宋体"/>
          <w:b/>
          <w:szCs w:val="21"/>
        </w:rPr>
      </w:pPr>
      <w:r>
        <w:rPr>
          <w:rFonts w:hint="eastAsia" w:ascii="宋体" w:hAnsi="宋体" w:eastAsia="宋体"/>
          <w:szCs w:val="21"/>
        </w:rPr>
        <w:t>3、</w:t>
      </w:r>
      <w:r>
        <w:rPr>
          <w:rFonts w:hint="eastAsia" w:ascii="宋体" w:hAnsi="宋体" w:eastAsia="宋体" w:cs="宋体"/>
          <w:szCs w:val="21"/>
          <w:lang w:bidi="ar"/>
        </w:rPr>
        <w:t>免赔额调整系数</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免赔额（元）</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5000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30000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0.6</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4、保险金额调整系数</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保险金额（万元）</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[20,40]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(40,80]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(80,100]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(100,150]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(150,200]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(3.2,3.4]</w:t>
            </w:r>
          </w:p>
        </w:tc>
      </w:tr>
    </w:tbl>
    <w:p>
      <w:pPr>
        <w:spacing w:line="360" w:lineRule="auto"/>
        <w:ind w:firstLine="420" w:firstLineChars="200"/>
        <w:rPr>
          <w:rFonts w:ascii="宋体" w:hAnsi="宋体" w:eastAsia="宋体" w:cs="Arial"/>
          <w:bCs/>
          <w:color w:val="000000"/>
          <w:szCs w:val="21"/>
        </w:rPr>
      </w:pPr>
      <w:r>
        <w:rPr>
          <w:rFonts w:hint="eastAsia" w:ascii="宋体" w:hAnsi="宋体" w:eastAsia="宋体" w:cs="宋体"/>
          <w:szCs w:val="21"/>
          <w:lang w:bidi="ar"/>
        </w:rPr>
        <w:t>5、</w:t>
      </w:r>
      <w:r>
        <w:rPr>
          <w:rFonts w:hint="eastAsia" w:ascii="宋体" w:hAnsi="宋体" w:eastAsia="宋体" w:cs="Arial"/>
          <w:bCs/>
          <w:color w:val="000000"/>
          <w:szCs w:val="21"/>
        </w:rPr>
        <w:t>赔付比例调整系数</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line="260" w:lineRule="auto"/>
              <w:jc w:val="center"/>
              <w:rPr>
                <w:rFonts w:ascii="宋体" w:hAnsi="宋体" w:eastAsia="宋体" w:cs="宋体"/>
                <w:b/>
                <w:bCs/>
                <w:szCs w:val="21"/>
                <w:lang w:bidi="ar"/>
              </w:rPr>
            </w:pPr>
            <w:r>
              <w:rPr>
                <w:rFonts w:hint="eastAsia" w:ascii="宋体" w:hAnsi="宋体" w:eastAsia="宋体" w:cs="宋体"/>
                <w:b/>
                <w:bCs/>
                <w:szCs w:val="21"/>
                <w:lang w:bidi="ar"/>
              </w:rPr>
              <w:t>赔付比例</w:t>
            </w:r>
          </w:p>
        </w:tc>
        <w:tc>
          <w:tcPr>
            <w:tcW w:w="2850" w:type="dxa"/>
          </w:tcPr>
          <w:p>
            <w:pPr>
              <w:widowControl/>
              <w:spacing w:line="260" w:lineRule="auto"/>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80%-100%</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(0.9,</w:t>
            </w:r>
            <w:r>
              <w:rPr>
                <w:rFonts w:hint="eastAsia" w:ascii="宋体" w:hAnsi="宋体" w:cs="Arial"/>
                <w:bCs/>
                <w:color w:val="000000"/>
                <w:szCs w:val="21"/>
              </w:rPr>
              <w:t>1.0</w:t>
            </w:r>
            <w:r>
              <w:rPr>
                <w:rFonts w:hint="eastAsia" w:ascii="宋体" w:hAnsi="宋体" w:eastAsia="宋体" w:cs="Arial"/>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60%-80%（含）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40%-60%（含）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&lt;=40%</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[0.1,0.3]</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6、被保险人风险状况调整系数</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被保险人风险状况</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低风险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中等风险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高风险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(1.3,2.0]</w:t>
            </w:r>
          </w:p>
        </w:tc>
      </w:tr>
    </w:tbl>
    <w:p>
      <w:pPr>
        <w:ind w:firstLine="420" w:firstLineChars="200"/>
        <w:rPr>
          <w:rFonts w:ascii="宋体" w:hAnsi="宋体" w:eastAsia="宋体" w:cs="宋体"/>
          <w:szCs w:val="21"/>
          <w:lang w:bidi="ar"/>
        </w:rPr>
      </w:pPr>
      <w:r>
        <w:rPr>
          <w:rFonts w:hint="eastAsia" w:ascii="宋体" w:hAnsi="宋体" w:eastAsia="宋体" w:cs="宋体"/>
          <w:szCs w:val="21"/>
          <w:lang w:bidi="ar"/>
        </w:rPr>
        <w:t>注：低风险：指被保险人接受治疗后健康状况很好，生活方式健康，风险意识较强；</w:t>
      </w:r>
    </w:p>
    <w:p>
      <w:pPr>
        <w:ind w:firstLine="420" w:firstLineChars="200"/>
        <w:rPr>
          <w:rFonts w:ascii="宋体" w:hAnsi="宋体" w:eastAsia="宋体" w:cs="宋体"/>
          <w:szCs w:val="21"/>
          <w:lang w:bidi="ar"/>
        </w:rPr>
      </w:pPr>
      <w:r>
        <w:rPr>
          <w:rFonts w:hint="eastAsia" w:ascii="宋体" w:hAnsi="宋体" w:eastAsia="宋体" w:cs="宋体"/>
          <w:szCs w:val="21"/>
          <w:lang w:bidi="ar"/>
        </w:rPr>
        <w:t>中等风险：指被保险人接受治疗后健康状况中等，生活方式中等，风险意识中等；</w:t>
      </w:r>
    </w:p>
    <w:p>
      <w:pPr>
        <w:ind w:firstLine="420" w:firstLineChars="200"/>
        <w:rPr>
          <w:rFonts w:ascii="宋体" w:hAnsi="宋体" w:eastAsia="宋体" w:cs="宋体"/>
          <w:szCs w:val="21"/>
          <w:lang w:bidi="ar"/>
        </w:rPr>
      </w:pPr>
      <w:r>
        <w:rPr>
          <w:rFonts w:hint="eastAsia" w:ascii="宋体" w:hAnsi="宋体" w:eastAsia="宋体" w:cs="宋体"/>
          <w:szCs w:val="21"/>
          <w:lang w:bidi="ar"/>
        </w:rPr>
        <w:t>高风险：指被保险人接受治疗后健康状况较差，生活方式较差，风险意识较差。</w:t>
      </w:r>
    </w:p>
    <w:p>
      <w:pPr>
        <w:spacing w:line="360" w:lineRule="auto"/>
        <w:ind w:firstLine="420" w:firstLineChars="200"/>
        <w:rPr>
          <w:rFonts w:ascii="宋体" w:hAnsi="宋体" w:eastAsia="宋体" w:cs="宋体"/>
          <w:szCs w:val="21"/>
        </w:rPr>
      </w:pPr>
      <w:r>
        <w:rPr>
          <w:rFonts w:hint="eastAsia" w:ascii="宋体" w:hAnsi="宋体" w:eastAsia="宋体" w:cs="宋体"/>
          <w:szCs w:val="21"/>
          <w:lang w:bidi="ar"/>
        </w:rPr>
        <w:t>7、规模调整系数</w:t>
      </w:r>
    </w:p>
    <w:tbl>
      <w:tblPr>
        <w:tblStyle w:val="7"/>
        <w:tblW w:w="5270" w:type="dxa"/>
        <w:jc w:val="center"/>
        <w:tblLayout w:type="fixed"/>
        <w:tblCellMar>
          <w:top w:w="0" w:type="dxa"/>
          <w:left w:w="108" w:type="dxa"/>
          <w:bottom w:w="0" w:type="dxa"/>
          <w:right w:w="108" w:type="dxa"/>
        </w:tblCellMar>
      </w:tblPr>
      <w:tblGrid>
        <w:gridCol w:w="3505"/>
        <w:gridCol w:w="1765"/>
      </w:tblGrid>
      <w:tr>
        <w:tblPrEx>
          <w:tblCellMar>
            <w:top w:w="0" w:type="dxa"/>
            <w:left w:w="108" w:type="dxa"/>
            <w:bottom w:w="0" w:type="dxa"/>
            <w:right w:w="108" w:type="dxa"/>
          </w:tblCellMar>
        </w:tblPrEx>
        <w:trPr>
          <w:trHeight w:val="300" w:hRule="atLeast"/>
          <w:jc w:val="center"/>
        </w:trPr>
        <w:tc>
          <w:tcPr>
            <w:tcW w:w="35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年度投保人数（</w:t>
            </w:r>
            <w:r>
              <w:rPr>
                <w:rFonts w:ascii="宋体" w:hAnsi="宋体" w:eastAsia="宋体" w:cs="宋体"/>
                <w:b/>
                <w:bCs/>
                <w:szCs w:val="21"/>
                <w:lang w:bidi="ar"/>
              </w:rPr>
              <w:t>N</w:t>
            </w:r>
            <w:r>
              <w:rPr>
                <w:rFonts w:hint="eastAsia" w:ascii="宋体" w:hAnsi="宋体" w:eastAsia="宋体" w:cs="宋体"/>
                <w:b/>
                <w:bCs/>
                <w:szCs w:val="21"/>
                <w:lang w:bidi="ar"/>
              </w:rPr>
              <w:t>人</w:t>
            </w:r>
            <w:r>
              <w:rPr>
                <w:rFonts w:ascii="宋体" w:hAnsi="宋体" w:eastAsia="宋体" w:cs="宋体"/>
                <w:b/>
                <w:bCs/>
                <w:szCs w:val="21"/>
                <w:lang w:bidi="ar"/>
              </w:rPr>
              <w:t>）</w:t>
            </w:r>
          </w:p>
        </w:tc>
        <w:tc>
          <w:tcPr>
            <w:tcW w:w="1765"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调整系数</w:t>
            </w:r>
          </w:p>
        </w:tc>
      </w:tr>
      <w:tr>
        <w:tblPrEx>
          <w:tblCellMar>
            <w:top w:w="0" w:type="dxa"/>
            <w:left w:w="108" w:type="dxa"/>
            <w:bottom w:w="0" w:type="dxa"/>
            <w:right w:w="108" w:type="dxa"/>
          </w:tblCellMar>
        </w:tblPrEx>
        <w:trPr>
          <w:trHeight w:val="9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N&gt;200</w:t>
            </w:r>
            <w:r>
              <w:rPr>
                <w:rFonts w:hint="eastAsia"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[0.6,0.7)</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lang w:bidi="ar"/>
              </w:rPr>
              <w:t>100</w:t>
            </w:r>
            <w:r>
              <w:rPr>
                <w:rFonts w:ascii="宋体" w:hAnsi="宋体" w:eastAsia="宋体" w:cs="宋体"/>
                <w:szCs w:val="21"/>
                <w:lang w:bidi="ar"/>
              </w:rPr>
              <w:t>00&lt;N≤</w:t>
            </w:r>
            <w:r>
              <w:rPr>
                <w:rFonts w:hint="eastAsia" w:ascii="宋体" w:hAnsi="宋体" w:eastAsia="宋体" w:cs="宋体"/>
                <w:szCs w:val="21"/>
                <w:lang w:bidi="ar"/>
              </w:rPr>
              <w:t>200</w:t>
            </w:r>
            <w:r>
              <w:rPr>
                <w:rFonts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lang w:bidi="ar"/>
              </w:rPr>
              <w:t>50</w:t>
            </w:r>
            <w:r>
              <w:rPr>
                <w:rFonts w:ascii="宋体" w:hAnsi="宋体" w:eastAsia="宋体" w:cs="宋体"/>
                <w:szCs w:val="21"/>
                <w:lang w:bidi="ar"/>
              </w:rPr>
              <w:t>00&lt;N≤</w:t>
            </w:r>
            <w:r>
              <w:rPr>
                <w:rFonts w:hint="eastAsia" w:ascii="宋体" w:hAnsi="宋体" w:eastAsia="宋体" w:cs="宋体"/>
                <w:szCs w:val="21"/>
                <w:lang w:bidi="ar"/>
              </w:rPr>
              <w:t>100</w:t>
            </w:r>
            <w:r>
              <w:rPr>
                <w:rFonts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N≤</w:t>
            </w:r>
            <w:r>
              <w:rPr>
                <w:rFonts w:hint="eastAsia" w:ascii="宋体" w:hAnsi="宋体" w:eastAsia="宋体" w:cs="宋体"/>
                <w:szCs w:val="21"/>
                <w:lang w:bidi="ar"/>
              </w:rPr>
              <w:t>5</w:t>
            </w:r>
            <w:r>
              <w:rPr>
                <w:rFonts w:ascii="宋体" w:hAnsi="宋体" w:eastAsia="宋体" w:cs="宋体"/>
                <w:szCs w:val="21"/>
                <w:lang w:bidi="ar"/>
              </w:rPr>
              <w:t>00</w:t>
            </w:r>
            <w:r>
              <w:rPr>
                <w:rFonts w:hint="eastAsia" w:ascii="宋体" w:hAnsi="宋体" w:eastAsia="宋体" w:cs="宋体"/>
                <w:szCs w:val="21"/>
                <w:lang w:bidi="ar"/>
              </w:rPr>
              <w:t>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[1.1,1.5]</w:t>
            </w:r>
          </w:p>
        </w:tc>
      </w:tr>
    </w:tbl>
    <w:p>
      <w:pPr>
        <w:spacing w:line="360" w:lineRule="auto"/>
        <w:ind w:firstLine="420" w:firstLineChars="200"/>
        <w:rPr>
          <w:rFonts w:ascii="宋体" w:hAnsi="宋体" w:eastAsia="宋体" w:cs="宋体"/>
          <w:szCs w:val="21"/>
        </w:rPr>
      </w:pPr>
      <w:r>
        <w:rPr>
          <w:rFonts w:hint="eastAsia" w:ascii="宋体" w:hAnsi="宋体" w:eastAsia="宋体" w:cs="宋体"/>
          <w:szCs w:val="21"/>
          <w:lang w:bidi="ar"/>
        </w:rPr>
        <w:t>8、预期赔付率调整系数</w:t>
      </w:r>
    </w:p>
    <w:tbl>
      <w:tblPr>
        <w:tblStyle w:val="7"/>
        <w:tblW w:w="5160" w:type="dxa"/>
        <w:jc w:val="center"/>
        <w:tblLayout w:type="fixed"/>
        <w:tblCellMar>
          <w:top w:w="0" w:type="dxa"/>
          <w:left w:w="108" w:type="dxa"/>
          <w:bottom w:w="0" w:type="dxa"/>
          <w:right w:w="108" w:type="dxa"/>
        </w:tblCellMar>
      </w:tblPr>
      <w:tblGrid>
        <w:gridCol w:w="2720"/>
        <w:gridCol w:w="2440"/>
      </w:tblGrid>
      <w:tr>
        <w:tblPrEx>
          <w:tblCellMar>
            <w:top w:w="0" w:type="dxa"/>
            <w:left w:w="108" w:type="dxa"/>
            <w:bottom w:w="0" w:type="dxa"/>
            <w:right w:w="108" w:type="dxa"/>
          </w:tblCellMar>
        </w:tblPrEx>
        <w:trPr>
          <w:trHeight w:val="300" w:hRule="atLeast"/>
          <w:jc w:val="center"/>
        </w:trPr>
        <w:tc>
          <w:tcPr>
            <w:tcW w:w="27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预期赔付率</w:t>
            </w:r>
          </w:p>
        </w:tc>
        <w:tc>
          <w:tcPr>
            <w:tcW w:w="24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调整系数</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0%-30%（含）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30%-50%（含）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242"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50%-80%（含）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80%以上</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(1.1,1.5]</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9、销售渠道调整系数</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销售方式</w:t>
            </w:r>
          </w:p>
        </w:tc>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网络直销</w:t>
            </w:r>
          </w:p>
        </w:tc>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网络中介</w:t>
            </w:r>
          </w:p>
        </w:tc>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[0.8,1.2]</w:t>
            </w:r>
          </w:p>
        </w:tc>
      </w:tr>
    </w:tbl>
    <w:p>
      <w:pPr>
        <w:spacing w:line="360" w:lineRule="auto"/>
        <w:ind w:firstLine="422" w:firstLineChars="200"/>
        <w:jc w:val="left"/>
        <w:rPr>
          <w:rFonts w:ascii="宋体" w:hAnsi="宋体" w:eastAsia="宋体"/>
          <w:b/>
          <w:szCs w:val="21"/>
        </w:rPr>
      </w:pPr>
      <w:r>
        <w:rPr>
          <w:rFonts w:ascii="宋体" w:hAnsi="宋体" w:eastAsia="宋体"/>
          <w:b/>
          <w:szCs w:val="21"/>
        </w:rPr>
        <w:t>四</w:t>
      </w:r>
      <w:r>
        <w:rPr>
          <w:rFonts w:hint="eastAsia" w:ascii="宋体" w:hAnsi="宋体" w:eastAsia="宋体"/>
          <w:b/>
          <w:szCs w:val="21"/>
        </w:rPr>
        <w:t>、保险费计算</w:t>
      </w:r>
    </w:p>
    <w:p>
      <w:pPr>
        <w:snapToGrid w:val="0"/>
        <w:spacing w:line="288" w:lineRule="auto"/>
        <w:ind w:firstLine="482"/>
        <w:rPr>
          <w:rFonts w:ascii="宋体" w:hAnsi="宋体" w:eastAsia="宋体" w:cs="宋体"/>
          <w:bCs/>
          <w:szCs w:val="21"/>
        </w:rPr>
      </w:pPr>
      <w:r>
        <w:rPr>
          <w:rFonts w:hint="eastAsia" w:ascii="宋体" w:hAnsi="宋体" w:eastAsia="宋体" w:cs="宋体"/>
          <w:bCs/>
          <w:szCs w:val="21"/>
        </w:rPr>
        <w:t>乳腺癌恶性肿瘤特种药品费用保险金年</w:t>
      </w:r>
      <w:r>
        <w:rPr>
          <w:rFonts w:ascii="宋体" w:hAnsi="宋体" w:eastAsia="宋体" w:cs="宋体"/>
          <w:bCs/>
          <w:szCs w:val="21"/>
        </w:rPr>
        <w:t>保险费=</w:t>
      </w:r>
      <w:r>
        <w:rPr>
          <w:rFonts w:hint="eastAsia" w:ascii="宋体" w:hAnsi="宋体" w:eastAsia="宋体" w:cs="宋体"/>
          <w:bCs/>
          <w:szCs w:val="21"/>
        </w:rPr>
        <w:t>乳腺癌恶性肿瘤特种药品费用保险金</w:t>
      </w:r>
      <w:r>
        <w:rPr>
          <w:rFonts w:ascii="宋体" w:hAnsi="宋体" w:eastAsia="宋体" w:cs="宋体"/>
          <w:bCs/>
          <w:szCs w:val="21"/>
        </w:rPr>
        <w:t>基准</w:t>
      </w:r>
      <w:r>
        <w:rPr>
          <w:rFonts w:hint="eastAsia" w:ascii="宋体" w:hAnsi="宋体" w:eastAsia="宋体" w:cs="宋体"/>
          <w:bCs/>
          <w:szCs w:val="21"/>
        </w:rPr>
        <w:t>年</w:t>
      </w:r>
      <w:r>
        <w:rPr>
          <w:rFonts w:ascii="宋体" w:hAnsi="宋体" w:eastAsia="宋体" w:cs="宋体"/>
          <w:bCs/>
          <w:szCs w:val="21"/>
        </w:rPr>
        <w:t>保险费×</w:t>
      </w:r>
      <w:r>
        <w:rPr>
          <w:rFonts w:hint="eastAsia" w:ascii="宋体" w:hAnsi="宋体" w:eastAsia="宋体" w:cs="宋体"/>
          <w:bCs/>
          <w:szCs w:val="21"/>
        </w:rPr>
        <w:t>年龄调整系数</w:t>
      </w:r>
      <w:r>
        <w:rPr>
          <w:rFonts w:ascii="宋体" w:hAnsi="宋体" w:eastAsia="宋体" w:cs="宋体"/>
          <w:bCs/>
          <w:szCs w:val="21"/>
        </w:rPr>
        <w:t>×等待期调整系数×</w:t>
      </w:r>
      <w:r>
        <w:rPr>
          <w:rFonts w:hint="eastAsia" w:ascii="宋体" w:hAnsi="宋体" w:eastAsia="宋体" w:cs="宋体"/>
          <w:szCs w:val="21"/>
          <w:lang w:bidi="ar"/>
        </w:rPr>
        <w:t>免赔额调整系数</w:t>
      </w:r>
      <w:r>
        <w:rPr>
          <w:rFonts w:ascii="宋体" w:hAnsi="宋体" w:eastAsia="宋体" w:cs="宋体"/>
          <w:bCs/>
          <w:szCs w:val="21"/>
        </w:rPr>
        <w:t>×</w:t>
      </w:r>
      <w:r>
        <w:rPr>
          <w:rFonts w:hint="eastAsia" w:ascii="宋体" w:hAnsi="宋体" w:eastAsia="宋体" w:cs="宋体"/>
          <w:bCs/>
          <w:szCs w:val="21"/>
        </w:rPr>
        <w:t>保险金额调整系数</w:t>
      </w:r>
      <w:r>
        <w:rPr>
          <w:rFonts w:hint="eastAsia" w:ascii="宋体" w:hAnsi="宋体" w:eastAsia="宋体" w:cs="宋体"/>
          <w:szCs w:val="21"/>
          <w:lang w:bidi="ar"/>
        </w:rPr>
        <w:t>×</w:t>
      </w:r>
      <w:r>
        <w:rPr>
          <w:rFonts w:hint="eastAsia" w:ascii="宋体" w:hAnsi="宋体" w:eastAsia="宋体" w:cs="Arial"/>
          <w:bCs/>
          <w:color w:val="000000"/>
          <w:szCs w:val="21"/>
        </w:rPr>
        <w:t>赔付比例调整系数</w:t>
      </w:r>
      <w:r>
        <w:rPr>
          <w:rFonts w:hint="eastAsia" w:ascii="宋体" w:hAnsi="宋体" w:eastAsia="宋体" w:cs="宋体"/>
          <w:szCs w:val="21"/>
          <w:lang w:bidi="ar"/>
        </w:rPr>
        <w:t>×被保险人风险状况调整系数×</w:t>
      </w:r>
      <w:r>
        <w:rPr>
          <w:rFonts w:ascii="宋体" w:hAnsi="宋体" w:eastAsia="宋体" w:cs="宋体"/>
          <w:bCs/>
          <w:szCs w:val="21"/>
        </w:rPr>
        <w:t>规模调整系数×</w:t>
      </w:r>
      <w:r>
        <w:rPr>
          <w:rFonts w:hint="eastAsia" w:ascii="宋体" w:hAnsi="宋体" w:eastAsia="宋体" w:cs="宋体"/>
          <w:bCs/>
          <w:szCs w:val="21"/>
        </w:rPr>
        <w:t>预期</w:t>
      </w:r>
      <w:r>
        <w:rPr>
          <w:rFonts w:ascii="宋体" w:hAnsi="宋体" w:eastAsia="宋体" w:cs="宋体"/>
          <w:bCs/>
          <w:szCs w:val="21"/>
        </w:rPr>
        <w:t>赔付率调整系数×</w:t>
      </w:r>
      <w:r>
        <w:rPr>
          <w:rFonts w:hint="eastAsia" w:ascii="宋体" w:hAnsi="宋体" w:eastAsia="宋体" w:cs="宋体"/>
          <w:bCs/>
          <w:szCs w:val="21"/>
        </w:rPr>
        <w:t>销售渠道调整系数</w:t>
      </w:r>
    </w:p>
    <w:p>
      <w:pPr>
        <w:snapToGrid w:val="0"/>
        <w:spacing w:line="288" w:lineRule="auto"/>
        <w:ind w:firstLine="482"/>
        <w:rPr>
          <w:rFonts w:ascii="宋体" w:hAnsi="宋体" w:eastAsia="宋体" w:cs="宋体"/>
          <w:bCs/>
          <w:szCs w:val="21"/>
        </w:rPr>
      </w:pPr>
      <w:r>
        <w:rPr>
          <w:rFonts w:hint="eastAsia" w:ascii="宋体" w:hAnsi="宋体" w:eastAsia="宋体" w:cs="宋体"/>
          <w:bCs/>
          <w:szCs w:val="21"/>
        </w:rPr>
        <w:t>乳腺癌恶性肿瘤特许进口药品费用保险金年</w:t>
      </w:r>
      <w:r>
        <w:rPr>
          <w:rFonts w:ascii="宋体" w:hAnsi="宋体" w:eastAsia="宋体" w:cs="宋体"/>
          <w:bCs/>
          <w:szCs w:val="21"/>
        </w:rPr>
        <w:t>保险费=</w:t>
      </w:r>
      <w:r>
        <w:rPr>
          <w:rFonts w:hint="eastAsia" w:ascii="宋体" w:hAnsi="宋体" w:eastAsia="宋体" w:cs="宋体"/>
          <w:bCs/>
          <w:szCs w:val="21"/>
        </w:rPr>
        <w:t>乳腺癌恶性肿瘤特许进口药品费用保险金</w:t>
      </w:r>
      <w:r>
        <w:rPr>
          <w:rFonts w:ascii="宋体" w:hAnsi="宋体" w:eastAsia="宋体" w:cs="宋体"/>
          <w:bCs/>
          <w:szCs w:val="21"/>
        </w:rPr>
        <w:t>基准</w:t>
      </w:r>
      <w:r>
        <w:rPr>
          <w:rFonts w:hint="eastAsia" w:ascii="宋体" w:hAnsi="宋体" w:eastAsia="宋体" w:cs="宋体"/>
          <w:bCs/>
          <w:szCs w:val="21"/>
        </w:rPr>
        <w:t>年</w:t>
      </w:r>
      <w:r>
        <w:rPr>
          <w:rFonts w:ascii="宋体" w:hAnsi="宋体" w:eastAsia="宋体" w:cs="宋体"/>
          <w:bCs/>
          <w:szCs w:val="21"/>
        </w:rPr>
        <w:t>保险费×</w:t>
      </w:r>
      <w:r>
        <w:rPr>
          <w:rFonts w:hint="eastAsia" w:ascii="宋体" w:hAnsi="宋体" w:eastAsia="宋体" w:cs="宋体"/>
          <w:bCs/>
          <w:szCs w:val="21"/>
        </w:rPr>
        <w:t>年龄调整系数</w:t>
      </w:r>
      <w:r>
        <w:rPr>
          <w:rFonts w:ascii="宋体" w:hAnsi="宋体" w:eastAsia="宋体" w:cs="宋体"/>
          <w:bCs/>
          <w:szCs w:val="21"/>
        </w:rPr>
        <w:t>×等待期调整系数×</w:t>
      </w:r>
      <w:r>
        <w:rPr>
          <w:rFonts w:hint="eastAsia" w:ascii="宋体" w:hAnsi="宋体" w:eastAsia="宋体" w:cs="宋体"/>
          <w:szCs w:val="21"/>
          <w:lang w:bidi="ar"/>
        </w:rPr>
        <w:t>免赔额调整系数</w:t>
      </w:r>
      <w:r>
        <w:rPr>
          <w:rFonts w:ascii="宋体" w:hAnsi="宋体" w:eastAsia="宋体" w:cs="宋体"/>
          <w:bCs/>
          <w:szCs w:val="21"/>
        </w:rPr>
        <w:t>×</w:t>
      </w:r>
      <w:r>
        <w:rPr>
          <w:rFonts w:hint="eastAsia" w:ascii="宋体" w:hAnsi="宋体" w:eastAsia="宋体" w:cs="宋体"/>
          <w:bCs/>
          <w:szCs w:val="21"/>
        </w:rPr>
        <w:t>保险金额调整系数</w:t>
      </w:r>
      <w:r>
        <w:rPr>
          <w:rFonts w:hint="eastAsia" w:ascii="宋体" w:hAnsi="宋体" w:eastAsia="宋体" w:cs="宋体"/>
          <w:szCs w:val="21"/>
          <w:lang w:bidi="ar"/>
        </w:rPr>
        <w:t>×</w:t>
      </w:r>
      <w:r>
        <w:rPr>
          <w:rFonts w:hint="eastAsia" w:ascii="宋体" w:hAnsi="宋体" w:eastAsia="宋体" w:cs="Arial"/>
          <w:bCs/>
          <w:color w:val="000000"/>
          <w:szCs w:val="21"/>
        </w:rPr>
        <w:t>赔付比例调整系数</w:t>
      </w:r>
      <w:r>
        <w:rPr>
          <w:rFonts w:hint="eastAsia" w:ascii="宋体" w:hAnsi="宋体" w:eastAsia="宋体" w:cs="宋体"/>
          <w:szCs w:val="21"/>
          <w:lang w:bidi="ar"/>
        </w:rPr>
        <w:t>×被保险人风险状况调整系数×</w:t>
      </w:r>
      <w:r>
        <w:rPr>
          <w:rFonts w:ascii="宋体" w:hAnsi="宋体" w:eastAsia="宋体" w:cs="宋体"/>
          <w:bCs/>
          <w:szCs w:val="21"/>
        </w:rPr>
        <w:t>规模调整系数×</w:t>
      </w:r>
      <w:r>
        <w:rPr>
          <w:rFonts w:hint="eastAsia" w:ascii="宋体" w:hAnsi="宋体" w:eastAsia="宋体" w:cs="宋体"/>
          <w:bCs/>
          <w:szCs w:val="21"/>
        </w:rPr>
        <w:t>预期</w:t>
      </w:r>
      <w:r>
        <w:rPr>
          <w:rFonts w:ascii="宋体" w:hAnsi="宋体" w:eastAsia="宋体" w:cs="宋体"/>
          <w:bCs/>
          <w:szCs w:val="21"/>
        </w:rPr>
        <w:t>赔付率调整系数×</w:t>
      </w:r>
      <w:r>
        <w:rPr>
          <w:rFonts w:hint="eastAsia" w:ascii="宋体" w:hAnsi="宋体" w:eastAsia="宋体" w:cs="宋体"/>
          <w:bCs/>
          <w:szCs w:val="21"/>
        </w:rPr>
        <w:t>销售渠道调整系数</w:t>
      </w:r>
    </w:p>
    <w:p>
      <w:pPr>
        <w:snapToGrid w:val="0"/>
        <w:spacing w:line="288" w:lineRule="auto"/>
        <w:ind w:firstLine="482"/>
        <w:rPr>
          <w:rFonts w:ascii="宋体" w:hAnsi="宋体" w:eastAsia="宋体" w:cs="宋体"/>
          <w:bCs/>
          <w:szCs w:val="21"/>
        </w:rPr>
      </w:pPr>
      <w:r>
        <w:rPr>
          <w:rFonts w:hint="eastAsia" w:ascii="宋体" w:hAnsi="宋体" w:eastAsia="宋体" w:cs="宋体"/>
          <w:bCs/>
          <w:szCs w:val="21"/>
        </w:rPr>
        <w:t>总年保险费=乳腺癌恶性肿瘤特种药品费用保险金年</w:t>
      </w:r>
      <w:r>
        <w:rPr>
          <w:rFonts w:ascii="宋体" w:hAnsi="宋体" w:eastAsia="宋体" w:cs="宋体"/>
          <w:bCs/>
          <w:szCs w:val="21"/>
        </w:rPr>
        <w:t>保险费</w:t>
      </w:r>
      <w:r>
        <w:rPr>
          <w:rFonts w:hint="eastAsia" w:ascii="宋体" w:hAnsi="宋体" w:eastAsia="宋体" w:cs="宋体"/>
          <w:bCs/>
          <w:szCs w:val="21"/>
        </w:rPr>
        <w:t>+乳腺癌恶性肿瘤特许进口药品费用保险金年</w:t>
      </w:r>
      <w:r>
        <w:rPr>
          <w:rFonts w:ascii="宋体" w:hAnsi="宋体" w:eastAsia="宋体" w:cs="宋体"/>
          <w:bCs/>
          <w:szCs w:val="21"/>
        </w:rPr>
        <w:t>保险费</w:t>
      </w:r>
    </w:p>
    <w:p>
      <w:pPr>
        <w:snapToGrid w:val="0"/>
        <w:spacing w:line="288" w:lineRule="auto"/>
        <w:ind w:firstLine="482"/>
        <w:rPr>
          <w:rFonts w:ascii="宋体" w:hAnsi="宋体" w:eastAsia="宋体" w:cs="宋体"/>
          <w:bCs/>
          <w:szCs w:val="21"/>
        </w:rPr>
      </w:pPr>
    </w:p>
    <w:p>
      <w:pPr>
        <w:spacing w:line="360" w:lineRule="auto"/>
        <w:ind w:firstLine="422" w:firstLineChars="200"/>
        <w:jc w:val="left"/>
        <w:rPr>
          <w:rFonts w:ascii="宋体" w:hAnsi="宋体" w:eastAsia="宋体" w:cs="Times New Roman"/>
          <w:b/>
          <w:kern w:val="0"/>
        </w:rPr>
      </w:pPr>
      <w:r>
        <w:rPr>
          <w:rFonts w:hint="eastAsia" w:ascii="宋体" w:hAnsi="宋体" w:eastAsia="宋体" w:cs="Times New Roman"/>
          <w:b/>
          <w:kern w:val="0"/>
        </w:rPr>
        <w:t>五、短期</w:t>
      </w:r>
      <w:r>
        <w:rPr>
          <w:rFonts w:hint="eastAsia" w:ascii="宋体" w:hAnsi="宋体" w:eastAsia="宋体"/>
          <w:b/>
          <w:szCs w:val="21"/>
        </w:rPr>
        <w:t>费率</w:t>
      </w:r>
      <w:r>
        <w:rPr>
          <w:rFonts w:hint="eastAsia" w:ascii="宋体" w:hAnsi="宋体" w:eastAsia="宋体" w:cs="Times New Roman"/>
          <w:b/>
          <w:kern w:val="0"/>
        </w:rPr>
        <w:t>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spacing w:line="14" w:lineRule="exact"/>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250955"/>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F627F0"/>
    <w:rsid w:val="00023DE6"/>
    <w:rsid w:val="000504D9"/>
    <w:rsid w:val="00061794"/>
    <w:rsid w:val="00061975"/>
    <w:rsid w:val="000A3789"/>
    <w:rsid w:val="000C2C4B"/>
    <w:rsid w:val="000E0AF6"/>
    <w:rsid w:val="000E3F63"/>
    <w:rsid w:val="000F60A7"/>
    <w:rsid w:val="001244FF"/>
    <w:rsid w:val="00171316"/>
    <w:rsid w:val="00225CBB"/>
    <w:rsid w:val="002542C8"/>
    <w:rsid w:val="00274A88"/>
    <w:rsid w:val="0029332F"/>
    <w:rsid w:val="00295C8F"/>
    <w:rsid w:val="002E3E7E"/>
    <w:rsid w:val="00333B66"/>
    <w:rsid w:val="00341A35"/>
    <w:rsid w:val="003F4393"/>
    <w:rsid w:val="00484CB0"/>
    <w:rsid w:val="004902B3"/>
    <w:rsid w:val="00506C87"/>
    <w:rsid w:val="00514DA3"/>
    <w:rsid w:val="005D75B7"/>
    <w:rsid w:val="006007A7"/>
    <w:rsid w:val="00662F31"/>
    <w:rsid w:val="00696B15"/>
    <w:rsid w:val="006B589E"/>
    <w:rsid w:val="006E3F0C"/>
    <w:rsid w:val="00700687"/>
    <w:rsid w:val="00702F75"/>
    <w:rsid w:val="00733558"/>
    <w:rsid w:val="00767CE8"/>
    <w:rsid w:val="007A668C"/>
    <w:rsid w:val="00864233"/>
    <w:rsid w:val="00905109"/>
    <w:rsid w:val="00907BDA"/>
    <w:rsid w:val="009414F5"/>
    <w:rsid w:val="009B4947"/>
    <w:rsid w:val="009C16ED"/>
    <w:rsid w:val="009D156E"/>
    <w:rsid w:val="00A0448E"/>
    <w:rsid w:val="00A5472D"/>
    <w:rsid w:val="00A55EAC"/>
    <w:rsid w:val="00AA7B60"/>
    <w:rsid w:val="00AB1435"/>
    <w:rsid w:val="00AC53FC"/>
    <w:rsid w:val="00AE7EFF"/>
    <w:rsid w:val="00BA132C"/>
    <w:rsid w:val="00BF5669"/>
    <w:rsid w:val="00C41AEB"/>
    <w:rsid w:val="00C6391C"/>
    <w:rsid w:val="00C80BEE"/>
    <w:rsid w:val="00CD1F3F"/>
    <w:rsid w:val="00CF6683"/>
    <w:rsid w:val="00CF76C6"/>
    <w:rsid w:val="00D278AD"/>
    <w:rsid w:val="00E06983"/>
    <w:rsid w:val="00E30098"/>
    <w:rsid w:val="00E7065F"/>
    <w:rsid w:val="00E940E8"/>
    <w:rsid w:val="00EE5519"/>
    <w:rsid w:val="00F627F0"/>
    <w:rsid w:val="01A611B0"/>
    <w:rsid w:val="023D5009"/>
    <w:rsid w:val="04671EF4"/>
    <w:rsid w:val="05AC63F4"/>
    <w:rsid w:val="0678682D"/>
    <w:rsid w:val="078809D2"/>
    <w:rsid w:val="08241C4A"/>
    <w:rsid w:val="0B14530F"/>
    <w:rsid w:val="0B650573"/>
    <w:rsid w:val="0C071098"/>
    <w:rsid w:val="0C1E36B4"/>
    <w:rsid w:val="0CE60BCD"/>
    <w:rsid w:val="0D935B07"/>
    <w:rsid w:val="0F5534D9"/>
    <w:rsid w:val="10DE709A"/>
    <w:rsid w:val="11B619F3"/>
    <w:rsid w:val="13864296"/>
    <w:rsid w:val="1415741C"/>
    <w:rsid w:val="1489141C"/>
    <w:rsid w:val="14C117C9"/>
    <w:rsid w:val="15434F89"/>
    <w:rsid w:val="15E52977"/>
    <w:rsid w:val="1630439D"/>
    <w:rsid w:val="16FC1186"/>
    <w:rsid w:val="17780F8F"/>
    <w:rsid w:val="178839B1"/>
    <w:rsid w:val="17CA1CD8"/>
    <w:rsid w:val="18580D0E"/>
    <w:rsid w:val="1CD852E5"/>
    <w:rsid w:val="1DA578BD"/>
    <w:rsid w:val="1F14355E"/>
    <w:rsid w:val="2028386D"/>
    <w:rsid w:val="214F546F"/>
    <w:rsid w:val="21FA6A29"/>
    <w:rsid w:val="239D4B92"/>
    <w:rsid w:val="25DD07DA"/>
    <w:rsid w:val="27CC5136"/>
    <w:rsid w:val="2BD471DA"/>
    <w:rsid w:val="2D6A01DB"/>
    <w:rsid w:val="2ED4418A"/>
    <w:rsid w:val="30BF5808"/>
    <w:rsid w:val="31AF2660"/>
    <w:rsid w:val="363851A6"/>
    <w:rsid w:val="366F318F"/>
    <w:rsid w:val="396E017E"/>
    <w:rsid w:val="398753C5"/>
    <w:rsid w:val="3BAA6DE9"/>
    <w:rsid w:val="3C6F3118"/>
    <w:rsid w:val="43AA70B0"/>
    <w:rsid w:val="47BD3405"/>
    <w:rsid w:val="48A13A0E"/>
    <w:rsid w:val="496B4457"/>
    <w:rsid w:val="4A055EC7"/>
    <w:rsid w:val="4A381310"/>
    <w:rsid w:val="4A3E05CE"/>
    <w:rsid w:val="4A48467D"/>
    <w:rsid w:val="4A7807D3"/>
    <w:rsid w:val="5052092F"/>
    <w:rsid w:val="51494826"/>
    <w:rsid w:val="516D1FD0"/>
    <w:rsid w:val="521F5665"/>
    <w:rsid w:val="573D749D"/>
    <w:rsid w:val="586631C9"/>
    <w:rsid w:val="59A62C9C"/>
    <w:rsid w:val="59E93FE0"/>
    <w:rsid w:val="5ED725C3"/>
    <w:rsid w:val="5EFE0567"/>
    <w:rsid w:val="63473BF7"/>
    <w:rsid w:val="66415276"/>
    <w:rsid w:val="6663703F"/>
    <w:rsid w:val="66F63E97"/>
    <w:rsid w:val="68067F28"/>
    <w:rsid w:val="6A2536C5"/>
    <w:rsid w:val="6B6A4927"/>
    <w:rsid w:val="71074787"/>
    <w:rsid w:val="730333A6"/>
    <w:rsid w:val="73FE3E08"/>
    <w:rsid w:val="76571277"/>
    <w:rsid w:val="76A44E4D"/>
    <w:rsid w:val="76B973FB"/>
    <w:rsid w:val="777A05E8"/>
    <w:rsid w:val="77A1081E"/>
    <w:rsid w:val="790740FD"/>
    <w:rsid w:val="7A431165"/>
    <w:rsid w:val="7BBE3FC8"/>
    <w:rsid w:val="7C376E8E"/>
    <w:rsid w:val="7CAF3128"/>
    <w:rsid w:val="7E2766A8"/>
    <w:rsid w:val="7F5A6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批注框文本 字符"/>
    <w:basedOn w:val="9"/>
    <w:link w:val="3"/>
    <w:semiHidden/>
    <w:qFormat/>
    <w:uiPriority w:val="99"/>
    <w:rPr>
      <w:sz w:val="18"/>
      <w:szCs w:val="18"/>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文字 字符"/>
    <w:basedOn w:val="9"/>
    <w:link w:val="2"/>
    <w:semiHidden/>
    <w:qFormat/>
    <w:uiPriority w:val="99"/>
    <w:rPr>
      <w:rFonts w:asciiTheme="minorHAnsi" w:hAnsiTheme="minorHAnsi" w:eastAsiaTheme="minorEastAsia" w:cstheme="minorBidi"/>
      <w:kern w:val="2"/>
      <w:sz w:val="21"/>
      <w:szCs w:val="22"/>
    </w:rPr>
  </w:style>
  <w:style w:type="character" w:customStyle="1" w:styleId="15">
    <w:name w:val="批注主题 字符"/>
    <w:basedOn w:val="14"/>
    <w:link w:val="6"/>
    <w:semiHidden/>
    <w:qFormat/>
    <w:uiPriority w:val="99"/>
    <w:rPr>
      <w:rFonts w:asciiTheme="minorHAnsi" w:hAnsiTheme="minorHAnsi" w:eastAsiaTheme="minorEastAsia" w:cstheme="minorBidi"/>
      <w:b/>
      <w:bCs/>
      <w:kern w:val="2"/>
      <w:sz w:val="21"/>
      <w:szCs w:val="22"/>
    </w:r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7">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445</Words>
  <Characters>2543</Characters>
  <Lines>21</Lines>
  <Paragraphs>5</Paragraphs>
  <TotalTime>100</TotalTime>
  <ScaleCrop>false</ScaleCrop>
  <LinksUpToDate>false</LinksUpToDate>
  <CharactersWithSpaces>2983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2020-02-18T03:53:00Z</dcterms:created>
  <dc:creator>林男 曹</dc:creator>
  <cp:lastModifiedBy>Zixuan Shen</cp:lastModifiedBy>
  <dcterms:modified xsi:type="dcterms:W3CDTF">2023-09-25T01:59:51Z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07C7ACF2E12743B7A27770C56FA79FD2</vt:lpwstr>
  </property>
  <property fmtid="{D5CDD505-2E9C-101B-9397-08002B2CF9AE}" pid="4" name="commondata">
    <vt:lpwstr>eyJoZGlkIjoiMDRiMmE0ZjljZDExM2YyODdkMDQ1ZGRhYjY0YmQ5MmQifQ==</vt:lpwstr>
  </property>
</Properties>
</file>