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 w:cs="Arial"/>
          <w:b/>
          <w:color w:val="000000"/>
          <w:kern w:val="2"/>
          <w:sz w:val="28"/>
          <w:szCs w:val="28"/>
        </w:rPr>
        <w:t>少儿重大疾病保险费率表（互联网专属）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一、年基准费率</w:t>
      </w:r>
    </w:p>
    <w:tbl>
      <w:tblPr>
        <w:tblStyle w:val="9"/>
        <w:tblW w:w="7298" w:type="dxa"/>
        <w:tblInd w:w="6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348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年龄段</w:t>
            </w:r>
          </w:p>
        </w:tc>
        <w:tc>
          <w:tcPr>
            <w:tcW w:w="2348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个人业务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团体业务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0-5周岁</w:t>
            </w:r>
          </w:p>
        </w:tc>
        <w:tc>
          <w:tcPr>
            <w:tcW w:w="2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6周岁-11周岁</w:t>
            </w:r>
          </w:p>
        </w:tc>
        <w:tc>
          <w:tcPr>
            <w:tcW w:w="2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12周岁-17周岁</w:t>
            </w:r>
          </w:p>
        </w:tc>
        <w:tc>
          <w:tcPr>
            <w:tcW w:w="2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hAnsi="宋体" w:eastAsia="宋体"/>
          <w:b w:val="0"/>
          <w:sz w:val="21"/>
          <w:szCs w:val="21"/>
          <w:lang w:eastAsia="zh-CN"/>
        </w:rPr>
      </w:pPr>
      <w:r>
        <w:rPr>
          <w:rFonts w:hAnsi="宋体" w:eastAsia="宋体"/>
          <w:b w:val="0"/>
          <w:sz w:val="21"/>
          <w:szCs w:val="21"/>
        </w:rPr>
        <w:t>注</w:t>
      </w:r>
      <w:r>
        <w:rPr>
          <w:rFonts w:hint="eastAsia" w:hAnsi="宋体" w:eastAsia="宋体"/>
          <w:b w:val="0"/>
          <w:sz w:val="21"/>
          <w:szCs w:val="21"/>
        </w:rPr>
        <w:t>：</w:t>
      </w:r>
      <w:r>
        <w:rPr>
          <w:rFonts w:hint="eastAsia" w:hAnsi="宋体"/>
          <w:b w:val="0"/>
          <w:sz w:val="21"/>
          <w:szCs w:val="21"/>
          <w:lang w:val="en-US" w:eastAsia="zh-CN"/>
        </w:rPr>
        <w:t>1、</w:t>
      </w:r>
      <w:r>
        <w:rPr>
          <w:rFonts w:hint="eastAsia" w:hAnsi="宋体" w:eastAsia="宋体"/>
          <w:sz w:val="21"/>
          <w:szCs w:val="21"/>
        </w:rPr>
        <w:t>0周岁指出生满</w:t>
      </w:r>
      <w:r>
        <w:rPr>
          <w:rFonts w:hint="eastAsia" w:hAnsi="宋体"/>
          <w:sz w:val="21"/>
          <w:szCs w:val="21"/>
          <w:lang w:val="en-US" w:eastAsia="zh-CN"/>
        </w:rPr>
        <w:t>28</w:t>
      </w:r>
      <w:r>
        <w:rPr>
          <w:rFonts w:hAnsi="宋体" w:eastAsia="宋体"/>
          <w:sz w:val="21"/>
          <w:szCs w:val="21"/>
        </w:rPr>
        <w:t>日且已健康出院</w:t>
      </w:r>
      <w:r>
        <w:rPr>
          <w:rFonts w:hint="eastAsia" w:hAnsi="宋体"/>
          <w:sz w:val="21"/>
          <w:szCs w:val="21"/>
          <w:lang w:eastAsia="zh-CN"/>
        </w:rPr>
        <w:t>；</w:t>
      </w:r>
      <w:bookmarkStart w:id="6" w:name="_GoBack"/>
      <w:bookmarkEnd w:id="6"/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hAnsi="宋体" w:cs="Arial"/>
          <w:b w:val="0"/>
          <w:bCs/>
          <w:color w:val="000000"/>
          <w:kern w:val="2"/>
          <w:sz w:val="21"/>
          <w:szCs w:val="21"/>
          <w:lang w:val="en-US" w:eastAsia="zh-CN"/>
        </w:rPr>
        <w:t>2、对于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团体业务</w:t>
      </w:r>
      <w:r>
        <w:rPr>
          <w:rFonts w:hint="eastAsia" w:hAnsi="宋体" w:cs="Times New Roman"/>
          <w:b w:val="0"/>
          <w:bCs w:val="0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可根据平均年龄或相近平均年龄选择使用上述团体业务</w:t>
      </w:r>
      <w:r>
        <w:rPr>
          <w:rFonts w:hint="eastAsia" w:hAnsi="宋体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基准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费率。</w:t>
      </w:r>
    </w:p>
    <w:p>
      <w:pPr>
        <w:spacing w:line="312" w:lineRule="auto"/>
        <w:rPr>
          <w:rFonts w:hint="eastAsia" w:hAnsi="宋体" w:eastAsia="宋体" w:cs="Arial"/>
          <w:b w:val="0"/>
          <w:bCs/>
          <w:color w:val="000000"/>
          <w:kern w:val="2"/>
          <w:sz w:val="21"/>
          <w:szCs w:val="21"/>
          <w:lang w:val="en-US" w:eastAsia="zh-CN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  <w:r>
        <w:rPr>
          <w:rFonts w:hint="eastAsia" w:hAnsi="宋体" w:cs="Arial"/>
          <w:bCs/>
          <w:color w:val="000000"/>
          <w:kern w:val="2"/>
          <w:sz w:val="21"/>
          <w:szCs w:val="21"/>
        </w:rPr>
        <w:t>1、等待期调整系数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80天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7</w:t>
            </w:r>
          </w:p>
        </w:tc>
      </w:tr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2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、客户健康评分调整系数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健康评分较高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健康评分较低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(1.0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1.1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健康评分很低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1.1,1.5]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3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、分期缴费方式调整系数</w:t>
      </w:r>
      <w:bookmarkEnd w:id="1"/>
      <w:r>
        <w:rPr>
          <w:rFonts w:hint="eastAsia" w:hAnsi="宋体" w:cs="Arial"/>
          <w:bCs/>
          <w:color w:val="000000"/>
          <w:kern w:val="2"/>
          <w:sz w:val="21"/>
          <w:szCs w:val="21"/>
          <w:lang w:bidi="ar"/>
        </w:rPr>
        <w:t xml:space="preserve">       </w:t>
      </w: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分期缴费方式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按年缴费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2"/>
    </w:tbl>
    <w:p>
      <w:pPr>
        <w:ind w:firstLine="210" w:firstLineChars="100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Ansi="宋体" w:cs="Arial"/>
          <w:bCs/>
          <w:color w:val="000000"/>
          <w:kern w:val="2"/>
          <w:sz w:val="21"/>
          <w:szCs w:val="21"/>
        </w:rPr>
        <w:t>4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</w:t>
      </w:r>
      <w:bookmarkStart w:id="3" w:name="OLE_LINK17"/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投保类型调整系数</w:t>
      </w:r>
      <w:bookmarkEnd w:id="3"/>
    </w:p>
    <w:tbl>
      <w:tblPr>
        <w:tblStyle w:val="8"/>
        <w:tblW w:w="5700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投保类型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新保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续保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[1.0,1.2]</w:t>
            </w:r>
          </w:p>
        </w:tc>
      </w:tr>
    </w:tbl>
    <w:p>
      <w:pPr>
        <w:spacing w:line="312" w:lineRule="auto"/>
        <w:rPr>
          <w:rFonts w:hAnsi="宋体" w:cs="宋体"/>
          <w:sz w:val="21"/>
          <w:szCs w:val="21"/>
        </w:rPr>
      </w:pPr>
    </w:p>
    <w:p>
      <w:pPr>
        <w:spacing w:line="312" w:lineRule="auto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5</w:t>
      </w:r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0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numPr>
          <w:ilvl w:val="-1"/>
          <w:numId w:val="0"/>
        </w:numPr>
        <w:spacing w:line="312" w:lineRule="auto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6、</w:t>
      </w:r>
      <w:r>
        <w:rPr>
          <w:rFonts w:hint="eastAsia" w:hAnsi="宋体" w:cs="Arial"/>
          <w:kern w:val="2"/>
          <w:sz w:val="21"/>
          <w:szCs w:val="21"/>
        </w:rPr>
        <w:t>渠道预估年度投保人数规模调整系数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7"/>
        <w:gridCol w:w="2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渠道预估年度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投保人数规模</w:t>
            </w:r>
          </w:p>
        </w:tc>
        <w:tc>
          <w:tcPr>
            <w:tcW w:w="2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0-5000人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2.0]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5001-10000人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1.0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10001-20000人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0.8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20000人以上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0.8]</w:t>
            </w:r>
          </w:p>
        </w:tc>
      </w:tr>
    </w:tbl>
    <w:p>
      <w:pPr>
        <w:numPr>
          <w:ilvl w:val="255"/>
          <w:numId w:val="0"/>
        </w:numPr>
        <w:spacing w:line="312" w:lineRule="auto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7、多险种投保数量系数</w:t>
      </w:r>
    </w:p>
    <w:tbl>
      <w:tblPr>
        <w:tblStyle w:val="8"/>
        <w:tblpPr w:leftFromText="180" w:rightFromText="180" w:vertAnchor="text" w:horzAnchor="page" w:tblpX="1943" w:tblpY="256"/>
        <w:tblOverlap w:val="never"/>
        <w:tblW w:w="7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906"/>
        <w:gridCol w:w="1906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多险种投保数量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1-2个（含）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3-5个（含）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5个以上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int="default" w:hAnsi="宋体" w:eastAsia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1.0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  <w:tc>
          <w:tcPr>
            <w:tcW w:w="1906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</w:t>
            </w:r>
          </w:p>
        </w:tc>
      </w:tr>
    </w:tbl>
    <w:p>
      <w:pPr>
        <w:numPr>
          <w:ilvl w:val="255"/>
          <w:numId w:val="0"/>
        </w:numPr>
        <w:spacing w:line="312" w:lineRule="auto"/>
        <w:rPr>
          <w:rFonts w:hAnsi="宋体" w:cs="Arial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numPr>
          <w:ilvl w:val="-1"/>
          <w:numId w:val="0"/>
        </w:numPr>
        <w:spacing w:after="156" w:afterLines="50" w:line="240" w:lineRule="auto"/>
        <w:ind w:firstLine="420" w:firstLineChars="200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 w:val="0"/>
          <w:bCs/>
          <w:color w:val="000000"/>
          <w:kern w:val="2"/>
          <w:sz w:val="21"/>
          <w:szCs w:val="21"/>
        </w:rPr>
        <w:t>注：</w:t>
      </w:r>
      <w:r>
        <w:rPr>
          <w:rFonts w:hint="eastAsia" w:hAnsi="宋体" w:cs="Arial"/>
          <w:bCs/>
          <w:kern w:val="2"/>
          <w:sz w:val="21"/>
          <w:szCs w:val="21"/>
        </w:rPr>
        <w:t>根据投保险种</w:t>
      </w:r>
      <w:r>
        <w:rPr>
          <w:rFonts w:hint="eastAsia" w:hAnsi="宋体" w:cs="Times New Roman"/>
          <w:bCs w:val="0"/>
          <w:kern w:val="0"/>
          <w:sz w:val="21"/>
          <w:szCs w:val="21"/>
        </w:rPr>
        <w:t>组合</w:t>
      </w:r>
      <w:r>
        <w:rPr>
          <w:rFonts w:hint="eastAsia" w:hAnsi="宋体" w:cs="Arial"/>
          <w:bCs/>
          <w:kern w:val="2"/>
          <w:sz w:val="21"/>
          <w:szCs w:val="21"/>
        </w:rPr>
        <w:t>数量及情况，投保险种组合数量越高则逆选择风险越低。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 xml:space="preserve">    </w:t>
      </w:r>
      <w:r>
        <w:rPr>
          <w:rFonts w:hAnsi="宋体" w:cs="Arial"/>
          <w:b w:val="0"/>
          <w:bCs/>
          <w:color w:val="000000"/>
          <w:kern w:val="2"/>
          <w:sz w:val="21"/>
          <w:szCs w:val="21"/>
        </w:rPr>
        <w:t>1</w:t>
      </w:r>
      <w:r>
        <w:rPr>
          <w:rFonts w:hint="eastAsia" w:hAnsi="宋体" w:cs="Arial"/>
          <w:b w:val="0"/>
          <w:bCs/>
          <w:color w:val="000000"/>
          <w:kern w:val="2"/>
          <w:sz w:val="21"/>
          <w:szCs w:val="21"/>
        </w:rPr>
        <w:t>、个人业务</w:t>
      </w:r>
    </w:p>
    <w:p>
      <w:pPr>
        <w:spacing w:line="312" w:lineRule="auto"/>
        <w:ind w:firstLine="420" w:firstLineChars="200"/>
        <w:rPr>
          <w:rFonts w:hAnsi="宋体" w:cs="Arial"/>
          <w:kern w:val="2"/>
          <w:sz w:val="21"/>
          <w:szCs w:val="21"/>
        </w:rPr>
      </w:pPr>
      <w:bookmarkStart w:id="4" w:name="_Hlk40970459"/>
      <w:r>
        <w:rPr>
          <w:rFonts w:hint="eastAsia" w:hAnsi="宋体" w:cs="Arial"/>
          <w:color w:val="000000"/>
          <w:kern w:val="2"/>
          <w:sz w:val="21"/>
          <w:szCs w:val="21"/>
        </w:rPr>
        <w:t>年保险费=年基准费率×保险金额×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客户健康评分调整系数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分期缴费方式调整系数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投保类型调整系数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</w:rPr>
        <w:t>渠道预估年度投保人数规模调整系数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</w:rPr>
        <w:t>多险种投保数量系数</w:t>
      </w:r>
    </w:p>
    <w:p>
      <w:pPr>
        <w:spacing w:line="312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每期保险费=年保险费/总分期期数</w:t>
      </w:r>
    </w:p>
    <w:p>
      <w:pPr>
        <w:numPr>
          <w:ilvl w:val="-1"/>
          <w:numId w:val="0"/>
        </w:numPr>
        <w:spacing w:line="312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  <w:lang w:val="en-US" w:eastAsia="zh-CN"/>
        </w:rPr>
        <w:t>2、</w:t>
      </w:r>
      <w:r>
        <w:rPr>
          <w:rFonts w:hint="eastAsia" w:hAnsi="宋体" w:cs="Arial"/>
          <w:kern w:val="2"/>
          <w:sz w:val="21"/>
          <w:szCs w:val="21"/>
        </w:rPr>
        <w:t>团体业务</w:t>
      </w:r>
    </w:p>
    <w:p>
      <w:pPr>
        <w:spacing w:line="312" w:lineRule="auto"/>
        <w:ind w:firstLine="420" w:firstLineChars="200"/>
        <w:rPr>
          <w:rFonts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每人年保险费=</w:t>
      </w:r>
      <w:r>
        <w:rPr>
          <w:rFonts w:hint="eastAsia" w:hAnsi="宋体" w:cs="Arial"/>
          <w:color w:val="000000"/>
          <w:kern w:val="2"/>
          <w:sz w:val="21"/>
          <w:szCs w:val="21"/>
        </w:rPr>
        <w:t>年基准费率×保险金额×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客户健康评分调整系数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分期缴费方式调整系数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投保类型调整系数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</w:rPr>
        <w:t>渠道预估年度投保人数规模调整系数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kern w:val="2"/>
          <w:sz w:val="21"/>
          <w:szCs w:val="21"/>
        </w:rPr>
        <w:t>多险种投保数量系数</w:t>
      </w:r>
    </w:p>
    <w:p>
      <w:pPr>
        <w:numPr>
          <w:ilvl w:val="255"/>
          <w:numId w:val="0"/>
        </w:numPr>
        <w:spacing w:line="312" w:lineRule="auto"/>
        <w:ind w:firstLine="0" w:firstLineChars="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 xml:space="preserve">    总保险费=每人年保险费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×投保人数</w:t>
      </w:r>
    </w:p>
    <w:p>
      <w:pPr>
        <w:numPr>
          <w:ilvl w:val="255"/>
          <w:numId w:val="0"/>
        </w:numPr>
        <w:spacing w:line="312" w:lineRule="auto"/>
        <w:ind w:firstLine="0" w:firstLineChars="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 xml:space="preserve">    每人每期保险费=</w:t>
      </w:r>
      <w:r>
        <w:rPr>
          <w:rFonts w:hint="eastAsia" w:hAnsi="宋体" w:cs="Arial"/>
          <w:kern w:val="2"/>
          <w:sz w:val="21"/>
          <w:szCs w:val="21"/>
        </w:rPr>
        <w:t>每人年保险费/总分期期数</w:t>
      </w:r>
    </w:p>
    <w:p>
      <w:pPr>
        <w:spacing w:line="312" w:lineRule="auto"/>
        <w:ind w:firstLine="420" w:firstLineChars="20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每期总保险费=每人每期保险费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×投保人数</w:t>
      </w:r>
    </w:p>
    <w:p>
      <w:pPr>
        <w:spacing w:line="312" w:lineRule="auto"/>
        <w:ind w:firstLine="420" w:firstLineChars="200"/>
        <w:rPr>
          <w:rFonts w:hint="eastAsia" w:hAnsi="宋体" w:cs="Arial"/>
          <w:kern w:val="2"/>
          <w:sz w:val="21"/>
          <w:szCs w:val="21"/>
        </w:rPr>
      </w:pPr>
      <w:r>
        <w:rPr>
          <w:rFonts w:hint="eastAsia" w:hAnsi="宋体" w:cs="Arial"/>
          <w:kern w:val="2"/>
          <w:sz w:val="21"/>
          <w:szCs w:val="21"/>
        </w:rPr>
        <w:t>注：本产品涉及分期缴费，每期缴费金额一致。</w:t>
      </w:r>
    </w:p>
    <w:bookmarkEnd w:id="4"/>
    <w:p>
      <w:pPr>
        <w:spacing w:after="156" w:afterLines="50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bookmarkStart w:id="5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5"/>
    </w:tbl>
    <w:p>
      <w:pPr>
        <w:spacing w:line="312" w:lineRule="auto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009D2EA9"/>
    <w:rsid w:val="00007B49"/>
    <w:rsid w:val="001436B8"/>
    <w:rsid w:val="00181006"/>
    <w:rsid w:val="001968FE"/>
    <w:rsid w:val="001976C7"/>
    <w:rsid w:val="001E00C1"/>
    <w:rsid w:val="00231530"/>
    <w:rsid w:val="002C3D26"/>
    <w:rsid w:val="003E53F1"/>
    <w:rsid w:val="004855B0"/>
    <w:rsid w:val="004A56DF"/>
    <w:rsid w:val="004B606B"/>
    <w:rsid w:val="00513C05"/>
    <w:rsid w:val="005A1F73"/>
    <w:rsid w:val="00626A7B"/>
    <w:rsid w:val="00626BCA"/>
    <w:rsid w:val="006D7A85"/>
    <w:rsid w:val="009D2EA9"/>
    <w:rsid w:val="00A60003"/>
    <w:rsid w:val="00B64D2C"/>
    <w:rsid w:val="00B94853"/>
    <w:rsid w:val="00BF42BB"/>
    <w:rsid w:val="00C006C5"/>
    <w:rsid w:val="00C3789F"/>
    <w:rsid w:val="00C72105"/>
    <w:rsid w:val="00C87FB9"/>
    <w:rsid w:val="00CC5E2A"/>
    <w:rsid w:val="00D1080D"/>
    <w:rsid w:val="00D925DE"/>
    <w:rsid w:val="00E265A2"/>
    <w:rsid w:val="00ED5725"/>
    <w:rsid w:val="00F0565D"/>
    <w:rsid w:val="00F75AFB"/>
    <w:rsid w:val="00F80177"/>
    <w:rsid w:val="00FE1113"/>
    <w:rsid w:val="021B3004"/>
    <w:rsid w:val="03690011"/>
    <w:rsid w:val="04060867"/>
    <w:rsid w:val="04203ED0"/>
    <w:rsid w:val="04225EA6"/>
    <w:rsid w:val="04413E9A"/>
    <w:rsid w:val="05AA1B80"/>
    <w:rsid w:val="05EB7128"/>
    <w:rsid w:val="068F6EE3"/>
    <w:rsid w:val="08DD1BE6"/>
    <w:rsid w:val="0A221BD4"/>
    <w:rsid w:val="0B7117B3"/>
    <w:rsid w:val="0BCD25F3"/>
    <w:rsid w:val="0C52166D"/>
    <w:rsid w:val="0CB24058"/>
    <w:rsid w:val="0E893F9F"/>
    <w:rsid w:val="0FAA7E32"/>
    <w:rsid w:val="10CF2614"/>
    <w:rsid w:val="1195219F"/>
    <w:rsid w:val="12B173A4"/>
    <w:rsid w:val="132058E6"/>
    <w:rsid w:val="159D7AC9"/>
    <w:rsid w:val="16A955FC"/>
    <w:rsid w:val="1710427C"/>
    <w:rsid w:val="1AF052BF"/>
    <w:rsid w:val="1B3A2260"/>
    <w:rsid w:val="205224C9"/>
    <w:rsid w:val="210E4263"/>
    <w:rsid w:val="22F16524"/>
    <w:rsid w:val="27224CC1"/>
    <w:rsid w:val="297214C3"/>
    <w:rsid w:val="2A2345B4"/>
    <w:rsid w:val="2E10227E"/>
    <w:rsid w:val="2F3F6B2C"/>
    <w:rsid w:val="30473A49"/>
    <w:rsid w:val="321E67BC"/>
    <w:rsid w:val="33736B8B"/>
    <w:rsid w:val="34280D47"/>
    <w:rsid w:val="3677747B"/>
    <w:rsid w:val="37A27960"/>
    <w:rsid w:val="383131CA"/>
    <w:rsid w:val="38EB7498"/>
    <w:rsid w:val="405C3F5C"/>
    <w:rsid w:val="416F4C32"/>
    <w:rsid w:val="424970AE"/>
    <w:rsid w:val="42D74C54"/>
    <w:rsid w:val="433108D4"/>
    <w:rsid w:val="45A65744"/>
    <w:rsid w:val="4ABB58F0"/>
    <w:rsid w:val="4AE44EBC"/>
    <w:rsid w:val="4B9A1072"/>
    <w:rsid w:val="4D2772C7"/>
    <w:rsid w:val="4FF544AE"/>
    <w:rsid w:val="52F4325B"/>
    <w:rsid w:val="54047BE2"/>
    <w:rsid w:val="572E11A9"/>
    <w:rsid w:val="582C2F3B"/>
    <w:rsid w:val="5A8F14F9"/>
    <w:rsid w:val="5BE43503"/>
    <w:rsid w:val="5CB63D34"/>
    <w:rsid w:val="5DD15A31"/>
    <w:rsid w:val="5F226459"/>
    <w:rsid w:val="61D6330C"/>
    <w:rsid w:val="633F7E95"/>
    <w:rsid w:val="66227D5D"/>
    <w:rsid w:val="694864B2"/>
    <w:rsid w:val="6A2854B4"/>
    <w:rsid w:val="6F820641"/>
    <w:rsid w:val="70593490"/>
    <w:rsid w:val="72DE779D"/>
    <w:rsid w:val="74A03E02"/>
    <w:rsid w:val="74A45394"/>
    <w:rsid w:val="758F2146"/>
    <w:rsid w:val="759A7160"/>
    <w:rsid w:val="75B96B45"/>
    <w:rsid w:val="78F56986"/>
    <w:rsid w:val="799D4BAC"/>
    <w:rsid w:val="7A4424DD"/>
    <w:rsid w:val="7B9E1839"/>
    <w:rsid w:val="7F11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866</Words>
  <Characters>1135</Characters>
  <Lines>14</Lines>
  <Paragraphs>4</Paragraphs>
  <TotalTime>222</TotalTime>
  <ScaleCrop>false</ScaleCrop>
  <LinksUpToDate>false</LinksUpToDate>
  <CharactersWithSpaces>1156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Zixuan Shen</cp:lastModifiedBy>
  <dcterms:modified xsi:type="dcterms:W3CDTF">2022-05-05T07:15:19Z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5D20EC7A73C3408F8D83260C1EF8F5B2</vt:lpwstr>
  </property>
  <property fmtid="{D5CDD505-2E9C-101B-9397-08002B2CF9AE}" pid="4" name="commondata">
    <vt:lpwstr>eyJoZGlkIjoiMDRiMmE0ZjljZDExM2YyODdkMDQ1ZGRhYjY0YmQ5MmQifQ==</vt:lpwstr>
  </property>
</Properties>
</file>