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bookmarkStart w:id="1" w:name="_GoBack"/>
      <w:bookmarkEnd w:id="1"/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华农财产保险股份有限公司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附加少儿重大疾病医疗保险费率表（互联网专属）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spacing w:line="312" w:lineRule="auto"/>
        <w:rPr>
          <w:rFonts w:hAnsi="宋体" w:cs="Arial"/>
          <w:b/>
          <w:color w:val="000000"/>
          <w:szCs w:val="21"/>
        </w:rPr>
      </w:pPr>
      <w:r>
        <w:rPr>
          <w:rFonts w:hint="eastAsia" w:hAnsi="宋体" w:cs="Arial"/>
          <w:b/>
          <w:color w:val="000000"/>
          <w:szCs w:val="21"/>
        </w:rPr>
        <w:t>一、年基准费率</w:t>
      </w:r>
    </w:p>
    <w:p>
      <w:pPr>
        <w:adjustRightInd w:val="0"/>
        <w:snapToGrid w:val="0"/>
        <w:spacing w:after="156" w:afterLines="50" w:line="360" w:lineRule="auto"/>
        <w:ind w:firstLine="420" w:firstLineChars="200"/>
        <w:jc w:val="left"/>
        <w:rPr>
          <w:rFonts w:cs="Times New Roman" w:asciiTheme="minorEastAsia" w:hAnsiTheme="minorEastAsia" w:eastAsiaTheme="minorEastAsia"/>
          <w:b w:val="0"/>
          <w:sz w:val="21"/>
          <w:szCs w:val="21"/>
        </w:rPr>
      </w:pPr>
      <w:r>
        <w:rPr>
          <w:rFonts w:cs="Times New Roman" w:asciiTheme="minorEastAsia" w:hAnsiTheme="minorEastAsia" w:eastAsiaTheme="minorEastAsia"/>
          <w:b w:val="0"/>
          <w:sz w:val="21"/>
          <w:szCs w:val="21"/>
        </w:rPr>
        <w:t>1、</w:t>
      </w:r>
      <w:r>
        <w:rPr>
          <w:rFonts w:hint="eastAsia" w:cs="Times New Roman" w:asciiTheme="minorEastAsia" w:hAnsiTheme="minorEastAsia" w:eastAsiaTheme="minorEastAsia"/>
          <w:b w:val="0"/>
          <w:sz w:val="21"/>
          <w:szCs w:val="21"/>
        </w:rPr>
        <w:t>基准赔偿标准</w:t>
      </w:r>
    </w:p>
    <w:p>
      <w:pPr>
        <w:adjustRightInd w:val="0"/>
        <w:snapToGrid w:val="0"/>
        <w:spacing w:after="156" w:afterLines="50" w:line="360" w:lineRule="auto"/>
        <w:ind w:firstLine="420" w:firstLineChars="200"/>
        <w:jc w:val="left"/>
        <w:rPr>
          <w:rFonts w:hint="eastAsia" w:cs="Times New Roman" w:asciiTheme="minorEastAsia" w:hAnsiTheme="minorEastAsia" w:eastAsiaTheme="minorEastAsia"/>
          <w:b w:val="0"/>
          <w:sz w:val="21"/>
          <w:szCs w:val="21"/>
          <w:lang w:eastAsia="zh-CN"/>
        </w:rPr>
      </w:pPr>
      <w:r>
        <w:rPr>
          <w:rFonts w:hint="eastAsia" w:cs="Times New Roman" w:asciiTheme="minorEastAsia" w:hAnsiTheme="minorEastAsia"/>
          <w:szCs w:val="21"/>
        </w:rPr>
        <w:t>（1）</w:t>
      </w:r>
      <w:r>
        <w:rPr>
          <w:rFonts w:hint="eastAsia" w:cs="Times New Roman" w:asciiTheme="minorEastAsia" w:hAnsiTheme="minorEastAsia" w:eastAsiaTheme="minorEastAsia"/>
          <w:b w:val="0"/>
          <w:sz w:val="21"/>
          <w:szCs w:val="21"/>
        </w:rPr>
        <w:t>免赔额：</w:t>
      </w:r>
      <w:r>
        <w:rPr>
          <w:rFonts w:cs="Times New Roman" w:asciiTheme="minorEastAsia" w:hAnsiTheme="minorEastAsia" w:eastAsiaTheme="minorEastAsia"/>
          <w:b w:val="0"/>
          <w:sz w:val="21"/>
          <w:szCs w:val="21"/>
        </w:rPr>
        <w:t>0元</w:t>
      </w:r>
      <w:r>
        <w:rPr>
          <w:rFonts w:hint="eastAsia" w:cs="Times New Roman" w:asciiTheme="minorEastAsia" w:hAnsiTheme="minorEastAsia"/>
          <w:b w:val="0"/>
          <w:sz w:val="21"/>
          <w:szCs w:val="21"/>
          <w:lang w:eastAsia="zh-CN"/>
        </w:rPr>
        <w:t>。</w:t>
      </w:r>
    </w:p>
    <w:p>
      <w:pPr>
        <w:adjustRightInd w:val="0"/>
        <w:snapToGrid w:val="0"/>
        <w:spacing w:after="156" w:afterLines="50" w:line="360" w:lineRule="auto"/>
        <w:ind w:firstLine="420" w:firstLineChars="200"/>
        <w:jc w:val="left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>（2）</w:t>
      </w:r>
      <w:r>
        <w:rPr>
          <w:rFonts w:hint="eastAsia" w:cs="Times New Roman" w:asciiTheme="minorEastAsia" w:hAnsiTheme="minorEastAsia" w:eastAsiaTheme="minorEastAsia"/>
          <w:b w:val="0"/>
          <w:sz w:val="21"/>
          <w:szCs w:val="21"/>
        </w:rPr>
        <w:t>赔付比例：</w:t>
      </w:r>
      <w:r>
        <w:rPr>
          <w:rFonts w:hint="eastAsia" w:cs="Times New Roman" w:asciiTheme="minorEastAsia" w:hAnsiTheme="minorEastAsia"/>
          <w:b w:val="0"/>
          <w:bCs w:val="0"/>
          <w:szCs w:val="21"/>
        </w:rPr>
        <w:t>若被保险人</w:t>
      </w:r>
      <w:r>
        <w:rPr>
          <w:rFonts w:hint="eastAsia" w:asciiTheme="minorEastAsia" w:hAnsiTheme="minorEastAsia"/>
          <w:b w:val="0"/>
          <w:bCs/>
          <w:szCs w:val="21"/>
        </w:rPr>
        <w:t>已从基本医疗保险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>或</w:t>
      </w:r>
      <w:r>
        <w:rPr>
          <w:rFonts w:hint="eastAsia" w:asciiTheme="minorEastAsia" w:hAnsiTheme="minorEastAsia"/>
          <w:b w:val="0"/>
          <w:bCs/>
          <w:szCs w:val="21"/>
        </w:rPr>
        <w:t>公费医疗获得费用补偿</w:t>
      </w:r>
      <w:r>
        <w:rPr>
          <w:rFonts w:hint="eastAsia" w:cs="Times New Roman" w:asciiTheme="minorEastAsia" w:hAnsiTheme="minorEastAsia"/>
          <w:b w:val="0"/>
          <w:bCs w:val="0"/>
          <w:szCs w:val="21"/>
        </w:rPr>
        <w:t>，赔付比例为100%；若被保险人</w:t>
      </w:r>
      <w:r>
        <w:rPr>
          <w:rFonts w:hint="eastAsia" w:asciiTheme="minorEastAsia" w:hAnsiTheme="minorEastAsia"/>
          <w:b w:val="0"/>
          <w:bCs/>
          <w:szCs w:val="21"/>
        </w:rPr>
        <w:t>未从基本医疗保险</w:t>
      </w:r>
      <w:r>
        <w:rPr>
          <w:rFonts w:hint="eastAsia" w:asciiTheme="minorEastAsia" w:hAnsiTheme="minorEastAsia"/>
          <w:b w:val="0"/>
          <w:bCs/>
          <w:szCs w:val="21"/>
          <w:lang w:val="en-US" w:eastAsia="zh-CN"/>
        </w:rPr>
        <w:t>或</w:t>
      </w:r>
      <w:r>
        <w:rPr>
          <w:rFonts w:hint="eastAsia" w:asciiTheme="minorEastAsia" w:hAnsiTheme="minorEastAsia"/>
          <w:b w:val="0"/>
          <w:bCs/>
          <w:szCs w:val="21"/>
        </w:rPr>
        <w:t>公费医疗获得费用补偿</w:t>
      </w:r>
      <w:r>
        <w:rPr>
          <w:rFonts w:hint="eastAsia" w:cs="Times New Roman" w:asciiTheme="minorEastAsia" w:hAnsiTheme="minorEastAsia"/>
          <w:b w:val="0"/>
          <w:bCs w:val="0"/>
          <w:szCs w:val="21"/>
        </w:rPr>
        <w:t>，赔付比例为60%。</w:t>
      </w:r>
    </w:p>
    <w:p>
      <w:pPr>
        <w:adjustRightInd w:val="0"/>
        <w:snapToGrid w:val="0"/>
        <w:spacing w:after="156" w:afterLines="50" w:line="360" w:lineRule="auto"/>
        <w:ind w:firstLine="420" w:firstLineChars="200"/>
        <w:jc w:val="left"/>
        <w:rPr>
          <w:rFonts w:hint="eastAsia" w:cs="Times New Roman" w:asciiTheme="minorEastAsia" w:hAnsiTheme="minorEastAsia" w:eastAsiaTheme="minorEastAsia"/>
          <w:b w:val="0"/>
          <w:bCs w:val="0"/>
          <w:szCs w:val="21"/>
          <w:lang w:eastAsia="zh-CN"/>
        </w:rPr>
      </w:pPr>
      <w:r>
        <w:rPr>
          <w:rFonts w:hint="eastAsia" w:cs="Times New Roman" w:asciiTheme="minorEastAsia" w:hAnsiTheme="minorEastAsia"/>
          <w:szCs w:val="21"/>
        </w:rPr>
        <w:t>（3）基准保额：20万元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adjustRightInd w:val="0"/>
        <w:snapToGrid w:val="0"/>
        <w:spacing w:after="156" w:afterLines="50" w:line="360" w:lineRule="auto"/>
        <w:ind w:firstLine="420" w:firstLineChars="200"/>
        <w:jc w:val="left"/>
        <w:rPr>
          <w:rFonts w:cs="Times New Roman" w:asciiTheme="minorEastAsia" w:hAnsiTheme="minorEastAsia"/>
          <w:b w:val="0"/>
          <w:bCs w:val="0"/>
          <w:szCs w:val="21"/>
        </w:rPr>
      </w:pPr>
      <w:r>
        <w:rPr>
          <w:rFonts w:cs="Times New Roman" w:asciiTheme="minorEastAsia" w:hAnsiTheme="minorEastAsia"/>
          <w:b w:val="0"/>
          <w:bCs w:val="0"/>
          <w:szCs w:val="21"/>
        </w:rPr>
        <w:t>2</w:t>
      </w:r>
      <w:r>
        <w:rPr>
          <w:rFonts w:hint="eastAsia" w:cs="Times New Roman" w:asciiTheme="minorEastAsia" w:hAnsiTheme="minorEastAsia"/>
          <w:b w:val="0"/>
          <w:bCs w:val="0"/>
          <w:szCs w:val="21"/>
        </w:rPr>
        <w:t>、年基准</w:t>
      </w:r>
      <w:r>
        <w:rPr>
          <w:rFonts w:hint="eastAsia" w:cs="Times New Roman" w:asciiTheme="minorEastAsia" w:hAnsiTheme="minorEastAsia"/>
          <w:szCs w:val="21"/>
        </w:rPr>
        <w:t>保费（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单位：</w:t>
      </w:r>
      <w:r>
        <w:rPr>
          <w:rFonts w:hint="eastAsia" w:cs="Times New Roman" w:asciiTheme="minorEastAsia" w:hAnsiTheme="minorEastAsia"/>
          <w:szCs w:val="21"/>
        </w:rPr>
        <w:t>元）</w:t>
      </w:r>
    </w:p>
    <w:tbl>
      <w:tblPr>
        <w:tblStyle w:val="5"/>
        <w:tblW w:w="48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25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个人业务</w:t>
            </w:r>
          </w:p>
        </w:tc>
        <w:tc>
          <w:tcPr>
            <w:tcW w:w="254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团体业务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3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hAnsi="宋体" w:cs="Arial" w:eastAsiaTheme="minorEastAsia"/>
                <w:szCs w:val="21"/>
                <w:lang w:eastAsia="zh-CN" w:bidi="ar"/>
              </w:rPr>
            </w:pPr>
            <w:r>
              <w:rPr>
                <w:rFonts w:hint="eastAsia" w:hAnsi="宋体" w:cs="Arial"/>
                <w:szCs w:val="21"/>
                <w:lang w:bidi="ar"/>
              </w:rPr>
              <w:t>1</w:t>
            </w:r>
            <w:r>
              <w:rPr>
                <w:rFonts w:hint="eastAsia" w:hAnsi="宋体" w:cs="Arial"/>
                <w:szCs w:val="21"/>
                <w:lang w:val="en-US" w:eastAsia="zh-CN" w:bidi="ar"/>
              </w:rPr>
              <w:t>7</w:t>
            </w:r>
          </w:p>
        </w:tc>
        <w:tc>
          <w:tcPr>
            <w:tcW w:w="2545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default" w:hAnsi="宋体" w:cs="Arial"/>
                <w:szCs w:val="21"/>
                <w:lang w:val="en-US" w:bidi="ar"/>
              </w:rPr>
            </w:pPr>
            <w:r>
              <w:rPr>
                <w:rFonts w:hint="eastAsia" w:hAnsi="宋体" w:cs="Arial"/>
                <w:szCs w:val="21"/>
                <w:lang w:val="en-US" w:eastAsia="zh-CN" w:bidi="ar"/>
              </w:rPr>
              <w:t>15</w:t>
            </w:r>
          </w:p>
        </w:tc>
      </w:tr>
    </w:tbl>
    <w:p>
      <w:pPr>
        <w:pStyle w:val="11"/>
        <w:spacing w:after="156" w:afterLines="50"/>
        <w:ind w:left="0" w:leftChars="0" w:firstLine="0" w:firstLineChars="0"/>
        <w:jc w:val="center"/>
        <w:outlineLvl w:val="1"/>
        <w:rPr>
          <w:rFonts w:ascii="宋体" w:hAnsi="宋体"/>
          <w:b/>
          <w:sz w:val="28"/>
        </w:rPr>
      </w:pPr>
    </w:p>
    <w:p>
      <w:pPr>
        <w:spacing w:line="312" w:lineRule="auto"/>
        <w:rPr>
          <w:rFonts w:hAnsi="宋体"/>
          <w:b/>
        </w:rPr>
      </w:pPr>
      <w:r>
        <w:rPr>
          <w:rFonts w:hint="eastAsia" w:hAnsi="宋体"/>
          <w:b/>
        </w:rPr>
        <w:t>二、调整系数</w:t>
      </w:r>
    </w:p>
    <w:p>
      <w:pPr>
        <w:spacing w:line="312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1.免赔额调整系数</w:t>
      </w:r>
    </w:p>
    <w:tbl>
      <w:tblPr>
        <w:tblStyle w:val="5"/>
        <w:tblW w:w="35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14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免赔额（元）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0-1万（含）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[0.9,1.0]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1万-2万（含）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[0.85,0.9)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2万-5万（含）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[0.8,0.85)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5万-10万（含）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</w:rPr>
              <w:t>0.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10万以上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[0.2,0.5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</w:tc>
      </w:tr>
    </w:tbl>
    <w:p>
      <w:pPr>
        <w:spacing w:line="312" w:lineRule="auto"/>
        <w:ind w:firstLine="420" w:firstLineChars="200"/>
        <w:rPr>
          <w:rFonts w:hAnsi="宋体"/>
        </w:rPr>
      </w:pPr>
    </w:p>
    <w:p>
      <w:pPr>
        <w:numPr>
          <w:ilvl w:val="255"/>
          <w:numId w:val="0"/>
        </w:numPr>
        <w:spacing w:line="312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2.每一被保险人的保险金额调整系数</w:t>
      </w:r>
    </w:p>
    <w:tbl>
      <w:tblPr>
        <w:tblStyle w:val="5"/>
        <w:tblW w:w="41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1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2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每一被保险人的保险金额（元）</w:t>
            </w:r>
          </w:p>
        </w:tc>
        <w:tc>
          <w:tcPr>
            <w:tcW w:w="1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5万-10万（含）</w:t>
            </w:r>
          </w:p>
        </w:tc>
        <w:tc>
          <w:tcPr>
            <w:tcW w:w="1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</w:rPr>
              <w:t>0.</w:t>
            </w:r>
            <w:r>
              <w:rPr>
                <w:rFonts w:hint="eastAsia" w:ascii="宋体" w:hAnsi="宋体" w:eastAsia="宋体" w:cs="宋体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,0.8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2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10万-20万（含）</w:t>
            </w:r>
          </w:p>
        </w:tc>
        <w:tc>
          <w:tcPr>
            <w:tcW w:w="1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</w:rPr>
              <w:t>0.8,</w:t>
            </w:r>
            <w:r>
              <w:rPr>
                <w:rFonts w:hint="eastAsia" w:ascii="宋体" w:hAnsi="宋体" w:eastAsia="宋体" w:cs="宋体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2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20万-50万（含）</w:t>
            </w:r>
          </w:p>
        </w:tc>
        <w:tc>
          <w:tcPr>
            <w:tcW w:w="1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宋体" w:hAnsi="宋体" w:eastAsia="宋体" w:cs="宋体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</w:t>
            </w:r>
            <w:r>
              <w:rPr>
                <w:rFonts w:hint="eastAsia" w:ascii="宋体" w:hAnsi="宋体" w:eastAsia="宋体" w:cs="宋体"/>
              </w:rPr>
              <w:t>,1</w:t>
            </w:r>
            <w:r>
              <w:rPr>
                <w:rFonts w:hint="eastAsia" w:ascii="宋体" w:hAnsi="宋体" w:eastAsia="宋体" w:cs="宋体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2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50-100万（含）</w:t>
            </w:r>
          </w:p>
        </w:tc>
        <w:tc>
          <w:tcPr>
            <w:tcW w:w="1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（1.</w:t>
            </w:r>
            <w:r>
              <w:rPr>
                <w:rFonts w:hint="eastAsia" w:ascii="宋体" w:hAnsi="宋体" w:eastAsia="宋体" w:cs="宋体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,2.0]</w:t>
            </w:r>
          </w:p>
        </w:tc>
      </w:tr>
    </w:tbl>
    <w:p>
      <w:pPr>
        <w:numPr>
          <w:ilvl w:val="255"/>
          <w:numId w:val="0"/>
        </w:numPr>
        <w:spacing w:line="312" w:lineRule="auto"/>
        <w:ind w:firstLine="0" w:firstLineChars="0"/>
        <w:rPr>
          <w:rFonts w:hAnsi="宋体"/>
        </w:rPr>
      </w:pPr>
    </w:p>
    <w:p>
      <w:pPr>
        <w:numPr>
          <w:ilvl w:val="255"/>
          <w:numId w:val="0"/>
        </w:numPr>
        <w:spacing w:line="312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3.赔付比例调整系数</w:t>
      </w:r>
    </w:p>
    <w:tbl>
      <w:tblPr>
        <w:tblStyle w:val="5"/>
        <w:tblW w:w="45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2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赔付比例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/>
                <w:b/>
                <w:bCs/>
              </w:rPr>
            </w:pPr>
            <w:r>
              <w:rPr>
                <w:rFonts w:hint="eastAsia" w:hAnsi="宋体"/>
                <w:b/>
                <w:bCs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60%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70%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80%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90%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5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1.0</w:t>
            </w:r>
          </w:p>
        </w:tc>
      </w:tr>
    </w:tbl>
    <w:p>
      <w:pPr>
        <w:numPr>
          <w:ilvl w:val="255"/>
          <w:numId w:val="0"/>
        </w:numPr>
        <w:spacing w:line="312" w:lineRule="auto"/>
        <w:ind w:firstLine="0" w:firstLineChars="0"/>
        <w:rPr>
          <w:rFonts w:hAnsi="宋体"/>
        </w:rPr>
      </w:pPr>
    </w:p>
    <w:p>
      <w:pPr>
        <w:spacing w:line="312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4.历史赔付率调整系数</w:t>
      </w:r>
    </w:p>
    <w:tbl>
      <w:tblPr>
        <w:tblStyle w:val="5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/>
                <w:bCs w:val="0"/>
                <w:szCs w:val="21"/>
              </w:rPr>
            </w:pPr>
            <w:r>
              <w:rPr>
                <w:rFonts w:hint="eastAsia" w:hAnsi="宋体" w:cs="宋体"/>
                <w:b/>
                <w:bCs w:val="0"/>
                <w:szCs w:val="21"/>
              </w:rPr>
              <w:t>预期</w:t>
            </w:r>
            <w:r>
              <w:rPr>
                <w:rFonts w:hAnsi="宋体" w:cs="宋体"/>
                <w:b/>
                <w:bCs w:val="0"/>
                <w:szCs w:val="21"/>
              </w:rPr>
              <w:t>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/>
                <w:bCs w:val="0"/>
                <w:szCs w:val="21"/>
              </w:rPr>
            </w:pPr>
            <w:r>
              <w:rPr>
                <w:rFonts w:hint="eastAsia" w:hAnsi="宋体" w:cs="宋体"/>
                <w:b/>
                <w:bCs w:val="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spacing w:line="288" w:lineRule="auto"/>
        <w:ind w:firstLine="421"/>
        <w:rPr>
          <w:rFonts w:hAnsi="宋体"/>
          <w:lang w:bidi="ar"/>
        </w:rPr>
      </w:pPr>
    </w:p>
    <w:p>
      <w:pPr>
        <w:spacing w:line="288" w:lineRule="auto"/>
        <w:ind w:firstLine="421"/>
        <w:rPr>
          <w:rFonts w:hAnsi="宋体"/>
          <w:lang w:bidi="ar"/>
        </w:rPr>
      </w:pPr>
      <w:r>
        <w:rPr>
          <w:rFonts w:hint="eastAsia" w:hAnsi="宋体"/>
          <w:lang w:bidi="ar"/>
        </w:rPr>
        <w:t>5.等待期调整系数</w:t>
      </w:r>
    </w:p>
    <w:tbl>
      <w:tblPr>
        <w:tblStyle w:val="6"/>
        <w:tblW w:w="4678" w:type="dxa"/>
        <w:tblInd w:w="19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3"/>
        <w:gridCol w:w="2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Ansi="宋体" w:cs="Arial"/>
                <w:b/>
                <w:bCs w:val="0"/>
                <w:color w:val="000000"/>
                <w:szCs w:val="21"/>
              </w:rPr>
            </w:pPr>
            <w:r>
              <w:rPr>
                <w:rFonts w:hint="eastAsia" w:hAnsi="宋体" w:cs="Arial"/>
                <w:b/>
                <w:bCs w:val="0"/>
                <w:color w:val="000000"/>
                <w:szCs w:val="21"/>
              </w:rPr>
              <w:t>等待期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Ansi="宋体" w:cs="Arial"/>
                <w:b/>
                <w:bCs w:val="0"/>
                <w:color w:val="000000"/>
                <w:szCs w:val="21"/>
              </w:rPr>
            </w:pPr>
            <w:r>
              <w:rPr>
                <w:rFonts w:hint="eastAsia" w:hAnsi="宋体" w:cs="Arial"/>
                <w:b/>
                <w:bCs w:val="0"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30天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60天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90天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120天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150天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313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180天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0.7</w:t>
            </w:r>
          </w:p>
        </w:tc>
      </w:tr>
    </w:tbl>
    <w:p>
      <w:pPr>
        <w:numPr>
          <w:ilvl w:val="255"/>
          <w:numId w:val="0"/>
        </w:numPr>
        <w:ind w:firstLine="630" w:firstLineChars="300"/>
        <w:rPr>
          <w:rFonts w:hAnsi="宋体" w:cs="Arial"/>
          <w:bCs/>
          <w:color w:val="000000"/>
          <w:szCs w:val="21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szCs w:val="21"/>
          <w:lang w:bidi="ar"/>
        </w:rPr>
      </w:pPr>
      <w:r>
        <w:rPr>
          <w:rFonts w:hint="eastAsia" w:hAnsi="宋体" w:cs="Arial"/>
          <w:bCs/>
          <w:color w:val="000000"/>
          <w:szCs w:val="21"/>
        </w:rPr>
        <w:t>6.缴费方式调整系数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szCs w:val="21"/>
          <w:lang w:bidi="ar"/>
        </w:rPr>
      </w:pPr>
    </w:p>
    <w:tbl>
      <w:tblPr>
        <w:tblStyle w:val="5"/>
        <w:tblW w:w="4649" w:type="dxa"/>
        <w:tblInd w:w="19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50" w:type="dxa"/>
          </w:tcPr>
          <w:p>
            <w:pPr>
              <w:jc w:val="center"/>
              <w:rPr>
                <w:rFonts w:hAnsi="宋体" w:cs="Arial"/>
                <w:b/>
                <w:bCs w:val="0"/>
                <w:color w:val="000000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/>
                <w:bCs w:val="0"/>
                <w:color w:val="000000"/>
                <w:szCs w:val="21"/>
                <w:lang w:bidi="ar"/>
              </w:rPr>
              <w:t>分期缴费方式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Ansi="宋体" w:cs="Arial"/>
                <w:b/>
                <w:bCs w:val="0"/>
                <w:color w:val="000000"/>
                <w:szCs w:val="21"/>
                <w:lang w:bidi="ar"/>
              </w:rPr>
            </w:pPr>
            <w:r>
              <w:rPr>
                <w:rFonts w:hint="eastAsia" w:hAnsi="宋体" w:cs="Arial"/>
                <w:b/>
                <w:bCs w:val="0"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50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350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50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按年缴费</w:t>
            </w:r>
          </w:p>
        </w:tc>
        <w:tc>
          <w:tcPr>
            <w:tcW w:w="2299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[0.95,1.0]</w:t>
            </w:r>
          </w:p>
        </w:tc>
      </w:tr>
      <w:bookmarkEnd w:id="0"/>
    </w:tbl>
    <w:p>
      <w:pPr>
        <w:numPr>
          <w:ilvl w:val="255"/>
          <w:numId w:val="0"/>
        </w:numPr>
        <w:spacing w:line="312" w:lineRule="auto"/>
        <w:ind w:firstLine="420" w:firstLineChars="200"/>
        <w:rPr>
          <w:rFonts w:hAnsi="宋体" w:cs="Arial"/>
          <w:bCs/>
          <w:color w:val="000000"/>
          <w:szCs w:val="21"/>
        </w:rPr>
      </w:pPr>
    </w:p>
    <w:p>
      <w:pPr>
        <w:numPr>
          <w:ilvl w:val="255"/>
          <w:numId w:val="0"/>
        </w:numPr>
        <w:spacing w:line="312" w:lineRule="auto"/>
        <w:ind w:firstLine="420" w:firstLineChars="200"/>
        <w:rPr>
          <w:rFonts w:hAnsi="宋体" w:cs="Arial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7.</w:t>
      </w:r>
      <w:r>
        <w:rPr>
          <w:rFonts w:hint="eastAsia" w:hAnsi="宋体" w:cs="Arial"/>
          <w:szCs w:val="21"/>
        </w:rPr>
        <w:t>渠道预估年度投保人数规模调整系数</w:t>
      </w:r>
    </w:p>
    <w:tbl>
      <w:tblPr>
        <w:tblStyle w:val="5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eastAsia="宋体" w:cs="宋体"/>
                <w:b/>
                <w:bCs w:val="0"/>
                <w:szCs w:val="21"/>
              </w:rPr>
            </w:pPr>
            <w:r>
              <w:rPr>
                <w:rFonts w:hint="eastAsia" w:hAnsi="宋体" w:cs="宋体"/>
                <w:b/>
                <w:bCs w:val="0"/>
                <w:szCs w:val="21"/>
              </w:rPr>
              <w:t>投保人数规模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/>
                <w:bCs w:val="0"/>
                <w:szCs w:val="21"/>
              </w:rPr>
            </w:pPr>
            <w:r>
              <w:rPr>
                <w:rFonts w:hint="eastAsia" w:hAnsi="宋体" w:cs="宋体"/>
                <w:b/>
                <w:bCs w:val="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0-5000人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(1.5,2.0]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5001-10000人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(1.0,1.5]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10001-20000人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(0.8,1.0]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20000人以上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Cs w:val="21"/>
                <w:u w:val="none"/>
              </w:rPr>
              <w:t>(0.5,0.8]</w:t>
            </w:r>
          </w:p>
        </w:tc>
      </w:tr>
    </w:tbl>
    <w:p>
      <w:pPr>
        <w:ind w:firstLine="210" w:firstLineChars="100"/>
        <w:rPr>
          <w:rFonts w:hAnsi="宋体"/>
          <w:lang w:bidi="ar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/>
          <w:lang w:bidi="ar"/>
        </w:rPr>
      </w:pPr>
      <w:r>
        <w:rPr>
          <w:rFonts w:hint="eastAsia" w:hAnsi="宋体"/>
          <w:lang w:bidi="ar"/>
        </w:rPr>
        <w:t>8.承保范围调整系数</w:t>
      </w:r>
    </w:p>
    <w:p>
      <w:pPr>
        <w:numPr>
          <w:ilvl w:val="255"/>
          <w:numId w:val="0"/>
        </w:numPr>
        <w:ind w:firstLine="0" w:firstLineChars="0"/>
        <w:rPr>
          <w:rFonts w:hAnsi="宋体"/>
          <w:lang w:bidi="ar"/>
        </w:rPr>
      </w:pPr>
    </w:p>
    <w:tbl>
      <w:tblPr>
        <w:tblStyle w:val="5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eastAsia="宋体" w:cs="宋体"/>
                <w:b/>
                <w:bCs w:val="0"/>
                <w:szCs w:val="21"/>
              </w:rPr>
            </w:pPr>
            <w:r>
              <w:rPr>
                <w:rFonts w:hint="eastAsia" w:hAnsi="宋体" w:cs="宋体"/>
                <w:b/>
                <w:bCs w:val="0"/>
                <w:szCs w:val="21"/>
              </w:rPr>
              <w:t>承保范围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/>
                <w:bCs w:val="0"/>
                <w:szCs w:val="21"/>
              </w:rPr>
            </w:pPr>
            <w:r>
              <w:rPr>
                <w:rFonts w:hint="eastAsia" w:hAnsi="宋体" w:cs="宋体"/>
                <w:b/>
                <w:bCs w:val="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仅承保基本医疗保险范围内的医疗费用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[0.3,1.0）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承保合理且必需的医疗费用（含基本医疗保险范围外的医疗费用）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,1.3]</w:t>
            </w:r>
          </w:p>
        </w:tc>
      </w:tr>
    </w:tbl>
    <w:p>
      <w:pPr>
        <w:numPr>
          <w:ilvl w:val="255"/>
          <w:numId w:val="0"/>
        </w:numPr>
        <w:ind w:firstLine="0" w:firstLineChars="0"/>
        <w:rPr>
          <w:rFonts w:hAnsi="宋体"/>
          <w:lang w:bidi="ar"/>
        </w:rPr>
      </w:pPr>
    </w:p>
    <w:p>
      <w:pPr>
        <w:spacing w:line="288" w:lineRule="auto"/>
        <w:rPr>
          <w:rFonts w:hAnsi="宋体"/>
          <w:b/>
        </w:rPr>
      </w:pPr>
      <w:r>
        <w:rPr>
          <w:rFonts w:hint="eastAsia" w:hAnsi="宋体"/>
          <w:b/>
        </w:rPr>
        <w:t>三、保险费计算</w:t>
      </w:r>
    </w:p>
    <w:p>
      <w:pPr>
        <w:numPr>
          <w:ilvl w:val="255"/>
          <w:numId w:val="0"/>
        </w:numPr>
        <w:spacing w:line="312" w:lineRule="auto"/>
        <w:ind w:firstLine="420" w:firstLineChars="200"/>
        <w:rPr>
          <w:rFonts w:hAnsi="宋体" w:eastAsia="宋体" w:cs="Arial"/>
          <w:b/>
          <w:color w:val="000000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1、</w:t>
      </w:r>
      <w:r>
        <w:rPr>
          <w:rFonts w:hint="eastAsia" w:hAnsi="宋体" w:cs="Arial"/>
          <w:bCs w:val="0"/>
          <w:color w:val="auto"/>
          <w:szCs w:val="21"/>
        </w:rPr>
        <w:t>个人</w:t>
      </w:r>
      <w:r>
        <w:rPr>
          <w:rFonts w:hint="eastAsia" w:hAnsi="宋体" w:cs="Arial"/>
          <w:bCs/>
          <w:color w:val="000000"/>
          <w:szCs w:val="21"/>
        </w:rPr>
        <w:t>业务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szCs w:val="21"/>
        </w:rPr>
      </w:pPr>
      <w:r>
        <w:rPr>
          <w:rFonts w:hint="eastAsia" w:hAnsi="宋体" w:cs="Arial"/>
          <w:color w:val="000000"/>
          <w:szCs w:val="21"/>
        </w:rPr>
        <w:t>年保险费=年基准保费×</w:t>
      </w:r>
      <w:r>
        <w:rPr>
          <w:rFonts w:hint="eastAsia" w:hAnsi="宋体"/>
        </w:rPr>
        <w:t>免赔额调整系数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</w:rPr>
        <w:t>每一被保险人的保险金额调整系数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</w:rPr>
        <w:t>赔付比例调整系数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</w:rPr>
        <w:t>历史赔付率调整系数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  <w:lang w:bidi="ar"/>
        </w:rPr>
        <w:t>等待期调整系数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 w:cs="Arial"/>
          <w:szCs w:val="21"/>
        </w:rPr>
        <w:t>渠道预估年度投保人数规模调整系数</w:t>
      </w:r>
      <w:r>
        <w:rPr>
          <w:rFonts w:hint="eastAsia" w:hAnsi="宋体" w:cs="Arial"/>
          <w:color w:val="000000"/>
          <w:szCs w:val="21"/>
        </w:rPr>
        <w:t>×承保范围调整系数</w:t>
      </w:r>
    </w:p>
    <w:p>
      <w:pPr>
        <w:spacing w:line="312" w:lineRule="auto"/>
        <w:ind w:firstLine="420" w:firstLineChars="200"/>
        <w:rPr>
          <w:rFonts w:hAnsi="宋体" w:cs="Arial"/>
          <w:szCs w:val="21"/>
        </w:rPr>
      </w:pPr>
      <w:r>
        <w:rPr>
          <w:rFonts w:hint="eastAsia" w:hAnsi="宋体" w:cs="Arial"/>
          <w:szCs w:val="21"/>
        </w:rPr>
        <w:t>每期保险费=年保险费/总分期期数</w:t>
      </w:r>
    </w:p>
    <w:p>
      <w:pPr>
        <w:numPr>
          <w:ilvl w:val="255"/>
          <w:numId w:val="0"/>
        </w:numPr>
        <w:spacing w:line="312" w:lineRule="auto"/>
        <w:ind w:firstLine="420" w:firstLineChars="200"/>
        <w:rPr>
          <w:rFonts w:hAnsi="宋体" w:cs="Arial"/>
          <w:szCs w:val="21"/>
        </w:rPr>
      </w:pPr>
      <w:r>
        <w:rPr>
          <w:rFonts w:hint="eastAsia" w:hAnsi="宋体" w:cs="Arial"/>
          <w:szCs w:val="21"/>
        </w:rPr>
        <w:t>2、团体业务</w:t>
      </w:r>
    </w:p>
    <w:p>
      <w:pPr>
        <w:spacing w:line="312" w:lineRule="auto"/>
        <w:ind w:firstLine="420" w:firstLineChars="200"/>
        <w:rPr>
          <w:rFonts w:hAnsi="宋体" w:cs="Arial"/>
          <w:szCs w:val="21"/>
        </w:rPr>
      </w:pPr>
      <w:r>
        <w:rPr>
          <w:rFonts w:hint="eastAsia" w:hAnsi="宋体" w:cs="Arial"/>
          <w:color w:val="000000"/>
          <w:szCs w:val="21"/>
        </w:rPr>
        <w:t>每人年保险费=年基准保费×</w:t>
      </w:r>
      <w:r>
        <w:rPr>
          <w:rFonts w:hint="eastAsia" w:hAnsi="宋体"/>
        </w:rPr>
        <w:t>免赔额调整系数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</w:rPr>
        <w:t>每一被保险人的保险金额调整系数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</w:rPr>
        <w:t>赔付比例调整系数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</w:rPr>
        <w:t>历史赔付率调整系数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  <w:lang w:bidi="ar"/>
        </w:rPr>
        <w:t>等待期调整系数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 w:cs="Arial"/>
          <w:szCs w:val="21"/>
        </w:rPr>
        <w:t>渠道预估年度投保人数规模调整系数</w:t>
      </w:r>
      <w:r>
        <w:rPr>
          <w:rFonts w:hint="eastAsia" w:hAnsi="宋体" w:cs="Arial"/>
          <w:color w:val="000000"/>
          <w:szCs w:val="21"/>
        </w:rPr>
        <w:t>×承保范围调整系数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color w:val="000000"/>
          <w:szCs w:val="21"/>
        </w:rPr>
      </w:pPr>
      <w:r>
        <w:rPr>
          <w:rFonts w:hint="eastAsia" w:hAnsi="宋体" w:cs="Arial"/>
          <w:szCs w:val="21"/>
        </w:rPr>
        <w:t xml:space="preserve">     总保险费=每人年保险费</w:t>
      </w:r>
      <w:r>
        <w:rPr>
          <w:rFonts w:hint="eastAsia" w:hAnsi="宋体" w:cs="Arial"/>
          <w:color w:val="000000"/>
          <w:szCs w:val="21"/>
        </w:rPr>
        <w:t>×投保人数</w:t>
      </w:r>
    </w:p>
    <w:p>
      <w:pPr>
        <w:numPr>
          <w:ilvl w:val="255"/>
          <w:numId w:val="0"/>
        </w:numPr>
        <w:spacing w:line="312" w:lineRule="auto"/>
        <w:rPr>
          <w:rFonts w:hAnsi="宋体" w:cs="Arial"/>
          <w:color w:val="000000"/>
          <w:szCs w:val="21"/>
        </w:rPr>
      </w:pPr>
      <w:r>
        <w:rPr>
          <w:rFonts w:hint="eastAsia" w:hAnsi="宋体" w:cs="Arial"/>
          <w:color w:val="000000"/>
          <w:szCs w:val="21"/>
        </w:rPr>
        <w:t xml:space="preserve">     每人每期保险费=</w:t>
      </w:r>
      <w:r>
        <w:rPr>
          <w:rFonts w:hint="eastAsia" w:hAnsi="宋体" w:cs="Arial"/>
          <w:szCs w:val="21"/>
        </w:rPr>
        <w:t>每人年保险费/总分期期数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szCs w:val="21"/>
        </w:rPr>
      </w:pPr>
      <w:r>
        <w:rPr>
          <w:rFonts w:hint="eastAsia" w:hAnsi="宋体" w:cs="Arial"/>
          <w:szCs w:val="21"/>
        </w:rPr>
        <w:t xml:space="preserve"> 每期总保险费=每人每期保险费</w:t>
      </w:r>
      <w:r>
        <w:rPr>
          <w:rFonts w:hint="eastAsia" w:hAnsi="宋体" w:cs="Arial"/>
          <w:color w:val="000000"/>
          <w:szCs w:val="21"/>
        </w:rPr>
        <w:t>×投保人数</w:t>
      </w:r>
    </w:p>
    <w:p>
      <w:pPr>
        <w:spacing w:line="312" w:lineRule="auto"/>
        <w:ind w:firstLine="420" w:firstLineChars="200"/>
        <w:rPr>
          <w:rFonts w:hint="eastAsia" w:hAnsi="宋体" w:cs="Arial"/>
          <w:szCs w:val="21"/>
        </w:rPr>
      </w:pPr>
      <w:r>
        <w:rPr>
          <w:rFonts w:hint="eastAsia" w:hAnsi="宋体" w:cs="Arial"/>
          <w:szCs w:val="21"/>
        </w:rPr>
        <w:t>注：本产品涉及分期缴费，每期缴费金额一致。</w:t>
      </w:r>
    </w:p>
    <w:p>
      <w:pPr>
        <w:spacing w:line="360" w:lineRule="auto"/>
        <w:ind w:firstLine="420" w:firstLineChars="200"/>
        <w:jc w:val="left"/>
        <w:rPr>
          <w:rFonts w:hAnsi="宋体" w:cs="Arial"/>
          <w:szCs w:val="21"/>
        </w:rPr>
      </w:pPr>
    </w:p>
    <w:p>
      <w:pPr>
        <w:snapToGrid w:val="0"/>
        <w:spacing w:line="288" w:lineRule="auto"/>
        <w:rPr>
          <w:rFonts w:hAnsi="宋体"/>
          <w:b/>
        </w:rPr>
      </w:pPr>
      <w:r>
        <w:rPr>
          <w:rFonts w:hint="eastAsia" w:hAnsi="宋体"/>
          <w:b/>
        </w:rPr>
        <w:t>四、短期费率表</w:t>
      </w:r>
    </w:p>
    <w:p>
      <w:pPr>
        <w:snapToGrid w:val="0"/>
        <w:spacing w:line="288" w:lineRule="auto"/>
        <w:ind w:firstLine="482"/>
        <w:rPr>
          <w:rFonts w:hAnsi="宋体"/>
        </w:rPr>
      </w:pPr>
      <w:r>
        <w:rPr>
          <w:rFonts w:hint="eastAsia" w:hAnsi="宋体"/>
        </w:rPr>
        <w:t>保险期间不足一年的，按以下标准计算短期保险费（按年保险费的百分比计算，不足一个月的按一个月计算）：</w:t>
      </w:r>
    </w:p>
    <w:tbl>
      <w:tblPr>
        <w:tblStyle w:val="5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保险期间（月）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2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3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4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5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6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7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8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9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年保险费的百分比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20%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30%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40%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50%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60%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70%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80%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85%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90%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95%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100%</w:t>
            </w: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00717536"/>
    <w:rsid w:val="00655A87"/>
    <w:rsid w:val="00717536"/>
    <w:rsid w:val="00BE1E61"/>
    <w:rsid w:val="01CA0145"/>
    <w:rsid w:val="04453C9A"/>
    <w:rsid w:val="08913120"/>
    <w:rsid w:val="08915564"/>
    <w:rsid w:val="08B167D8"/>
    <w:rsid w:val="09390EC1"/>
    <w:rsid w:val="0AAB0D8C"/>
    <w:rsid w:val="0D0B04DB"/>
    <w:rsid w:val="0E054C93"/>
    <w:rsid w:val="0E7B01CF"/>
    <w:rsid w:val="136D3C82"/>
    <w:rsid w:val="16CB2FA6"/>
    <w:rsid w:val="17A07B5E"/>
    <w:rsid w:val="18235B8D"/>
    <w:rsid w:val="19143FA0"/>
    <w:rsid w:val="1AF33377"/>
    <w:rsid w:val="1EC75CA6"/>
    <w:rsid w:val="1FB66EE3"/>
    <w:rsid w:val="20F431FE"/>
    <w:rsid w:val="22A45E3C"/>
    <w:rsid w:val="258C4EBE"/>
    <w:rsid w:val="25F65927"/>
    <w:rsid w:val="26146286"/>
    <w:rsid w:val="26632AEE"/>
    <w:rsid w:val="2A6368A2"/>
    <w:rsid w:val="2B467BF3"/>
    <w:rsid w:val="2C050917"/>
    <w:rsid w:val="2D865A75"/>
    <w:rsid w:val="2F036158"/>
    <w:rsid w:val="2FE610B5"/>
    <w:rsid w:val="30762474"/>
    <w:rsid w:val="31CE709C"/>
    <w:rsid w:val="33806A8D"/>
    <w:rsid w:val="34876F70"/>
    <w:rsid w:val="351F3871"/>
    <w:rsid w:val="39081218"/>
    <w:rsid w:val="3ACA5A7D"/>
    <w:rsid w:val="40223221"/>
    <w:rsid w:val="405D4C28"/>
    <w:rsid w:val="407C1A4B"/>
    <w:rsid w:val="496028D6"/>
    <w:rsid w:val="4A23047C"/>
    <w:rsid w:val="4DE4299E"/>
    <w:rsid w:val="4FBC1B63"/>
    <w:rsid w:val="514B3ECB"/>
    <w:rsid w:val="517D4FF0"/>
    <w:rsid w:val="51F20D15"/>
    <w:rsid w:val="53041348"/>
    <w:rsid w:val="5470546B"/>
    <w:rsid w:val="54782A0A"/>
    <w:rsid w:val="55071B19"/>
    <w:rsid w:val="57000B0B"/>
    <w:rsid w:val="5B1824D5"/>
    <w:rsid w:val="5CA6628A"/>
    <w:rsid w:val="5D0366FE"/>
    <w:rsid w:val="5D7E639E"/>
    <w:rsid w:val="5DCF526C"/>
    <w:rsid w:val="5E3A7B24"/>
    <w:rsid w:val="64CA6AE0"/>
    <w:rsid w:val="66D73B89"/>
    <w:rsid w:val="66EE0157"/>
    <w:rsid w:val="671C2099"/>
    <w:rsid w:val="6A1137F3"/>
    <w:rsid w:val="6C2E1FA5"/>
    <w:rsid w:val="72B126DF"/>
    <w:rsid w:val="73532793"/>
    <w:rsid w:val="73A24EA9"/>
    <w:rsid w:val="75C94940"/>
    <w:rsid w:val="761E0F80"/>
    <w:rsid w:val="7AC97F19"/>
    <w:rsid w:val="7C79171B"/>
    <w:rsid w:val="7E1165E2"/>
    <w:rsid w:val="7E557926"/>
    <w:rsid w:val="7E5C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qFormat/>
    <w:uiPriority w:val="0"/>
    <w:rPr>
      <w:i/>
    </w:rPr>
  </w:style>
  <w:style w:type="character" w:styleId="9">
    <w:name w:val="annotation reference"/>
    <w:basedOn w:val="7"/>
    <w:qFormat/>
    <w:uiPriority w:val="0"/>
    <w:rPr>
      <w:sz w:val="21"/>
      <w:szCs w:val="21"/>
    </w:rPr>
  </w:style>
  <w:style w:type="paragraph" w:customStyle="1" w:styleId="10">
    <w:name w:val="_Style 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条款正文"/>
    <w:basedOn w:val="1"/>
    <w:qFormat/>
    <w:uiPriority w:val="0"/>
    <w:pPr>
      <w:adjustRightInd w:val="0"/>
      <w:snapToGrid w:val="0"/>
      <w:spacing w:after="160" w:line="259" w:lineRule="auto"/>
      <w:ind w:left="840" w:leftChars="400"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943</Words>
  <Characters>1277</Characters>
  <Lines>10</Lines>
  <Paragraphs>3</Paragraphs>
  <TotalTime>1</TotalTime>
  <ScaleCrop>false</ScaleCrop>
  <LinksUpToDate>false</LinksUpToDate>
  <CharactersWithSpaces>1288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Zixuan Shen</cp:lastModifiedBy>
  <dcterms:modified xsi:type="dcterms:W3CDTF">2022-05-05T05:51:13Z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0EECDBE706A24353A8A9C4362625CF9A</vt:lpwstr>
  </property>
  <property fmtid="{D5CDD505-2E9C-101B-9397-08002B2CF9AE}" pid="4" name="commondata">
    <vt:lpwstr>eyJoZGlkIjoiMDRiMmE0ZjljZDExM2YyODdkMDQ1ZGRhYjY0YmQ5MmQifQ==</vt:lpwstr>
  </property>
</Properties>
</file>