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afterLines="-2147483648" w:line="360" w:lineRule="auto"/>
        <w:jc w:val="center"/>
        <w:rPr>
          <w:rFonts w:ascii="宋体" w:hAnsi="宋体" w:cs="宋体"/>
          <w:b/>
          <w:sz w:val="28"/>
          <w:szCs w:val="28"/>
        </w:rPr>
      </w:pPr>
      <w:r>
        <w:rPr>
          <w:rFonts w:hint="eastAsia" w:ascii="宋体" w:hAnsi="宋体" w:cs="宋体"/>
          <w:b/>
          <w:sz w:val="28"/>
          <w:szCs w:val="28"/>
        </w:rPr>
        <w:t>华农财产保险股份有限公司</w:t>
      </w:r>
    </w:p>
    <w:p>
      <w:pPr>
        <w:widowControl/>
        <w:spacing w:line="360" w:lineRule="auto"/>
        <w:jc w:val="center"/>
        <w:rPr>
          <w:rFonts w:ascii="宋体" w:hAnsi="宋体" w:cs="宋体"/>
          <w:b/>
          <w:sz w:val="28"/>
          <w:szCs w:val="28"/>
        </w:rPr>
      </w:pPr>
      <w:r>
        <w:rPr>
          <w:rFonts w:hint="eastAsia" w:ascii="宋体" w:hAnsi="宋体" w:cs="宋体"/>
          <w:b/>
          <w:bCs/>
          <w:color w:val="000000"/>
          <w:kern w:val="0"/>
          <w:sz w:val="28"/>
          <w:szCs w:val="28"/>
          <w:lang w:bidi="ar"/>
        </w:rPr>
        <w:t>特定心脑血管疾病医疗保险条款（互联网专属）</w:t>
      </w:r>
    </w:p>
    <w:p>
      <w:pPr>
        <w:snapToGrid w:val="0"/>
        <w:spacing w:after="156" w:afterLines="50" w:line="360" w:lineRule="auto"/>
        <w:jc w:val="center"/>
        <w:rPr>
          <w:rFonts w:hint="default" w:ascii="宋体" w:hAnsi="宋体" w:cs="宋体"/>
          <w:b/>
          <w:bCs/>
          <w:szCs w:val="21"/>
          <w:lang w:val="en-US" w:eastAsia="zh-CN"/>
        </w:rPr>
      </w:pPr>
      <w:bookmarkStart w:id="4" w:name="_GoBack"/>
      <w:r>
        <w:rPr>
          <w:rFonts w:hint="eastAsia" w:ascii="宋体" w:hAnsi="宋体" w:cs="宋体"/>
          <w:b/>
          <w:bCs/>
          <w:szCs w:val="21"/>
          <w:lang w:val="en-US" w:eastAsia="zh-CN"/>
        </w:rPr>
        <w:t>注册编号：C00010132512023122101001</w:t>
      </w:r>
    </w:p>
    <w:bookmarkEnd w:id="4"/>
    <w:p>
      <w:pPr>
        <w:keepNext w:val="0"/>
        <w:keepLines w:val="0"/>
        <w:pageBreakBefore w:val="0"/>
        <w:widowControl w:val="0"/>
        <w:kinsoku/>
        <w:wordWrap/>
        <w:overflowPunct/>
        <w:topLinePunct w:val="0"/>
        <w:autoSpaceDE/>
        <w:autoSpaceDN/>
        <w:bidi w:val="0"/>
        <w:adjustRightInd/>
        <w:snapToGrid w:val="0"/>
        <w:spacing w:before="157" w:beforeLines="50" w:line="360" w:lineRule="auto"/>
        <w:jc w:val="center"/>
        <w:textAlignment w:val="auto"/>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第一部分 总则</w:t>
      </w:r>
    </w:p>
    <w:p>
      <w:pPr>
        <w:keepNext w:val="0"/>
        <w:keepLines w:val="0"/>
        <w:pageBreakBefore w:val="0"/>
        <w:numPr>
          <w:ilvl w:val="0"/>
          <w:numId w:val="1"/>
        </w:numPr>
        <w:kinsoku/>
        <w:wordWrap/>
        <w:overflowPunct/>
        <w:topLinePunct w:val="0"/>
        <w:autoSpaceDE/>
        <w:autoSpaceDN/>
        <w:bidi w:val="0"/>
        <w:adjustRightInd/>
        <w:snapToGrid w:val="0"/>
        <w:spacing w:line="360" w:lineRule="auto"/>
        <w:ind w:left="0" w:firstLine="422" w:firstLineChars="200"/>
        <w:textAlignment w:val="auto"/>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合同构成</w:t>
      </w:r>
    </w:p>
    <w:p>
      <w:pPr>
        <w:keepNext w:val="0"/>
        <w:keepLines w:val="0"/>
        <w:pageBreakBefore w:val="0"/>
        <w:kinsoku/>
        <w:wordWrap/>
        <w:overflowPunct/>
        <w:topLinePunct w:val="0"/>
        <w:autoSpaceDE/>
        <w:autoSpaceDN/>
        <w:bidi w:val="0"/>
        <w:adjustRightInd/>
        <w:snapToGrid w:val="0"/>
        <w:spacing w:line="360" w:lineRule="auto"/>
        <w:ind w:left="0" w:firstLine="420" w:firstLineChars="200"/>
        <w:textAlignment w:val="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本保险合同（以下简称“本合同”）由保险条款、投保单、保险单或其他保险凭证、批单等组成。凡涉及本合同的约定，均应采用书面形式。</w:t>
      </w:r>
    </w:p>
    <w:p>
      <w:pPr>
        <w:keepNext w:val="0"/>
        <w:keepLines w:val="0"/>
        <w:pageBreakBefore w:val="0"/>
        <w:numPr>
          <w:ilvl w:val="0"/>
          <w:numId w:val="1"/>
        </w:numPr>
        <w:kinsoku/>
        <w:wordWrap/>
        <w:overflowPunct/>
        <w:topLinePunct w:val="0"/>
        <w:autoSpaceDE/>
        <w:autoSpaceDN/>
        <w:bidi w:val="0"/>
        <w:adjustRightInd/>
        <w:snapToGrid w:val="0"/>
        <w:spacing w:line="360" w:lineRule="auto"/>
        <w:ind w:left="0" w:firstLine="422" w:firstLineChars="200"/>
        <w:textAlignment w:val="auto"/>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合同的成立</w:t>
      </w:r>
    </w:p>
    <w:p>
      <w:pPr>
        <w:keepNext w:val="0"/>
        <w:keepLines w:val="0"/>
        <w:pageBreakBefore w:val="0"/>
        <w:kinsoku/>
        <w:wordWrap/>
        <w:overflowPunct/>
        <w:topLinePunct w:val="0"/>
        <w:autoSpaceDE/>
        <w:autoSpaceDN/>
        <w:bidi w:val="0"/>
        <w:adjustRightInd/>
        <w:snapToGrid w:val="0"/>
        <w:spacing w:line="360" w:lineRule="auto"/>
        <w:ind w:left="0" w:firstLine="420" w:firstLineChars="200"/>
        <w:textAlignment w:val="auto"/>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投保人提出保险申请，经</w:t>
      </w:r>
      <w:r>
        <w:rPr>
          <w:rFonts w:hint="eastAsia" w:asciiTheme="minorEastAsia" w:hAnsiTheme="minorEastAsia" w:eastAsiaTheme="minorEastAsia" w:cstheme="minorEastAsia"/>
          <w:b/>
          <w:bCs/>
          <w:szCs w:val="21"/>
        </w:rPr>
        <w:t>保险人（释义一）</w:t>
      </w:r>
      <w:r>
        <w:rPr>
          <w:rFonts w:hint="eastAsia" w:asciiTheme="minorEastAsia" w:hAnsiTheme="minorEastAsia" w:eastAsiaTheme="minorEastAsia" w:cstheme="minorEastAsia"/>
          <w:szCs w:val="21"/>
        </w:rPr>
        <w:t>同意承保，本合同成立。</w:t>
      </w:r>
    </w:p>
    <w:p>
      <w:pPr>
        <w:keepNext w:val="0"/>
        <w:keepLines w:val="0"/>
        <w:pageBreakBefore w:val="0"/>
        <w:numPr>
          <w:ilvl w:val="0"/>
          <w:numId w:val="1"/>
        </w:numPr>
        <w:kinsoku/>
        <w:wordWrap/>
        <w:overflowPunct/>
        <w:topLinePunct w:val="0"/>
        <w:autoSpaceDE/>
        <w:autoSpaceDN/>
        <w:bidi w:val="0"/>
        <w:adjustRightInd/>
        <w:snapToGrid w:val="0"/>
        <w:spacing w:line="360" w:lineRule="auto"/>
        <w:ind w:left="0" w:firstLine="422" w:firstLineChars="200"/>
        <w:textAlignment w:val="auto"/>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保险期间</w:t>
      </w:r>
    </w:p>
    <w:p>
      <w:pPr>
        <w:keepNext w:val="0"/>
        <w:keepLines w:val="0"/>
        <w:pageBreakBefore w:val="0"/>
        <w:kinsoku/>
        <w:wordWrap/>
        <w:overflowPunct/>
        <w:topLinePunct w:val="0"/>
        <w:autoSpaceDE/>
        <w:autoSpaceDN/>
        <w:bidi w:val="0"/>
        <w:adjustRightInd/>
        <w:snapToGrid w:val="0"/>
        <w:spacing w:line="360" w:lineRule="auto"/>
        <w:ind w:left="0" w:firstLine="420" w:firstLineChars="200"/>
        <w:textAlignment w:val="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本合同保险期间由保险人和投保人协商确定，以保险单载明的起讫时间为准，但最长不超过一年。</w:t>
      </w:r>
    </w:p>
    <w:p>
      <w:pPr>
        <w:keepNext w:val="0"/>
        <w:keepLines w:val="0"/>
        <w:pageBreakBefore w:val="0"/>
        <w:numPr>
          <w:ilvl w:val="0"/>
          <w:numId w:val="1"/>
        </w:numPr>
        <w:kinsoku/>
        <w:wordWrap/>
        <w:overflowPunct/>
        <w:topLinePunct w:val="0"/>
        <w:autoSpaceDE/>
        <w:autoSpaceDN/>
        <w:bidi w:val="0"/>
        <w:adjustRightInd/>
        <w:snapToGrid w:val="0"/>
        <w:spacing w:line="360" w:lineRule="auto"/>
        <w:ind w:left="0" w:firstLine="422" w:firstLineChars="200"/>
        <w:textAlignment w:val="auto"/>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投保人</w:t>
      </w:r>
    </w:p>
    <w:p>
      <w:pPr>
        <w:keepNext w:val="0"/>
        <w:keepLines w:val="0"/>
        <w:pageBreakBefore w:val="0"/>
        <w:kinsoku/>
        <w:wordWrap/>
        <w:overflowPunct/>
        <w:topLinePunct w:val="0"/>
        <w:autoSpaceDE/>
        <w:autoSpaceDN/>
        <w:bidi w:val="0"/>
        <w:adjustRightInd/>
        <w:snapToGrid w:val="0"/>
        <w:spacing w:line="360" w:lineRule="auto"/>
        <w:ind w:left="0" w:firstLine="420" w:firstLineChars="200"/>
        <w:textAlignment w:val="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本合同的投保人应为具有完全民事行为能力的被保险人本人或对被保险人有保险利益的其他人。</w:t>
      </w:r>
    </w:p>
    <w:p>
      <w:pPr>
        <w:keepNext w:val="0"/>
        <w:keepLines w:val="0"/>
        <w:pageBreakBefore w:val="0"/>
        <w:numPr>
          <w:ilvl w:val="0"/>
          <w:numId w:val="1"/>
        </w:numPr>
        <w:kinsoku/>
        <w:wordWrap/>
        <w:overflowPunct/>
        <w:topLinePunct w:val="0"/>
        <w:autoSpaceDE/>
        <w:autoSpaceDN/>
        <w:bidi w:val="0"/>
        <w:adjustRightInd/>
        <w:snapToGrid w:val="0"/>
        <w:spacing w:line="360" w:lineRule="auto"/>
        <w:ind w:left="0" w:firstLine="422" w:firstLineChars="200"/>
        <w:textAlignment w:val="auto"/>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被保险人</w:t>
      </w:r>
    </w:p>
    <w:p>
      <w:pPr>
        <w:keepNext w:val="0"/>
        <w:keepLines w:val="0"/>
        <w:pageBreakBefore w:val="0"/>
        <w:widowControl/>
        <w:kinsoku/>
        <w:wordWrap/>
        <w:overflowPunct/>
        <w:topLinePunct w:val="0"/>
        <w:autoSpaceDE/>
        <w:autoSpaceDN/>
        <w:bidi w:val="0"/>
        <w:adjustRightInd/>
        <w:snapToGrid w:val="0"/>
        <w:spacing w:line="360" w:lineRule="auto"/>
        <w:ind w:left="0" w:firstLine="420" w:firstLineChars="200"/>
        <w:jc w:val="left"/>
        <w:textAlignment w:val="auto"/>
        <w:rPr>
          <w:rFonts w:ascii="宋体" w:hAnsi="宋体" w:cs="宋体"/>
          <w:szCs w:val="21"/>
        </w:rPr>
      </w:pPr>
      <w:r>
        <w:rPr>
          <w:rFonts w:hint="eastAsia" w:ascii="宋体" w:hAnsi="宋体" w:cs="宋体"/>
          <w:szCs w:val="21"/>
        </w:rPr>
        <w:t>凡投保时年龄在0</w:t>
      </w:r>
      <w:r>
        <w:rPr>
          <w:rFonts w:hint="eastAsia" w:ascii="宋体" w:hAnsi="宋体" w:cs="宋体"/>
          <w:b/>
          <w:bCs/>
          <w:szCs w:val="21"/>
        </w:rPr>
        <w:t>周岁（释义</w:t>
      </w:r>
      <w:r>
        <w:rPr>
          <w:rFonts w:hint="eastAsia" w:asciiTheme="minorEastAsia" w:hAnsiTheme="minorEastAsia" w:eastAsiaTheme="minorEastAsia" w:cstheme="minorEastAsia"/>
          <w:b/>
          <w:bCs/>
          <w:szCs w:val="21"/>
        </w:rPr>
        <w:t>二）</w:t>
      </w:r>
      <w:r>
        <w:rPr>
          <w:rFonts w:hint="eastAsia" w:ascii="宋体" w:hAnsi="宋体" w:cs="宋体"/>
          <w:szCs w:val="21"/>
        </w:rPr>
        <w:t>（投保时被保险人为0周岁的，应当为出生满28日且已健康出院的婴儿）至99周岁，身体健康、能正常工作、生活的，在</w:t>
      </w:r>
      <w:r>
        <w:rPr>
          <w:rFonts w:hint="eastAsia" w:ascii="宋体" w:hAnsi="宋体"/>
        </w:rPr>
        <w:t>中华人民共和国境内</w:t>
      </w:r>
      <w:r>
        <w:rPr>
          <w:rFonts w:hint="eastAsia" w:ascii="宋体" w:hAnsi="宋体" w:cs="宋体"/>
          <w:szCs w:val="21"/>
        </w:rPr>
        <w:t>（</w:t>
      </w:r>
      <w:r>
        <w:rPr>
          <w:rFonts w:hint="eastAsia" w:ascii="宋体" w:hAnsi="宋体" w:cs="宋体"/>
          <w:b/>
          <w:bCs/>
          <w:szCs w:val="21"/>
        </w:rPr>
        <w:t>不包括香港、澳门、台湾地区</w:t>
      </w:r>
      <w:r>
        <w:rPr>
          <w:rFonts w:hint="eastAsia" w:ascii="宋体" w:hAnsi="宋体" w:cs="宋体"/>
          <w:szCs w:val="21"/>
        </w:rPr>
        <w:t>）居住的自然人，可作为本合同的被保险人。</w:t>
      </w:r>
    </w:p>
    <w:p>
      <w:pPr>
        <w:keepNext w:val="0"/>
        <w:keepLines w:val="0"/>
        <w:pageBreakBefore w:val="0"/>
        <w:numPr>
          <w:ilvl w:val="0"/>
          <w:numId w:val="1"/>
        </w:numPr>
        <w:kinsoku/>
        <w:wordWrap/>
        <w:overflowPunct/>
        <w:topLinePunct w:val="0"/>
        <w:autoSpaceDE/>
        <w:autoSpaceDN/>
        <w:bidi w:val="0"/>
        <w:adjustRightInd/>
        <w:snapToGrid w:val="0"/>
        <w:spacing w:line="360" w:lineRule="auto"/>
        <w:ind w:left="0" w:firstLine="422" w:firstLineChars="200"/>
        <w:textAlignment w:val="auto"/>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受益人</w:t>
      </w:r>
    </w:p>
    <w:p>
      <w:pPr>
        <w:keepNext w:val="0"/>
        <w:keepLines w:val="0"/>
        <w:pageBreakBefore w:val="0"/>
        <w:kinsoku/>
        <w:wordWrap/>
        <w:overflowPunct/>
        <w:topLinePunct w:val="0"/>
        <w:autoSpaceDE/>
        <w:autoSpaceDN/>
        <w:bidi w:val="0"/>
        <w:adjustRightInd/>
        <w:snapToGrid w:val="0"/>
        <w:spacing w:line="360" w:lineRule="auto"/>
        <w:ind w:left="0" w:firstLine="420" w:firstLineChars="200"/>
        <w:textAlignment w:val="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除本合同另有约定外，本合同保险金的受益人为被保险人本人。</w:t>
      </w:r>
    </w:p>
    <w:p>
      <w:pPr>
        <w:keepNext w:val="0"/>
        <w:keepLines w:val="0"/>
        <w:pageBreakBefore w:val="0"/>
        <w:widowControl w:val="0"/>
        <w:kinsoku/>
        <w:wordWrap/>
        <w:overflowPunct/>
        <w:topLinePunct w:val="0"/>
        <w:autoSpaceDE/>
        <w:autoSpaceDN/>
        <w:bidi w:val="0"/>
        <w:adjustRightInd/>
        <w:snapToGrid w:val="0"/>
        <w:spacing w:before="157" w:beforeLines="50" w:line="360" w:lineRule="auto"/>
        <w:jc w:val="center"/>
        <w:textAlignment w:val="auto"/>
        <w:rPr>
          <w:rFonts w:asciiTheme="minorEastAsia" w:hAnsiTheme="minorEastAsia" w:eastAsiaTheme="minorEastAsia" w:cstheme="minorEastAsia"/>
          <w:b/>
          <w:bCs/>
          <w:color w:val="FF0000"/>
          <w:szCs w:val="21"/>
        </w:rPr>
      </w:pPr>
      <w:r>
        <w:rPr>
          <w:rFonts w:hint="eastAsia" w:asciiTheme="minorEastAsia" w:hAnsiTheme="minorEastAsia" w:eastAsiaTheme="minorEastAsia" w:cstheme="minorEastAsia"/>
          <w:b/>
          <w:bCs/>
          <w:szCs w:val="21"/>
        </w:rPr>
        <w:t>第二部分 保障内容</w:t>
      </w:r>
    </w:p>
    <w:p>
      <w:pPr>
        <w:keepNext w:val="0"/>
        <w:keepLines w:val="0"/>
        <w:pageBreakBefore w:val="0"/>
        <w:numPr>
          <w:ilvl w:val="0"/>
          <w:numId w:val="1"/>
        </w:numPr>
        <w:kinsoku/>
        <w:wordWrap/>
        <w:overflowPunct/>
        <w:topLinePunct w:val="0"/>
        <w:autoSpaceDE/>
        <w:autoSpaceDN/>
        <w:bidi w:val="0"/>
        <w:adjustRightInd/>
        <w:snapToGrid w:val="0"/>
        <w:spacing w:line="360" w:lineRule="auto"/>
        <w:ind w:firstLine="422" w:firstLineChars="200"/>
        <w:textAlignment w:val="auto"/>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保险责任</w:t>
      </w:r>
    </w:p>
    <w:p>
      <w:pPr>
        <w:keepNext w:val="0"/>
        <w:keepLines w:val="0"/>
        <w:pageBreakBefore w:val="0"/>
        <w:widowControl/>
        <w:kinsoku/>
        <w:wordWrap/>
        <w:overflowPunct/>
        <w:topLinePunct w:val="0"/>
        <w:autoSpaceDE/>
        <w:autoSpaceDN/>
        <w:bidi w:val="0"/>
        <w:adjustRightInd/>
        <w:snapToGrid w:val="0"/>
        <w:spacing w:line="360" w:lineRule="auto"/>
        <w:ind w:firstLine="420" w:firstLineChars="200"/>
        <w:textAlignment w:val="auto"/>
        <w:rPr>
          <w:rFonts w:ascii="宋体" w:hAnsi="宋体" w:cs="宋体"/>
          <w:b/>
          <w:bCs/>
          <w:color w:val="000000"/>
          <w:kern w:val="0"/>
          <w:szCs w:val="21"/>
          <w:lang w:bidi="ar"/>
        </w:rPr>
      </w:pPr>
      <w:r>
        <w:rPr>
          <w:rFonts w:hint="eastAsia" w:ascii="宋体" w:hAnsi="宋体" w:cs="宋体"/>
          <w:color w:val="000000"/>
          <w:kern w:val="0"/>
          <w:szCs w:val="21"/>
          <w:lang w:bidi="ar"/>
        </w:rPr>
        <w:t>本合同保险的保险责任包括“</w:t>
      </w:r>
      <w:r>
        <w:rPr>
          <w:rFonts w:hint="eastAsia" w:ascii="宋体" w:hAnsi="宋体" w:cs="宋体"/>
          <w:b/>
          <w:bCs/>
          <w:color w:val="000000"/>
          <w:kern w:val="0"/>
          <w:szCs w:val="21"/>
          <w:lang w:bidi="ar"/>
        </w:rPr>
        <w:t>脑卒中（释义三）</w:t>
      </w:r>
      <w:r>
        <w:rPr>
          <w:rFonts w:hint="eastAsia" w:ascii="宋体" w:hAnsi="宋体" w:cs="宋体"/>
          <w:color w:val="000000"/>
          <w:kern w:val="0"/>
          <w:szCs w:val="21"/>
          <w:lang w:bidi="ar"/>
        </w:rPr>
        <w:t>医疗保险责任</w:t>
      </w:r>
      <w:r>
        <w:rPr>
          <w:rFonts w:hint="eastAsia" w:ascii="宋体" w:hAnsi="宋体" w:cs="宋体"/>
          <w:b/>
          <w:bCs/>
          <w:color w:val="000000"/>
          <w:kern w:val="0"/>
          <w:szCs w:val="21"/>
          <w:lang w:bidi="ar"/>
        </w:rPr>
        <w:t>”</w:t>
      </w:r>
      <w:r>
        <w:rPr>
          <w:rFonts w:hint="eastAsia" w:ascii="宋体" w:hAnsi="宋体" w:cs="宋体"/>
          <w:color w:val="000000"/>
          <w:kern w:val="0"/>
          <w:szCs w:val="21"/>
          <w:lang w:bidi="ar"/>
        </w:rPr>
        <w:t>和</w:t>
      </w:r>
      <w:r>
        <w:rPr>
          <w:rFonts w:hint="eastAsia" w:ascii="宋体" w:hAnsi="宋体" w:cs="宋体"/>
          <w:b/>
          <w:bCs/>
          <w:color w:val="000000"/>
          <w:kern w:val="0"/>
          <w:szCs w:val="21"/>
          <w:lang w:bidi="ar"/>
        </w:rPr>
        <w:t>“急性心肌梗死（释义</w:t>
      </w:r>
      <w:r>
        <w:rPr>
          <w:rFonts w:hint="eastAsia" w:ascii="宋体" w:hAnsi="宋体" w:cs="宋体"/>
          <w:b/>
          <w:bCs/>
          <w:color w:val="000000"/>
          <w:kern w:val="0"/>
          <w:szCs w:val="21"/>
          <w:lang w:val="en-US" w:eastAsia="zh-CN" w:bidi="ar"/>
        </w:rPr>
        <w:t>四</w:t>
      </w:r>
      <w:r>
        <w:rPr>
          <w:rFonts w:hint="eastAsia" w:ascii="宋体" w:hAnsi="宋体" w:cs="宋体"/>
          <w:b/>
          <w:bCs/>
          <w:color w:val="000000"/>
          <w:kern w:val="0"/>
          <w:szCs w:val="21"/>
          <w:lang w:bidi="ar"/>
        </w:rPr>
        <w:t>）</w:t>
      </w:r>
      <w:r>
        <w:rPr>
          <w:rFonts w:hint="eastAsia" w:ascii="宋体" w:hAnsi="宋体" w:cs="宋体"/>
          <w:color w:val="000000"/>
          <w:kern w:val="0"/>
          <w:szCs w:val="21"/>
          <w:lang w:bidi="ar"/>
        </w:rPr>
        <w:t>医疗保险责任”。投保人可以根据被保险人个人保障需求选择投保一项或两项，组成本合同，并在保险单中载明。</w:t>
      </w:r>
      <w:r>
        <w:rPr>
          <w:rFonts w:hint="eastAsia" w:ascii="宋体" w:hAnsi="宋体" w:cs="宋体"/>
          <w:b/>
          <w:bCs/>
          <w:color w:val="000000"/>
          <w:kern w:val="0"/>
          <w:szCs w:val="21"/>
          <w:lang w:bidi="ar"/>
        </w:rPr>
        <w:t>未在保险单中载明的保险责任，保险人不负责赔偿。</w:t>
      </w:r>
    </w:p>
    <w:p>
      <w:pPr>
        <w:keepNext w:val="0"/>
        <w:keepLines w:val="0"/>
        <w:pageBreakBefore w:val="0"/>
        <w:widowControl/>
        <w:kinsoku/>
        <w:wordWrap/>
        <w:overflowPunct/>
        <w:topLinePunct w:val="0"/>
        <w:autoSpaceDE/>
        <w:autoSpaceDN/>
        <w:bidi w:val="0"/>
        <w:adjustRightInd/>
        <w:spacing w:line="360" w:lineRule="auto"/>
        <w:ind w:firstLine="422" w:firstLineChars="200"/>
        <w:jc w:val="left"/>
        <w:textAlignment w:val="auto"/>
        <w:rPr>
          <w:rFonts w:ascii="宋体" w:hAnsi="宋体" w:cs="宋体"/>
          <w:b/>
          <w:bCs/>
          <w:color w:val="000000"/>
          <w:kern w:val="0"/>
          <w:szCs w:val="21"/>
          <w:lang w:bidi="ar"/>
        </w:rPr>
      </w:pPr>
      <w:r>
        <w:rPr>
          <w:rFonts w:hint="eastAsia" w:ascii="Times New Roman"/>
          <w:b/>
          <w:bCs/>
        </w:rPr>
        <w:t>所投保的保险责任一经确定，在本合同保险期间内不得变更。</w:t>
      </w:r>
    </w:p>
    <w:p>
      <w:pPr>
        <w:keepNext w:val="0"/>
        <w:keepLines w:val="0"/>
        <w:pageBreakBefore w:val="0"/>
        <w:widowControl/>
        <w:kinsoku/>
        <w:wordWrap/>
        <w:overflowPunct/>
        <w:topLinePunct w:val="0"/>
        <w:autoSpaceDE/>
        <w:autoSpaceDN/>
        <w:bidi w:val="0"/>
        <w:adjustRightInd/>
        <w:snapToGrid w:val="0"/>
        <w:spacing w:line="360" w:lineRule="auto"/>
        <w:ind w:firstLine="422" w:firstLineChars="200"/>
        <w:jc w:val="left"/>
        <w:textAlignment w:val="auto"/>
        <w:rPr>
          <w:rFonts w:asciiTheme="minorEastAsia" w:hAnsiTheme="minorEastAsia" w:eastAsiaTheme="minorEastAsia" w:cstheme="minorEastAsia"/>
          <w:b/>
          <w:bCs/>
          <w:color w:val="FF0000"/>
          <w:szCs w:val="21"/>
        </w:rPr>
      </w:pPr>
      <w:r>
        <w:rPr>
          <w:rFonts w:hint="eastAsia" w:asciiTheme="minorEastAsia" w:hAnsiTheme="minorEastAsia" w:eastAsiaTheme="minorEastAsia" w:cstheme="minorEastAsia"/>
          <w:b/>
          <w:bCs/>
          <w:szCs w:val="21"/>
        </w:rPr>
        <w:t>（一）</w:t>
      </w:r>
      <w:r>
        <w:rPr>
          <w:rFonts w:hint="eastAsia" w:ascii="宋体" w:hAnsi="宋体" w:cs="宋体"/>
          <w:b/>
          <w:bCs/>
          <w:color w:val="000000"/>
          <w:kern w:val="0"/>
          <w:szCs w:val="21"/>
          <w:lang w:bidi="ar"/>
        </w:rPr>
        <w:t>脑卒中医疗保险责任</w:t>
      </w:r>
    </w:p>
    <w:p>
      <w:pPr>
        <w:keepNext w:val="0"/>
        <w:keepLines w:val="0"/>
        <w:pageBreakBefore w:val="0"/>
        <w:widowControl/>
        <w:kinsoku/>
        <w:wordWrap/>
        <w:overflowPunct/>
        <w:topLinePunct w:val="0"/>
        <w:autoSpaceDE/>
        <w:autoSpaceDN/>
        <w:bidi w:val="0"/>
        <w:adjustRightInd/>
        <w:snapToGrid w:val="0"/>
        <w:spacing w:line="360" w:lineRule="auto"/>
        <w:ind w:firstLine="420" w:firstLineChars="200"/>
        <w:jc w:val="left"/>
        <w:textAlignment w:val="auto"/>
        <w:rPr>
          <w:b/>
          <w:bCs/>
        </w:rPr>
      </w:pPr>
      <w:r>
        <w:rPr>
          <w:rFonts w:hint="eastAsia" w:ascii="宋体" w:hAnsi="宋体" w:cs="宋体"/>
          <w:color w:val="000000"/>
          <w:kern w:val="0"/>
          <w:szCs w:val="21"/>
          <w:lang w:bidi="ar"/>
        </w:rPr>
        <w:t>在保险期间内，被保险人在</w:t>
      </w:r>
      <w:r>
        <w:rPr>
          <w:rFonts w:hint="eastAsia" w:ascii="宋体" w:hAnsi="宋体" w:cs="宋体"/>
          <w:b/>
          <w:bCs/>
          <w:color w:val="000000"/>
          <w:kern w:val="0"/>
          <w:szCs w:val="21"/>
          <w:lang w:bidi="ar"/>
        </w:rPr>
        <w:t>等待期（释义</w:t>
      </w:r>
      <w:r>
        <w:rPr>
          <w:rFonts w:hint="eastAsia" w:ascii="宋体" w:hAnsi="宋体" w:cs="宋体"/>
          <w:b/>
          <w:bCs/>
          <w:color w:val="000000"/>
          <w:kern w:val="0"/>
          <w:szCs w:val="21"/>
          <w:lang w:val="en-US" w:eastAsia="zh-CN" w:bidi="ar"/>
        </w:rPr>
        <w:t>五</w:t>
      </w:r>
      <w:r>
        <w:rPr>
          <w:rFonts w:hint="eastAsia" w:ascii="宋体" w:hAnsi="宋体" w:cs="宋体"/>
          <w:b/>
          <w:bCs/>
          <w:color w:val="000000"/>
          <w:kern w:val="0"/>
          <w:szCs w:val="21"/>
          <w:lang w:bidi="ar"/>
        </w:rPr>
        <w:t>）</w:t>
      </w:r>
      <w:r>
        <w:rPr>
          <w:rFonts w:hint="eastAsia" w:ascii="宋体" w:hAnsi="宋体" w:cs="宋体"/>
          <w:color w:val="000000"/>
          <w:kern w:val="0"/>
          <w:szCs w:val="21"/>
          <w:lang w:bidi="ar"/>
        </w:rPr>
        <w:t>后经</w:t>
      </w:r>
      <w:r>
        <w:rPr>
          <w:rFonts w:hint="eastAsia" w:ascii="宋体" w:hAnsi="宋体" w:cs="宋体"/>
          <w:b/>
          <w:bCs/>
          <w:color w:val="000000"/>
          <w:kern w:val="0"/>
          <w:szCs w:val="21"/>
          <w:lang w:bidi="ar"/>
        </w:rPr>
        <w:t>专科医生</w:t>
      </w:r>
      <w:r>
        <w:rPr>
          <w:rFonts w:hint="eastAsia" w:ascii="宋体" w:hAnsi="宋体" w:cs="宋体"/>
          <w:color w:val="000000"/>
          <w:kern w:val="0"/>
          <w:szCs w:val="21"/>
          <w:lang w:bidi="ar"/>
        </w:rPr>
        <w:t>（</w:t>
      </w:r>
      <w:r>
        <w:rPr>
          <w:rFonts w:hint="eastAsia" w:ascii="宋体" w:hAnsi="宋体" w:cs="宋体"/>
          <w:b/>
          <w:bCs/>
          <w:color w:val="000000"/>
          <w:kern w:val="0"/>
          <w:szCs w:val="21"/>
          <w:lang w:bidi="ar"/>
        </w:rPr>
        <w:t>释义</w:t>
      </w:r>
      <w:r>
        <w:rPr>
          <w:rFonts w:hint="eastAsia" w:ascii="宋体" w:hAnsi="宋体" w:cs="宋体"/>
          <w:b/>
          <w:bCs/>
          <w:color w:val="000000"/>
          <w:kern w:val="0"/>
          <w:szCs w:val="21"/>
          <w:lang w:val="en-US" w:eastAsia="zh-CN" w:bidi="ar"/>
        </w:rPr>
        <w:t>六</w:t>
      </w:r>
      <w:r>
        <w:rPr>
          <w:rFonts w:hint="eastAsia" w:ascii="宋体" w:hAnsi="宋体" w:cs="宋体"/>
          <w:b/>
          <w:bCs/>
          <w:color w:val="000000"/>
          <w:kern w:val="0"/>
          <w:szCs w:val="21"/>
          <w:lang w:bidi="ar"/>
        </w:rPr>
        <w:t>）初次诊断（释义</w:t>
      </w:r>
      <w:r>
        <w:rPr>
          <w:rFonts w:hint="eastAsia" w:ascii="宋体" w:hAnsi="宋体" w:cs="宋体"/>
          <w:b/>
          <w:bCs/>
          <w:color w:val="000000"/>
          <w:kern w:val="0"/>
          <w:szCs w:val="21"/>
          <w:lang w:val="en-US" w:eastAsia="zh-CN" w:bidi="ar"/>
        </w:rPr>
        <w:t>七</w:t>
      </w:r>
      <w:r>
        <w:rPr>
          <w:rFonts w:hint="eastAsia" w:ascii="宋体" w:hAnsi="宋体" w:cs="宋体"/>
          <w:b/>
          <w:bCs/>
          <w:color w:val="000000"/>
          <w:kern w:val="0"/>
          <w:szCs w:val="21"/>
          <w:lang w:bidi="ar"/>
        </w:rPr>
        <w:t>）</w:t>
      </w:r>
      <w:r>
        <w:rPr>
          <w:rFonts w:hint="eastAsia" w:ascii="宋体" w:hAnsi="宋体" w:cs="宋体"/>
          <w:color w:val="000000"/>
          <w:kern w:val="0"/>
          <w:szCs w:val="21"/>
          <w:lang w:bidi="ar"/>
        </w:rPr>
        <w:t>罹患本合同所约定的脑卒中疾病，并因该疾病在指定</w:t>
      </w:r>
      <w:r>
        <w:rPr>
          <w:rFonts w:hint="eastAsia" w:ascii="宋体" w:hAnsi="宋体" w:cs="宋体"/>
          <w:b/>
          <w:bCs/>
          <w:color w:val="000000"/>
          <w:kern w:val="0"/>
          <w:szCs w:val="21"/>
          <w:lang w:bidi="ar"/>
        </w:rPr>
        <w:t>医疗机构（释义</w:t>
      </w:r>
      <w:r>
        <w:rPr>
          <w:rFonts w:hint="eastAsia" w:ascii="宋体" w:hAnsi="宋体" w:cs="宋体"/>
          <w:b/>
          <w:bCs/>
          <w:color w:val="000000"/>
          <w:kern w:val="0"/>
          <w:szCs w:val="21"/>
          <w:lang w:val="en-US" w:eastAsia="zh-CN" w:bidi="ar"/>
        </w:rPr>
        <w:t>八</w:t>
      </w:r>
      <w:r>
        <w:rPr>
          <w:rFonts w:hint="eastAsia" w:ascii="宋体" w:hAnsi="宋体" w:cs="宋体"/>
          <w:b/>
          <w:bCs/>
          <w:color w:val="000000"/>
          <w:kern w:val="0"/>
          <w:szCs w:val="21"/>
          <w:lang w:bidi="ar"/>
        </w:rPr>
        <w:t>）</w:t>
      </w:r>
      <w:r>
        <w:rPr>
          <w:rFonts w:hint="eastAsia" w:ascii="宋体" w:hAnsi="宋体" w:cs="宋体"/>
          <w:color w:val="000000"/>
          <w:kern w:val="0"/>
          <w:szCs w:val="21"/>
          <w:lang w:bidi="ar"/>
        </w:rPr>
        <w:t>接受</w:t>
      </w:r>
      <w:r>
        <w:rPr>
          <w:rFonts w:hint="eastAsia" w:ascii="宋体" w:hAnsi="宋体" w:cs="宋体"/>
          <w:b/>
          <w:bCs/>
          <w:color w:val="000000"/>
          <w:kern w:val="0"/>
          <w:szCs w:val="21"/>
          <w:lang w:bidi="ar"/>
        </w:rPr>
        <w:t>住院</w:t>
      </w:r>
      <w:r>
        <w:rPr>
          <w:rFonts w:hint="eastAsia" w:ascii="宋体" w:hAnsi="宋体" w:cs="宋体"/>
          <w:b/>
          <w:bCs/>
          <w:color w:val="000000"/>
          <w:kern w:val="0"/>
          <w:szCs w:val="21"/>
          <w:lang w:eastAsia="zh-CN" w:bidi="ar"/>
        </w:rPr>
        <w:t>（</w:t>
      </w:r>
      <w:r>
        <w:rPr>
          <w:rFonts w:hint="eastAsia" w:ascii="宋体" w:hAnsi="宋体" w:cs="宋体"/>
          <w:b/>
          <w:bCs/>
          <w:color w:val="000000"/>
          <w:kern w:val="0"/>
          <w:szCs w:val="21"/>
          <w:lang w:val="en-US" w:eastAsia="zh-CN" w:bidi="ar"/>
        </w:rPr>
        <w:t>释义九）</w:t>
      </w:r>
      <w:r>
        <w:rPr>
          <w:rFonts w:hint="eastAsia" w:ascii="宋体" w:hAnsi="宋体" w:cs="宋体"/>
          <w:color w:val="000000"/>
          <w:kern w:val="0"/>
          <w:szCs w:val="21"/>
          <w:lang w:bidi="ar"/>
        </w:rPr>
        <w:t>治疗，对于被保险人在就诊期间所支付的</w:t>
      </w:r>
      <w:r>
        <w:rPr>
          <w:rFonts w:hint="eastAsia" w:ascii="宋体" w:hAnsi="宋体" w:cs="宋体"/>
          <w:b/>
          <w:bCs/>
          <w:color w:val="000000"/>
          <w:kern w:val="0"/>
          <w:szCs w:val="21"/>
          <w:lang w:bidi="ar"/>
        </w:rPr>
        <w:t>必需且合理（释义十）</w:t>
      </w:r>
      <w:r>
        <w:rPr>
          <w:rFonts w:hint="eastAsia" w:ascii="宋体" w:hAnsi="宋体" w:cs="宋体"/>
          <w:color w:val="000000"/>
          <w:kern w:val="0"/>
          <w:szCs w:val="21"/>
          <w:lang w:bidi="ar"/>
        </w:rPr>
        <w:t>的</w:t>
      </w:r>
      <w:r>
        <w:rPr>
          <w:rFonts w:hint="eastAsia" w:ascii="宋体" w:hAnsi="宋体" w:cs="宋体"/>
          <w:b/>
          <w:bCs/>
          <w:color w:val="000000"/>
          <w:kern w:val="0"/>
          <w:szCs w:val="21"/>
          <w:lang w:bidi="ar"/>
        </w:rPr>
        <w:t>住院医疗费用（释义十一）</w:t>
      </w:r>
      <w:r>
        <w:rPr>
          <w:rFonts w:hint="eastAsia" w:ascii="宋体" w:hAnsi="宋体" w:cs="宋体"/>
          <w:color w:val="000000"/>
          <w:kern w:val="0"/>
          <w:szCs w:val="21"/>
          <w:lang w:bidi="ar"/>
        </w:rPr>
        <w:t>、</w:t>
      </w:r>
      <w:r>
        <w:rPr>
          <w:rFonts w:hint="eastAsia" w:ascii="宋体" w:hAnsi="宋体" w:cs="宋体"/>
          <w:b/>
          <w:bCs/>
          <w:color w:val="000000"/>
          <w:kern w:val="0"/>
          <w:szCs w:val="21"/>
          <w:lang w:bidi="ar"/>
        </w:rPr>
        <w:t>住院前后门诊急诊医疗费用（释义十二）</w:t>
      </w:r>
      <w:r>
        <w:rPr>
          <w:rFonts w:hint="eastAsia" w:ascii="宋体" w:hAnsi="宋体" w:cs="宋体"/>
          <w:color w:val="000000"/>
          <w:kern w:val="0"/>
          <w:szCs w:val="21"/>
          <w:lang w:bidi="ar"/>
        </w:rPr>
        <w:t>，</w:t>
      </w:r>
      <w:r>
        <w:rPr>
          <w:rFonts w:hint="eastAsia" w:ascii="宋体" w:hAnsi="宋体" w:cs="宋体"/>
          <w:b/>
          <w:bCs/>
          <w:color w:val="000000"/>
          <w:kern w:val="0"/>
          <w:szCs w:val="21"/>
          <w:lang w:bidi="ar"/>
        </w:rPr>
        <w:t>保险人在扣除被保险人通过其他任何途径（指基本医疗保险（释义十三）、公费医疗或商业保险等任何第三方）已获得补偿及本合同约定的免赔额后，按本合同约定的赔付比例在保险金额内给付脑卒中医疗保险金</w:t>
      </w:r>
      <w:r>
        <w:rPr>
          <w:rFonts w:hint="eastAsia" w:ascii="宋体" w:hAnsi="宋体" w:cs="宋体"/>
          <w:color w:val="000000"/>
          <w:kern w:val="0"/>
          <w:szCs w:val="21"/>
          <w:lang w:bidi="ar"/>
        </w:rPr>
        <w:t>。</w:t>
      </w:r>
      <w:r>
        <w:rPr>
          <w:rFonts w:hint="eastAsia" w:ascii="宋体" w:hAnsi="宋体" w:cs="宋体"/>
          <w:b/>
          <w:bCs/>
          <w:color w:val="000000"/>
          <w:kern w:val="0"/>
          <w:szCs w:val="21"/>
          <w:lang w:bidi="ar"/>
        </w:rPr>
        <w:t>当保险人在本项下累计给付金额达到本项保险金额时，保险人对被保险人在本项下的保险责任终止。</w:t>
      </w:r>
    </w:p>
    <w:p>
      <w:pPr>
        <w:keepNext w:val="0"/>
        <w:keepLines w:val="0"/>
        <w:pageBreakBefore w:val="0"/>
        <w:widowControl/>
        <w:kinsoku/>
        <w:wordWrap/>
        <w:overflowPunct/>
        <w:topLinePunct w:val="0"/>
        <w:autoSpaceDE/>
        <w:autoSpaceDN/>
        <w:bidi w:val="0"/>
        <w:adjustRightInd/>
        <w:snapToGrid w:val="0"/>
        <w:spacing w:line="360" w:lineRule="auto"/>
        <w:ind w:firstLine="422" w:firstLineChars="200"/>
        <w:jc w:val="left"/>
        <w:textAlignment w:val="auto"/>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（二）</w:t>
      </w:r>
      <w:r>
        <w:rPr>
          <w:rFonts w:hint="eastAsia" w:ascii="宋体" w:hAnsi="宋体" w:cs="宋体"/>
          <w:b/>
          <w:bCs/>
          <w:color w:val="000000"/>
          <w:kern w:val="0"/>
          <w:szCs w:val="21"/>
          <w:lang w:bidi="ar"/>
        </w:rPr>
        <w:t>急性心肌梗死医疗保险责任</w:t>
      </w:r>
    </w:p>
    <w:p>
      <w:pPr>
        <w:keepNext w:val="0"/>
        <w:keepLines w:val="0"/>
        <w:pageBreakBefore w:val="0"/>
        <w:widowControl/>
        <w:kinsoku/>
        <w:wordWrap/>
        <w:overflowPunct/>
        <w:topLinePunct w:val="0"/>
        <w:autoSpaceDE/>
        <w:autoSpaceDN/>
        <w:bidi w:val="0"/>
        <w:adjustRightInd/>
        <w:snapToGrid w:val="0"/>
        <w:spacing w:line="360" w:lineRule="auto"/>
        <w:ind w:firstLine="420" w:firstLineChars="200"/>
        <w:jc w:val="left"/>
        <w:textAlignment w:val="auto"/>
        <w:rPr>
          <w:b/>
          <w:bCs/>
        </w:rPr>
      </w:pPr>
      <w:r>
        <w:rPr>
          <w:rFonts w:hint="eastAsia" w:ascii="宋体" w:hAnsi="宋体" w:cs="宋体"/>
          <w:color w:val="000000"/>
          <w:kern w:val="0"/>
          <w:szCs w:val="21"/>
          <w:lang w:bidi="ar"/>
        </w:rPr>
        <w:t>在保险期间内，被保险人在等待期后经专科医生初次诊断罹患本合同所约定的急性心肌梗死疾病，并因该疾病在指定医疗机构接受住院治疗，对于被保险人在就诊期间所支付的必需且合理的住院医疗费用、住院前后门诊急诊医疗费用，</w:t>
      </w:r>
      <w:r>
        <w:rPr>
          <w:rFonts w:hint="eastAsia" w:ascii="宋体" w:hAnsi="宋体" w:cs="宋体"/>
          <w:b/>
          <w:bCs/>
          <w:color w:val="000000"/>
          <w:kern w:val="0"/>
          <w:szCs w:val="21"/>
          <w:lang w:bidi="ar"/>
        </w:rPr>
        <w:t>保险人在扣除被保险人通过其他任何途径（指基本医疗保险、公费医疗或商业保险等任何第三方）已获得补偿及本合同约定的免赔额后，按本合同约定的赔付比例在保险金额内给付急性心肌梗死医疗保险金</w:t>
      </w:r>
      <w:r>
        <w:rPr>
          <w:rFonts w:hint="eastAsia" w:ascii="宋体" w:hAnsi="宋体" w:cs="宋体"/>
          <w:color w:val="000000"/>
          <w:kern w:val="0"/>
          <w:szCs w:val="21"/>
          <w:lang w:bidi="ar"/>
        </w:rPr>
        <w:t>。</w:t>
      </w:r>
      <w:r>
        <w:rPr>
          <w:rFonts w:hint="eastAsia" w:ascii="宋体" w:hAnsi="宋体" w:cs="宋体"/>
          <w:b/>
          <w:bCs/>
          <w:color w:val="000000"/>
          <w:kern w:val="0"/>
          <w:szCs w:val="21"/>
          <w:lang w:bidi="ar"/>
        </w:rPr>
        <w:t>当保险人在本项下累计给付金额达到本项保险金额时，保险人对被保险人在本项下的保险责任终止。</w:t>
      </w:r>
    </w:p>
    <w:p>
      <w:pPr>
        <w:keepNext w:val="0"/>
        <w:keepLines w:val="0"/>
        <w:pageBreakBefore w:val="0"/>
        <w:numPr>
          <w:ilvl w:val="0"/>
          <w:numId w:val="1"/>
        </w:numPr>
        <w:kinsoku/>
        <w:wordWrap/>
        <w:overflowPunct/>
        <w:topLinePunct w:val="0"/>
        <w:autoSpaceDE/>
        <w:autoSpaceDN/>
        <w:bidi w:val="0"/>
        <w:adjustRightInd/>
        <w:snapToGrid w:val="0"/>
        <w:spacing w:line="360" w:lineRule="auto"/>
        <w:ind w:firstLine="422" w:firstLineChars="200"/>
        <w:textAlignment w:val="auto"/>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免赔额</w:t>
      </w:r>
    </w:p>
    <w:p>
      <w:pPr>
        <w:keepNext w:val="0"/>
        <w:keepLines w:val="0"/>
        <w:pageBreakBefore w:val="0"/>
        <w:widowControl/>
        <w:kinsoku/>
        <w:wordWrap/>
        <w:overflowPunct/>
        <w:topLinePunct w:val="0"/>
        <w:autoSpaceDE/>
        <w:autoSpaceDN/>
        <w:bidi w:val="0"/>
        <w:adjustRightInd/>
        <w:snapToGrid w:val="0"/>
        <w:spacing w:line="360" w:lineRule="auto"/>
        <w:ind w:firstLine="422" w:firstLineChars="200"/>
        <w:jc w:val="left"/>
        <w:textAlignment w:val="auto"/>
        <w:rPr>
          <w:bCs/>
        </w:rPr>
      </w:pPr>
      <w:r>
        <w:rPr>
          <w:rFonts w:hint="eastAsia" w:asciiTheme="minorEastAsia" w:hAnsiTheme="minorEastAsia" w:eastAsiaTheme="minorEastAsia" w:cstheme="minorEastAsia"/>
          <w:b/>
          <w:szCs w:val="21"/>
        </w:rPr>
        <w:t>免赔额由投保人与保险人在订立本合同时协商确定，并在</w:t>
      </w:r>
      <w:r>
        <w:rPr>
          <w:rFonts w:hint="eastAsia" w:asciiTheme="minorEastAsia" w:hAnsiTheme="minorEastAsia" w:eastAsiaTheme="minorEastAsia" w:cstheme="minorEastAsia"/>
          <w:b/>
          <w:szCs w:val="21"/>
          <w:lang w:val="en-US" w:eastAsia="zh-CN"/>
        </w:rPr>
        <w:t>保险单</w:t>
      </w:r>
      <w:r>
        <w:rPr>
          <w:rFonts w:hint="eastAsia" w:asciiTheme="minorEastAsia" w:hAnsiTheme="minorEastAsia" w:eastAsiaTheme="minorEastAsia" w:cstheme="minorEastAsia"/>
          <w:b/>
          <w:szCs w:val="21"/>
        </w:rPr>
        <w:t>中载明。</w:t>
      </w:r>
    </w:p>
    <w:p>
      <w:pPr>
        <w:keepNext w:val="0"/>
        <w:keepLines w:val="0"/>
        <w:pageBreakBefore w:val="0"/>
        <w:kinsoku/>
        <w:wordWrap/>
        <w:overflowPunct/>
        <w:topLinePunct w:val="0"/>
        <w:autoSpaceDE/>
        <w:autoSpaceDN/>
        <w:bidi w:val="0"/>
        <w:adjustRightInd/>
        <w:snapToGrid w:val="0"/>
        <w:spacing w:line="360" w:lineRule="auto"/>
        <w:ind w:firstLine="422" w:firstLineChars="200"/>
        <w:textAlignment w:val="auto"/>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本合同中所指免赔额均指年免赔额，指在本合同保险期间内应由被保险人自行承担，保险人不予赔付的部分。被保险人从其他途径已获得的医疗费用补偿可用于抵扣免赔额，但通过基本医疗保险和公费医疗获得的医疗费用补偿，不可用于抵扣免赔额。</w:t>
      </w:r>
    </w:p>
    <w:p>
      <w:pPr>
        <w:keepNext w:val="0"/>
        <w:keepLines w:val="0"/>
        <w:pageBreakBefore w:val="0"/>
        <w:numPr>
          <w:ilvl w:val="0"/>
          <w:numId w:val="1"/>
        </w:numPr>
        <w:kinsoku/>
        <w:wordWrap/>
        <w:overflowPunct/>
        <w:topLinePunct w:val="0"/>
        <w:autoSpaceDE/>
        <w:autoSpaceDN/>
        <w:bidi w:val="0"/>
        <w:adjustRightInd/>
        <w:snapToGrid w:val="0"/>
        <w:spacing w:line="360" w:lineRule="auto"/>
        <w:ind w:firstLine="422" w:firstLineChars="200"/>
        <w:textAlignment w:val="auto"/>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补偿原则和给付标准</w:t>
      </w:r>
    </w:p>
    <w:p>
      <w:pPr>
        <w:keepNext w:val="0"/>
        <w:keepLines w:val="0"/>
        <w:pageBreakBefore w:val="0"/>
        <w:kinsoku/>
        <w:wordWrap/>
        <w:overflowPunct/>
        <w:topLinePunct w:val="0"/>
        <w:autoSpaceDE/>
        <w:autoSpaceDN/>
        <w:bidi w:val="0"/>
        <w:adjustRightInd/>
        <w:snapToGrid w:val="0"/>
        <w:spacing w:line="360" w:lineRule="auto"/>
        <w:ind w:firstLine="422" w:firstLineChars="200"/>
        <w:textAlignment w:val="auto"/>
        <w:outlineLvl w:val="0"/>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（一）本合同中</w:t>
      </w:r>
      <w:r>
        <w:rPr>
          <w:rFonts w:hint="eastAsia" w:ascii="宋体" w:hAnsi="宋体" w:cs="宋体"/>
          <w:b/>
          <w:bCs/>
          <w:color w:val="000000"/>
          <w:kern w:val="0"/>
          <w:szCs w:val="21"/>
          <w:lang w:bidi="ar"/>
        </w:rPr>
        <w:t>脑卒中医疗保险</w:t>
      </w:r>
      <w:r>
        <w:rPr>
          <w:rFonts w:hint="eastAsia" w:asciiTheme="minorEastAsia" w:hAnsiTheme="minorEastAsia" w:eastAsiaTheme="minorEastAsia" w:cstheme="minorEastAsia"/>
          <w:b/>
          <w:bCs/>
          <w:szCs w:val="21"/>
        </w:rPr>
        <w:t>责任、</w:t>
      </w:r>
      <w:r>
        <w:rPr>
          <w:rFonts w:hint="eastAsia" w:ascii="宋体" w:hAnsi="宋体" w:cs="宋体"/>
          <w:b/>
          <w:bCs/>
          <w:color w:val="000000"/>
          <w:kern w:val="0"/>
          <w:szCs w:val="21"/>
          <w:lang w:bidi="ar"/>
        </w:rPr>
        <w:t>急性心肌梗死医疗保险</w:t>
      </w:r>
      <w:r>
        <w:rPr>
          <w:rFonts w:hint="eastAsia" w:asciiTheme="minorEastAsia" w:hAnsiTheme="minorEastAsia" w:eastAsiaTheme="minorEastAsia" w:cstheme="minorEastAsia"/>
          <w:b/>
          <w:bCs/>
          <w:szCs w:val="21"/>
        </w:rPr>
        <w:t>责任均适用医疗费用补偿原则。若被保险人已从其他途径（包括基本医疗保险、公费医疗、工作单位、保险人在内的任何商业保险机构等）获得医疗费用补偿，则保险人仅对被保险人实际发生的医疗费用扣除其所获医疗费用补偿后的余额按照本合同的约定进行赔付。社保卡个人账户部分支出视为个人支付，不属于已获得的医疗费用补偿。</w:t>
      </w:r>
    </w:p>
    <w:p>
      <w:pPr>
        <w:keepNext w:val="0"/>
        <w:keepLines w:val="0"/>
        <w:pageBreakBefore w:val="0"/>
        <w:kinsoku/>
        <w:wordWrap/>
        <w:overflowPunct/>
        <w:topLinePunct w:val="0"/>
        <w:autoSpaceDE/>
        <w:autoSpaceDN/>
        <w:bidi w:val="0"/>
        <w:adjustRightInd/>
        <w:snapToGrid w:val="0"/>
        <w:spacing w:line="360" w:lineRule="auto"/>
        <w:ind w:firstLine="422" w:firstLineChars="200"/>
        <w:textAlignment w:val="auto"/>
        <w:outlineLvl w:val="0"/>
        <w:rPr>
          <w:rFonts w:ascii="宋体" w:hAnsi="宋体" w:cs="宋体"/>
          <w:b/>
          <w:bCs/>
          <w:color w:val="000000"/>
          <w:kern w:val="0"/>
          <w:szCs w:val="21"/>
          <w:lang w:bidi="ar"/>
        </w:rPr>
      </w:pPr>
      <w:r>
        <w:rPr>
          <w:rFonts w:hint="eastAsia" w:asciiTheme="minorEastAsia" w:hAnsiTheme="minorEastAsia" w:eastAsiaTheme="minorEastAsia" w:cstheme="minorEastAsia"/>
          <w:b/>
          <w:bCs/>
          <w:szCs w:val="21"/>
        </w:rPr>
        <w:t>（</w:t>
      </w:r>
      <w:r>
        <w:rPr>
          <w:rFonts w:hint="eastAsia" w:ascii="宋体" w:hAnsi="宋体" w:cs="宋体"/>
          <w:b/>
          <w:bCs/>
          <w:color w:val="000000"/>
          <w:kern w:val="0"/>
          <w:szCs w:val="21"/>
          <w:lang w:bidi="ar"/>
        </w:rPr>
        <w:t>二）若被保险人以参加基本医疗保险或公费医疗身份投保，但未以参加基本医疗保险或公费医疗身份就诊并结算的，则保险人根据保险单中单独约定的赔付比例进行给付。</w:t>
      </w:r>
    </w:p>
    <w:p>
      <w:pPr>
        <w:keepNext w:val="0"/>
        <w:keepLines w:val="0"/>
        <w:pageBreakBefore w:val="0"/>
        <w:kinsoku/>
        <w:wordWrap/>
        <w:overflowPunct/>
        <w:topLinePunct w:val="0"/>
        <w:autoSpaceDE/>
        <w:autoSpaceDN/>
        <w:bidi w:val="0"/>
        <w:adjustRightInd/>
        <w:snapToGrid w:val="0"/>
        <w:spacing w:line="360" w:lineRule="auto"/>
        <w:ind w:firstLine="422" w:firstLineChars="200"/>
        <w:textAlignment w:val="auto"/>
        <w:outlineLvl w:val="0"/>
        <w:rPr>
          <w:rFonts w:ascii="宋体" w:hAnsi="宋体" w:cs="宋体"/>
          <w:b/>
          <w:bCs/>
          <w:color w:val="000000"/>
          <w:kern w:val="0"/>
          <w:szCs w:val="21"/>
          <w:lang w:bidi="ar"/>
        </w:rPr>
      </w:pPr>
      <w:r>
        <w:rPr>
          <w:rFonts w:hint="eastAsia" w:ascii="宋体" w:hAnsi="宋体" w:eastAsia="宋体" w:cs="宋体"/>
          <w:b/>
          <w:bCs/>
          <w:color w:val="000000"/>
          <w:kern w:val="0"/>
          <w:szCs w:val="21"/>
          <w:lang w:bidi="ar"/>
        </w:rPr>
        <w:t>（1）被保</w:t>
      </w:r>
      <w:r>
        <w:rPr>
          <w:rFonts w:ascii="宋体" w:hAnsi="宋体" w:cs="宋体"/>
          <w:b/>
          <w:bCs/>
          <w:color w:val="000000"/>
          <w:kern w:val="0"/>
          <w:szCs w:val="21"/>
          <w:lang w:bidi="ar"/>
        </w:rPr>
        <w:t>险人在就诊期间所支付的必需且合理的住院医疗费用、住院前后门诊急诊医疗费用，投保人、保险人可以约定医疗费用的范围、项目等，并将约定的内容在</w:t>
      </w:r>
      <w:r>
        <w:rPr>
          <w:rFonts w:hint="eastAsia" w:ascii="宋体" w:hAnsi="宋体" w:cs="宋体"/>
          <w:b/>
          <w:bCs/>
          <w:color w:val="000000"/>
          <w:kern w:val="0"/>
          <w:szCs w:val="21"/>
          <w:lang w:val="en-US" w:eastAsia="zh-CN" w:bidi="ar"/>
        </w:rPr>
        <w:t>保险单</w:t>
      </w:r>
      <w:r>
        <w:rPr>
          <w:rFonts w:ascii="宋体" w:hAnsi="宋体" w:cs="宋体"/>
          <w:b/>
          <w:bCs/>
          <w:color w:val="000000"/>
          <w:kern w:val="0"/>
          <w:szCs w:val="21"/>
          <w:lang w:bidi="ar"/>
        </w:rPr>
        <w:t>中予以载明。</w:t>
      </w:r>
    </w:p>
    <w:p>
      <w:pPr>
        <w:keepNext w:val="0"/>
        <w:keepLines w:val="0"/>
        <w:pageBreakBefore w:val="0"/>
        <w:kinsoku/>
        <w:wordWrap/>
        <w:overflowPunct/>
        <w:topLinePunct w:val="0"/>
        <w:autoSpaceDE/>
        <w:autoSpaceDN/>
        <w:bidi w:val="0"/>
        <w:adjustRightInd/>
        <w:snapToGrid w:val="0"/>
        <w:spacing w:line="360" w:lineRule="auto"/>
        <w:ind w:firstLine="422" w:firstLineChars="200"/>
        <w:textAlignment w:val="auto"/>
        <w:outlineLvl w:val="0"/>
        <w:rPr>
          <w:rFonts w:ascii="宋体" w:hAnsi="宋体" w:cs="宋体"/>
          <w:b/>
          <w:bCs/>
          <w:color w:val="000000"/>
          <w:kern w:val="0"/>
          <w:szCs w:val="21"/>
          <w:lang w:bidi="ar"/>
        </w:rPr>
      </w:pPr>
      <w:r>
        <w:rPr>
          <w:rFonts w:hint="eastAsia" w:ascii="宋体" w:hAnsi="宋体" w:cs="宋体"/>
          <w:b/>
          <w:bCs/>
          <w:color w:val="000000"/>
          <w:kern w:val="0"/>
          <w:szCs w:val="21"/>
          <w:lang w:bidi="ar"/>
        </w:rPr>
        <w:t>（</w:t>
      </w:r>
      <w:r>
        <w:rPr>
          <w:rFonts w:ascii="宋体" w:hAnsi="宋体" w:cs="宋体"/>
          <w:b/>
          <w:bCs/>
          <w:color w:val="000000"/>
          <w:kern w:val="0"/>
          <w:szCs w:val="21"/>
          <w:lang w:bidi="ar"/>
        </w:rPr>
        <w:t>2）被保险人不论一次或多次接受治疗，本保险人均按上述约定给付保险金；但保险人累计</w:t>
      </w:r>
      <w:r>
        <w:rPr>
          <w:rFonts w:hint="eastAsia" w:ascii="宋体" w:hAnsi="宋体" w:cs="宋体"/>
          <w:b/>
          <w:bCs/>
          <w:color w:val="000000"/>
          <w:kern w:val="0"/>
          <w:szCs w:val="21"/>
          <w:lang w:bidi="ar"/>
        </w:rPr>
        <w:t>给付</w:t>
      </w:r>
      <w:r>
        <w:rPr>
          <w:rFonts w:ascii="宋体" w:hAnsi="宋体" w:cs="宋体"/>
          <w:b/>
          <w:bCs/>
          <w:color w:val="000000"/>
          <w:kern w:val="0"/>
          <w:szCs w:val="21"/>
          <w:lang w:bidi="ar"/>
        </w:rPr>
        <w:t>的金额以保险单载明的保险金额为限，当保险人累计</w:t>
      </w:r>
      <w:r>
        <w:rPr>
          <w:rFonts w:hint="eastAsia" w:ascii="宋体" w:hAnsi="宋体" w:cs="宋体"/>
          <w:b/>
          <w:bCs/>
          <w:color w:val="000000"/>
          <w:kern w:val="0"/>
          <w:szCs w:val="21"/>
          <w:lang w:bidi="ar"/>
        </w:rPr>
        <w:t>给付</w:t>
      </w:r>
      <w:r>
        <w:rPr>
          <w:rFonts w:ascii="宋体" w:hAnsi="宋体" w:cs="宋体"/>
          <w:b/>
          <w:bCs/>
          <w:color w:val="000000"/>
          <w:kern w:val="0"/>
          <w:szCs w:val="21"/>
          <w:lang w:bidi="ar"/>
        </w:rPr>
        <w:t>的金额达到保险单载明的保险金额时，本合同终止。</w:t>
      </w:r>
    </w:p>
    <w:p>
      <w:pPr>
        <w:keepNext w:val="0"/>
        <w:keepLines w:val="0"/>
        <w:pageBreakBefore w:val="0"/>
        <w:kinsoku/>
        <w:wordWrap/>
        <w:overflowPunct/>
        <w:topLinePunct w:val="0"/>
        <w:autoSpaceDE/>
        <w:autoSpaceDN/>
        <w:bidi w:val="0"/>
        <w:adjustRightInd/>
        <w:snapToGrid w:val="0"/>
        <w:spacing w:line="360" w:lineRule="auto"/>
        <w:ind w:firstLine="422" w:firstLineChars="200"/>
        <w:textAlignment w:val="auto"/>
        <w:outlineLvl w:val="0"/>
        <w:rPr>
          <w:rFonts w:ascii="宋体" w:hAnsi="宋体" w:cs="宋体"/>
          <w:b/>
          <w:bCs/>
          <w:color w:val="000000"/>
          <w:kern w:val="0"/>
          <w:szCs w:val="21"/>
          <w:lang w:bidi="ar"/>
        </w:rPr>
      </w:pPr>
      <w:r>
        <w:rPr>
          <w:rFonts w:hint="eastAsia" w:ascii="宋体" w:hAnsi="宋体" w:cs="宋体"/>
          <w:b/>
          <w:bCs/>
          <w:color w:val="000000"/>
          <w:kern w:val="0"/>
          <w:szCs w:val="21"/>
          <w:lang w:bidi="ar"/>
        </w:rPr>
        <w:t>（</w:t>
      </w:r>
      <w:r>
        <w:rPr>
          <w:rFonts w:hint="eastAsia" w:ascii="宋体" w:hAnsi="宋体" w:cs="宋体"/>
          <w:b/>
          <w:bCs/>
          <w:color w:val="000000"/>
          <w:kern w:val="0"/>
          <w:szCs w:val="21"/>
          <w:lang w:val="en-US" w:eastAsia="zh-CN" w:bidi="ar"/>
        </w:rPr>
        <w:t>三</w:t>
      </w:r>
      <w:r>
        <w:rPr>
          <w:rFonts w:ascii="宋体" w:hAnsi="宋体" w:cs="宋体"/>
          <w:b/>
          <w:bCs/>
          <w:color w:val="000000"/>
          <w:kern w:val="0"/>
          <w:szCs w:val="21"/>
          <w:lang w:bidi="ar"/>
        </w:rPr>
        <w:t>）</w:t>
      </w:r>
      <w:r>
        <w:rPr>
          <w:rFonts w:hint="eastAsia"/>
        </w:rPr>
        <w:t>到本合同保险期间届满日时，被保险人未结束本次住院治疗的，保险人继续承担因本次住院发生的、最高不超过本合同保险期间届满日后30日内（含第30日）的住院医疗费用。</w:t>
      </w:r>
      <w:r>
        <w:rPr>
          <w:rFonts w:hint="eastAsia"/>
          <w:b/>
          <w:bCs/>
        </w:rPr>
        <w:t>如第30日仍未结束本次住院治疗的，自第30日后发生的住院医疗费用不属于本合同保险责任。</w:t>
      </w:r>
    </w:p>
    <w:p>
      <w:pPr>
        <w:keepNext w:val="0"/>
        <w:keepLines w:val="0"/>
        <w:pageBreakBefore w:val="0"/>
        <w:numPr>
          <w:ilvl w:val="0"/>
          <w:numId w:val="1"/>
        </w:numPr>
        <w:kinsoku/>
        <w:wordWrap/>
        <w:overflowPunct/>
        <w:topLinePunct w:val="0"/>
        <w:autoSpaceDE/>
        <w:autoSpaceDN/>
        <w:bidi w:val="0"/>
        <w:adjustRightInd/>
        <w:snapToGrid w:val="0"/>
        <w:spacing w:line="360" w:lineRule="auto"/>
        <w:ind w:firstLine="422" w:firstLineChars="200"/>
        <w:textAlignment w:val="auto"/>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责任免除</w:t>
      </w:r>
    </w:p>
    <w:p>
      <w:pPr>
        <w:keepNext w:val="0"/>
        <w:keepLines w:val="0"/>
        <w:pageBreakBefore w:val="0"/>
        <w:kinsoku/>
        <w:wordWrap/>
        <w:overflowPunct/>
        <w:topLinePunct w:val="0"/>
        <w:autoSpaceDE/>
        <w:autoSpaceDN/>
        <w:bidi w:val="0"/>
        <w:adjustRightInd/>
        <w:snapToGrid w:val="0"/>
        <w:spacing w:line="360" w:lineRule="auto"/>
        <w:ind w:firstLine="422" w:firstLineChars="200"/>
        <w:textAlignment w:val="auto"/>
        <w:outlineLvl w:val="0"/>
        <w:rPr>
          <w14:textOutline w14:w="3835" w14:cap="flat" w14:cmpd="sng" w14:algn="ctr">
            <w14:solidFill>
              <w14:srgbClr w14:val="000000"/>
            </w14:solidFill>
            <w14:prstDash w14:val="solid"/>
            <w14:miter w14:val="0"/>
          </w14:textOutline>
        </w:rPr>
      </w:pPr>
      <w:r>
        <w:rPr>
          <w:rFonts w:hint="eastAsia" w:asciiTheme="minorEastAsia" w:hAnsiTheme="minorEastAsia" w:eastAsiaTheme="minorEastAsia" w:cstheme="minorEastAsia"/>
          <w:b/>
          <w:bCs/>
          <w:szCs w:val="21"/>
        </w:rPr>
        <w:t>（一）被保险人因下列原因而支出医疗费用的，保险人不承担给付保险金责任：</w:t>
      </w:r>
    </w:p>
    <w:p>
      <w:pPr>
        <w:pStyle w:val="3"/>
        <w:keepNext w:val="0"/>
        <w:keepLines w:val="0"/>
        <w:pageBreakBefore w:val="0"/>
        <w:numPr>
          <w:ilvl w:val="255"/>
          <w:numId w:val="0"/>
        </w:numPr>
        <w:kinsoku/>
        <w:wordWrap/>
        <w:overflowPunct/>
        <w:topLinePunct w:val="0"/>
        <w:autoSpaceDE/>
        <w:autoSpaceDN/>
        <w:bidi w:val="0"/>
        <w:adjustRightInd/>
        <w:snapToGrid w:val="0"/>
        <w:spacing w:line="360" w:lineRule="auto"/>
        <w:ind w:firstLine="422" w:firstLineChars="200"/>
        <w:jc w:val="left"/>
        <w:textAlignment w:val="auto"/>
        <w:rPr>
          <w:b/>
          <w:bCs/>
          <w:color w:val="000000"/>
          <w:kern w:val="0"/>
          <w:lang w:eastAsia="zh-CN" w:bidi="ar"/>
        </w:rPr>
      </w:pPr>
      <w:r>
        <w:rPr>
          <w:rFonts w:hint="eastAsia"/>
          <w:b/>
          <w:bCs/>
          <w:color w:val="000000"/>
          <w:kern w:val="0"/>
          <w:lang w:eastAsia="zh-CN" w:bidi="ar"/>
        </w:rPr>
        <w:t>1、被保险人罹患不符合本</w:t>
      </w:r>
      <w:r>
        <w:rPr>
          <w:rFonts w:hint="eastAsia"/>
          <w:b/>
          <w:bCs/>
          <w:color w:val="000000"/>
          <w:kern w:val="0"/>
          <w:lang w:eastAsia="zh-CN" w:bidi="ar"/>
        </w:rPr>
        <w:fldChar w:fldCharType="begin"/>
      </w:r>
      <w:r>
        <w:rPr>
          <w:b/>
          <w:bCs/>
          <w:color w:val="000000"/>
          <w:kern w:val="0"/>
          <w:lang w:eastAsia="zh-CN" w:bidi="ar"/>
        </w:rPr>
        <w:instrText xml:space="preserve"> HYPERLINK \l "bookmark15" </w:instrText>
      </w:r>
      <w:r>
        <w:rPr>
          <w:rFonts w:hint="eastAsia"/>
          <w:b/>
          <w:bCs/>
          <w:color w:val="000000"/>
          <w:kern w:val="0"/>
          <w:lang w:eastAsia="zh-CN" w:bidi="ar"/>
        </w:rPr>
        <w:fldChar w:fldCharType="separate"/>
      </w:r>
      <w:r>
        <w:rPr>
          <w:rFonts w:hint="eastAsia"/>
          <w:b/>
          <w:bCs/>
          <w:color w:val="000000"/>
          <w:kern w:val="0"/>
          <w:lang w:eastAsia="zh-CN" w:bidi="ar"/>
        </w:rPr>
        <w:t>合同脑卒中、</w:t>
      </w:r>
      <w:r>
        <w:rPr>
          <w:rFonts w:hint="eastAsia"/>
          <w:b/>
          <w:bCs/>
          <w:color w:val="000000"/>
          <w:kern w:val="0"/>
          <w:lang w:eastAsia="zh-CN" w:bidi="ar"/>
        </w:rPr>
        <w:fldChar w:fldCharType="end"/>
      </w:r>
      <w:r>
        <w:rPr>
          <w:rFonts w:hint="eastAsia"/>
          <w:b/>
          <w:bCs/>
          <w:color w:val="000000"/>
          <w:kern w:val="0"/>
          <w:lang w:eastAsia="zh-CN" w:bidi="ar"/>
        </w:rPr>
        <w:fldChar w:fldCharType="begin"/>
      </w:r>
      <w:r>
        <w:rPr>
          <w:b/>
          <w:bCs/>
          <w:color w:val="000000"/>
          <w:kern w:val="0"/>
          <w:lang w:eastAsia="zh-CN" w:bidi="ar"/>
        </w:rPr>
        <w:instrText xml:space="preserve"> HYPERLINK \l "bookmark16" </w:instrText>
      </w:r>
      <w:r>
        <w:rPr>
          <w:rFonts w:hint="eastAsia"/>
          <w:b/>
          <w:bCs/>
          <w:color w:val="000000"/>
          <w:kern w:val="0"/>
          <w:lang w:eastAsia="zh-CN" w:bidi="ar"/>
        </w:rPr>
        <w:fldChar w:fldCharType="separate"/>
      </w:r>
      <w:r>
        <w:rPr>
          <w:rFonts w:hint="eastAsia"/>
          <w:b/>
          <w:bCs/>
          <w:color w:val="000000"/>
          <w:kern w:val="0"/>
          <w:lang w:eastAsia="zh-CN" w:bidi="ar"/>
        </w:rPr>
        <w:t>急性心肌梗</w:t>
      </w:r>
      <w:r>
        <w:rPr>
          <w:rFonts w:hint="eastAsia"/>
          <w:b/>
          <w:bCs/>
          <w:color w:val="000000"/>
          <w:kern w:val="0"/>
          <w:lang w:eastAsia="zh-CN" w:bidi="ar"/>
        </w:rPr>
        <w:fldChar w:fldCharType="end"/>
      </w:r>
      <w:bookmarkStart w:id="0" w:name="bookmark17"/>
      <w:bookmarkEnd w:id="0"/>
      <w:r>
        <w:rPr>
          <w:rFonts w:hint="eastAsia"/>
          <w:b/>
          <w:bCs/>
          <w:color w:val="000000"/>
          <w:kern w:val="0"/>
          <w:lang w:eastAsia="zh-CN" w:bidi="ar"/>
        </w:rPr>
        <w:fldChar w:fldCharType="begin"/>
      </w:r>
      <w:r>
        <w:rPr>
          <w:b/>
          <w:bCs/>
          <w:color w:val="000000"/>
          <w:kern w:val="0"/>
          <w:lang w:eastAsia="zh-CN" w:bidi="ar"/>
        </w:rPr>
        <w:instrText xml:space="preserve"> HYPERLINK \l "bookmark18" </w:instrText>
      </w:r>
      <w:r>
        <w:rPr>
          <w:rFonts w:hint="eastAsia"/>
          <w:b/>
          <w:bCs/>
          <w:color w:val="000000"/>
          <w:kern w:val="0"/>
          <w:lang w:eastAsia="zh-CN" w:bidi="ar"/>
        </w:rPr>
        <w:fldChar w:fldCharType="separate"/>
      </w:r>
      <w:r>
        <w:rPr>
          <w:rFonts w:hint="eastAsia"/>
          <w:b/>
          <w:bCs/>
          <w:color w:val="000000"/>
          <w:kern w:val="0"/>
          <w:lang w:eastAsia="zh-CN" w:bidi="ar"/>
        </w:rPr>
        <w:t>死的其他疾病；</w:t>
      </w:r>
      <w:r>
        <w:rPr>
          <w:rFonts w:hint="eastAsia"/>
          <w:b/>
          <w:bCs/>
          <w:color w:val="000000"/>
          <w:kern w:val="0"/>
          <w:lang w:eastAsia="zh-CN" w:bidi="ar"/>
        </w:rPr>
        <w:fldChar w:fldCharType="end"/>
      </w:r>
    </w:p>
    <w:p>
      <w:pPr>
        <w:pStyle w:val="3"/>
        <w:keepNext w:val="0"/>
        <w:keepLines w:val="0"/>
        <w:pageBreakBefore w:val="0"/>
        <w:numPr>
          <w:ilvl w:val="255"/>
          <w:numId w:val="0"/>
        </w:numPr>
        <w:kinsoku/>
        <w:wordWrap/>
        <w:overflowPunct/>
        <w:topLinePunct w:val="0"/>
        <w:autoSpaceDE/>
        <w:autoSpaceDN/>
        <w:bidi w:val="0"/>
        <w:adjustRightInd/>
        <w:snapToGrid w:val="0"/>
        <w:spacing w:line="360" w:lineRule="auto"/>
        <w:ind w:firstLine="422" w:firstLineChars="200"/>
        <w:jc w:val="left"/>
        <w:textAlignment w:val="auto"/>
        <w:rPr>
          <w:b/>
          <w:bCs/>
          <w:color w:val="000000"/>
          <w:kern w:val="0"/>
          <w:lang w:eastAsia="zh-CN" w:bidi="ar"/>
        </w:rPr>
      </w:pPr>
      <w:r>
        <w:rPr>
          <w:rFonts w:hint="eastAsia"/>
          <w:b/>
          <w:bCs/>
          <w:color w:val="000000"/>
          <w:kern w:val="0"/>
          <w:lang w:eastAsia="zh-CN" w:bidi="ar"/>
        </w:rPr>
        <w:t>2、</w:t>
      </w:r>
      <w:r>
        <w:rPr>
          <w:rFonts w:hint="eastAsia"/>
          <w:b/>
          <w:bCs/>
          <w:color w:val="000000"/>
          <w:kern w:val="0"/>
          <w:lang w:eastAsia="zh-CN" w:bidi="ar"/>
        </w:rPr>
        <w:fldChar w:fldCharType="begin"/>
      </w:r>
      <w:r>
        <w:rPr>
          <w:b/>
          <w:bCs/>
          <w:color w:val="000000"/>
          <w:kern w:val="0"/>
          <w:lang w:eastAsia="zh-CN" w:bidi="ar"/>
        </w:rPr>
        <w:instrText xml:space="preserve"> HYPERLINK \l "bookmark19" </w:instrText>
      </w:r>
      <w:r>
        <w:rPr>
          <w:rFonts w:hint="eastAsia"/>
          <w:b/>
          <w:bCs/>
          <w:color w:val="000000"/>
          <w:kern w:val="0"/>
          <w:lang w:eastAsia="zh-CN" w:bidi="ar"/>
        </w:rPr>
        <w:fldChar w:fldCharType="separate"/>
      </w:r>
      <w:r>
        <w:rPr>
          <w:rFonts w:hint="eastAsia"/>
          <w:b/>
          <w:bCs/>
          <w:color w:val="000000"/>
          <w:kern w:val="0"/>
          <w:lang w:eastAsia="zh-CN" w:bidi="ar"/>
        </w:rPr>
        <w:t>被保险人因意外伤害（释义十四）造</w:t>
      </w:r>
      <w:r>
        <w:rPr>
          <w:rFonts w:hint="eastAsia"/>
          <w:b/>
          <w:bCs/>
          <w:color w:val="000000"/>
          <w:kern w:val="0"/>
          <w:lang w:eastAsia="zh-CN" w:bidi="ar"/>
        </w:rPr>
        <w:fldChar w:fldCharType="end"/>
      </w:r>
      <w:r>
        <w:rPr>
          <w:rFonts w:hint="eastAsia"/>
          <w:b/>
          <w:bCs/>
          <w:color w:val="000000"/>
          <w:kern w:val="0"/>
          <w:lang w:eastAsia="zh-CN" w:bidi="ar"/>
        </w:rPr>
        <w:t>成的颅脑外伤及其后遗症；</w:t>
      </w:r>
      <w:bookmarkStart w:id="1" w:name="bookmark20"/>
      <w:bookmarkEnd w:id="1"/>
    </w:p>
    <w:p>
      <w:pPr>
        <w:pStyle w:val="3"/>
        <w:keepNext w:val="0"/>
        <w:keepLines w:val="0"/>
        <w:pageBreakBefore w:val="0"/>
        <w:numPr>
          <w:ilvl w:val="255"/>
          <w:numId w:val="0"/>
        </w:numPr>
        <w:kinsoku/>
        <w:wordWrap/>
        <w:overflowPunct/>
        <w:topLinePunct w:val="0"/>
        <w:autoSpaceDE/>
        <w:autoSpaceDN/>
        <w:bidi w:val="0"/>
        <w:adjustRightInd/>
        <w:snapToGrid w:val="0"/>
        <w:spacing w:line="360" w:lineRule="auto"/>
        <w:ind w:firstLine="422" w:firstLineChars="200"/>
        <w:jc w:val="left"/>
        <w:textAlignment w:val="auto"/>
        <w:rPr>
          <w:b/>
          <w:bCs/>
          <w:color w:val="000000"/>
          <w:kern w:val="0"/>
          <w:lang w:eastAsia="zh-CN" w:bidi="ar"/>
        </w:rPr>
      </w:pPr>
      <w:r>
        <w:rPr>
          <w:rFonts w:hint="eastAsia"/>
          <w:b/>
          <w:bCs/>
          <w:color w:val="000000"/>
          <w:kern w:val="0"/>
          <w:lang w:val="en-US" w:eastAsia="zh-CN" w:bidi="ar"/>
        </w:rPr>
        <w:t>3</w:t>
      </w:r>
      <w:r>
        <w:rPr>
          <w:rFonts w:hint="eastAsia"/>
          <w:b/>
          <w:bCs/>
          <w:color w:val="000000"/>
          <w:kern w:val="0"/>
          <w:lang w:eastAsia="zh-CN" w:bidi="ar"/>
        </w:rPr>
        <w:t>、被保险人患有未</w:t>
      </w:r>
      <w:r>
        <w:rPr>
          <w:rFonts w:hint="eastAsia"/>
          <w:b/>
          <w:bCs/>
          <w:color w:val="000000"/>
          <w:kern w:val="0"/>
          <w:lang w:eastAsia="zh-CN" w:bidi="ar"/>
        </w:rPr>
        <w:fldChar w:fldCharType="begin"/>
      </w:r>
      <w:r>
        <w:rPr>
          <w:b/>
          <w:bCs/>
          <w:color w:val="000000"/>
          <w:kern w:val="0"/>
          <w:lang w:eastAsia="zh-CN" w:bidi="ar"/>
        </w:rPr>
        <w:instrText xml:space="preserve"> HYPERLINK \l "bookmark21" </w:instrText>
      </w:r>
      <w:r>
        <w:rPr>
          <w:rFonts w:hint="eastAsia"/>
          <w:b/>
          <w:bCs/>
          <w:color w:val="000000"/>
          <w:kern w:val="0"/>
          <w:lang w:eastAsia="zh-CN" w:bidi="ar"/>
        </w:rPr>
        <w:fldChar w:fldCharType="separate"/>
      </w:r>
      <w:r>
        <w:rPr>
          <w:rFonts w:hint="eastAsia"/>
          <w:b/>
          <w:bCs/>
          <w:color w:val="000000"/>
          <w:kern w:val="0"/>
          <w:lang w:eastAsia="zh-CN" w:bidi="ar"/>
        </w:rPr>
        <w:t>在保险合同中约定予以承保的既往症（释义十五）；</w:t>
      </w:r>
      <w:r>
        <w:rPr>
          <w:rFonts w:hint="eastAsia"/>
          <w:b/>
          <w:bCs/>
          <w:color w:val="000000"/>
          <w:kern w:val="0"/>
          <w:lang w:eastAsia="zh-CN" w:bidi="ar"/>
        </w:rPr>
        <w:fldChar w:fldCharType="end"/>
      </w:r>
    </w:p>
    <w:p>
      <w:pPr>
        <w:pStyle w:val="3"/>
        <w:keepNext w:val="0"/>
        <w:keepLines w:val="0"/>
        <w:pageBreakBefore w:val="0"/>
        <w:numPr>
          <w:ilvl w:val="255"/>
          <w:numId w:val="0"/>
        </w:numPr>
        <w:kinsoku/>
        <w:wordWrap/>
        <w:overflowPunct/>
        <w:topLinePunct w:val="0"/>
        <w:autoSpaceDE/>
        <w:autoSpaceDN/>
        <w:bidi w:val="0"/>
        <w:adjustRightInd/>
        <w:snapToGrid w:val="0"/>
        <w:spacing w:line="360" w:lineRule="auto"/>
        <w:ind w:firstLine="422" w:firstLineChars="200"/>
        <w:jc w:val="left"/>
        <w:textAlignment w:val="auto"/>
        <w:rPr>
          <w:b/>
          <w:bCs/>
          <w:color w:val="000000"/>
          <w:kern w:val="0"/>
          <w:lang w:eastAsia="zh-CN" w:bidi="ar"/>
        </w:rPr>
      </w:pPr>
      <w:r>
        <w:rPr>
          <w:rFonts w:hint="eastAsia"/>
          <w:b/>
          <w:bCs/>
          <w:color w:val="000000"/>
          <w:kern w:val="0"/>
          <w:lang w:val="en-US" w:eastAsia="zh-CN" w:bidi="ar"/>
        </w:rPr>
        <w:t>4</w:t>
      </w:r>
      <w:r>
        <w:rPr>
          <w:rFonts w:hint="eastAsia"/>
          <w:b/>
          <w:bCs/>
          <w:color w:val="000000"/>
          <w:kern w:val="0"/>
          <w:lang w:eastAsia="zh-CN" w:bidi="ar"/>
        </w:rPr>
        <w:t>、被保险人受酒精、毒品、管制药物的影响，但遵医嘱使用药物的情形不在此限；</w:t>
      </w:r>
    </w:p>
    <w:p>
      <w:pPr>
        <w:pStyle w:val="3"/>
        <w:keepNext w:val="0"/>
        <w:keepLines w:val="0"/>
        <w:pageBreakBefore w:val="0"/>
        <w:numPr>
          <w:ilvl w:val="255"/>
          <w:numId w:val="0"/>
        </w:numPr>
        <w:kinsoku/>
        <w:wordWrap/>
        <w:overflowPunct/>
        <w:topLinePunct w:val="0"/>
        <w:autoSpaceDE/>
        <w:autoSpaceDN/>
        <w:bidi w:val="0"/>
        <w:adjustRightInd/>
        <w:snapToGrid w:val="0"/>
        <w:spacing w:line="360" w:lineRule="auto"/>
        <w:ind w:firstLine="422" w:firstLineChars="200"/>
        <w:jc w:val="left"/>
        <w:textAlignment w:val="auto"/>
        <w:rPr>
          <w:b/>
          <w:bCs/>
          <w:color w:val="000000"/>
          <w:kern w:val="0"/>
          <w:lang w:eastAsia="zh-CN" w:bidi="ar"/>
        </w:rPr>
      </w:pPr>
      <w:r>
        <w:rPr>
          <w:rFonts w:hint="eastAsia"/>
          <w:b/>
          <w:bCs/>
          <w:color w:val="000000"/>
          <w:kern w:val="0"/>
          <w:lang w:val="en-US" w:eastAsia="zh-CN" w:bidi="ar"/>
        </w:rPr>
        <w:t>5</w:t>
      </w:r>
      <w:r>
        <w:rPr>
          <w:rFonts w:hint="eastAsia"/>
          <w:b/>
          <w:bCs/>
          <w:color w:val="000000"/>
          <w:kern w:val="0"/>
          <w:lang w:eastAsia="zh-CN" w:bidi="ar"/>
        </w:rPr>
        <w:t>、被保险人或未遵医嘱服用、涂用、注射药物，但按使用说明的规定使用非处方药不在此限；</w:t>
      </w:r>
    </w:p>
    <w:p>
      <w:pPr>
        <w:pStyle w:val="3"/>
        <w:keepNext w:val="0"/>
        <w:keepLines w:val="0"/>
        <w:pageBreakBefore w:val="0"/>
        <w:numPr>
          <w:ilvl w:val="255"/>
          <w:numId w:val="0"/>
        </w:numPr>
        <w:kinsoku/>
        <w:wordWrap/>
        <w:overflowPunct/>
        <w:topLinePunct w:val="0"/>
        <w:autoSpaceDE/>
        <w:autoSpaceDN/>
        <w:bidi w:val="0"/>
        <w:adjustRightInd/>
        <w:snapToGrid w:val="0"/>
        <w:spacing w:line="360" w:lineRule="auto"/>
        <w:ind w:firstLine="422" w:firstLineChars="200"/>
        <w:jc w:val="left"/>
        <w:textAlignment w:val="auto"/>
        <w:rPr>
          <w:b/>
          <w:bCs/>
          <w:color w:val="000000"/>
          <w:kern w:val="0"/>
          <w:lang w:eastAsia="zh-CN" w:bidi="ar"/>
        </w:rPr>
      </w:pPr>
      <w:bookmarkStart w:id="2" w:name="bookmark22"/>
      <w:bookmarkEnd w:id="2"/>
      <w:r>
        <w:rPr>
          <w:rFonts w:hint="eastAsia"/>
          <w:b/>
          <w:bCs/>
          <w:color w:val="000000"/>
          <w:kern w:val="0"/>
          <w:lang w:val="en-US" w:eastAsia="zh-CN" w:bidi="ar"/>
        </w:rPr>
        <w:t>6</w:t>
      </w:r>
      <w:r>
        <w:rPr>
          <w:rFonts w:hint="eastAsia"/>
          <w:b/>
          <w:bCs/>
          <w:color w:val="000000"/>
          <w:kern w:val="0"/>
          <w:lang w:eastAsia="zh-CN" w:bidi="ar"/>
        </w:rPr>
        <w:t>、</w:t>
      </w:r>
      <w:r>
        <w:rPr>
          <w:rFonts w:hint="eastAsia"/>
          <w:b/>
          <w:bCs/>
          <w:color w:val="000000"/>
          <w:kern w:val="0"/>
          <w:lang w:eastAsia="zh-CN" w:bidi="ar"/>
        </w:rPr>
        <w:fldChar w:fldCharType="begin"/>
      </w:r>
      <w:r>
        <w:rPr>
          <w:b/>
          <w:bCs/>
          <w:color w:val="000000"/>
          <w:kern w:val="0"/>
          <w:lang w:eastAsia="zh-CN" w:bidi="ar"/>
        </w:rPr>
        <w:instrText xml:space="preserve"> HYPERLINK \l "bookmark23" </w:instrText>
      </w:r>
      <w:r>
        <w:rPr>
          <w:rFonts w:hint="eastAsia"/>
          <w:b/>
          <w:bCs/>
          <w:color w:val="000000"/>
          <w:kern w:val="0"/>
          <w:lang w:eastAsia="zh-CN" w:bidi="ar"/>
        </w:rPr>
        <w:fldChar w:fldCharType="separate"/>
      </w:r>
      <w:r>
        <w:rPr>
          <w:rFonts w:hint="eastAsia"/>
          <w:b/>
          <w:bCs/>
          <w:color w:val="000000"/>
          <w:kern w:val="0"/>
          <w:lang w:eastAsia="zh-CN" w:bidi="ar"/>
        </w:rPr>
        <w:t>医疗事故（释义十六）。</w:t>
      </w:r>
      <w:r>
        <w:rPr>
          <w:rFonts w:hint="eastAsia"/>
          <w:b/>
          <w:bCs/>
          <w:color w:val="000000"/>
          <w:kern w:val="0"/>
          <w:lang w:eastAsia="zh-CN" w:bidi="ar"/>
        </w:rPr>
        <w:fldChar w:fldCharType="end"/>
      </w:r>
    </w:p>
    <w:p>
      <w:pPr>
        <w:pStyle w:val="3"/>
        <w:keepNext w:val="0"/>
        <w:keepLines w:val="0"/>
        <w:pageBreakBefore w:val="0"/>
        <w:numPr>
          <w:ilvl w:val="255"/>
          <w:numId w:val="0"/>
        </w:numPr>
        <w:kinsoku/>
        <w:wordWrap/>
        <w:overflowPunct/>
        <w:topLinePunct w:val="0"/>
        <w:autoSpaceDE/>
        <w:autoSpaceDN/>
        <w:bidi w:val="0"/>
        <w:adjustRightInd/>
        <w:snapToGrid w:val="0"/>
        <w:spacing w:line="360" w:lineRule="auto"/>
        <w:ind w:firstLine="422" w:firstLineChars="200"/>
        <w:jc w:val="left"/>
        <w:textAlignment w:val="auto"/>
        <w:rPr>
          <w:b/>
          <w:bCs/>
          <w:color w:val="000000"/>
          <w:kern w:val="0"/>
          <w:lang w:eastAsia="zh-CN" w:bidi="ar"/>
        </w:rPr>
      </w:pPr>
      <w:r>
        <w:rPr>
          <w:rFonts w:hint="eastAsia"/>
          <w:b/>
          <w:bCs/>
          <w:color w:val="000000"/>
          <w:kern w:val="0"/>
          <w:lang w:eastAsia="zh-CN" w:bidi="ar"/>
        </w:rPr>
        <w:t>（二）以下医疗费用，保险人不承担给付保险金责任：</w:t>
      </w:r>
    </w:p>
    <w:p>
      <w:pPr>
        <w:pStyle w:val="3"/>
        <w:keepNext w:val="0"/>
        <w:keepLines w:val="0"/>
        <w:pageBreakBefore w:val="0"/>
        <w:numPr>
          <w:ilvl w:val="255"/>
          <w:numId w:val="0"/>
        </w:numPr>
        <w:kinsoku/>
        <w:wordWrap/>
        <w:overflowPunct/>
        <w:topLinePunct w:val="0"/>
        <w:autoSpaceDE/>
        <w:autoSpaceDN/>
        <w:bidi w:val="0"/>
        <w:adjustRightInd/>
        <w:snapToGrid w:val="0"/>
        <w:spacing w:line="360" w:lineRule="auto"/>
        <w:ind w:firstLine="422" w:firstLineChars="200"/>
        <w:jc w:val="left"/>
        <w:textAlignment w:val="auto"/>
        <w:rPr>
          <w:rFonts w:hint="eastAsia"/>
          <w:b/>
          <w:bCs/>
          <w:color w:val="000000"/>
          <w:kern w:val="0"/>
          <w:lang w:val="en-US" w:eastAsia="zh-CN" w:bidi="ar"/>
        </w:rPr>
      </w:pPr>
      <w:r>
        <w:rPr>
          <w:rFonts w:hint="eastAsia"/>
          <w:b/>
          <w:bCs/>
          <w:color w:val="000000"/>
          <w:kern w:val="0"/>
          <w:lang w:val="en-US" w:eastAsia="zh-CN" w:bidi="ar"/>
        </w:rPr>
        <w:t>1、</w:t>
      </w:r>
      <w:r>
        <w:rPr>
          <w:rFonts w:hint="eastAsia"/>
          <w:b/>
          <w:bCs/>
          <w:color w:val="000000"/>
          <w:kern w:val="0"/>
          <w:lang w:eastAsia="zh-CN" w:bidi="ar"/>
        </w:rPr>
        <w:t>未经医生处方自行购买的药品</w:t>
      </w:r>
      <w:r>
        <w:rPr>
          <w:rFonts w:hint="eastAsia"/>
          <w:b/>
          <w:bCs/>
          <w:color w:val="000000"/>
          <w:kern w:val="0"/>
          <w:lang w:val="en-US" w:eastAsia="zh-CN" w:bidi="ar"/>
        </w:rPr>
        <w:t>费用</w:t>
      </w:r>
      <w:r>
        <w:rPr>
          <w:rFonts w:hint="eastAsia"/>
          <w:b/>
          <w:bCs/>
          <w:color w:val="000000"/>
          <w:kern w:val="0"/>
          <w:lang w:eastAsia="zh-CN" w:bidi="ar"/>
        </w:rPr>
        <w:t>或在非合同约定的医院或指定医疗机构药房或指定药房购买的药品</w:t>
      </w:r>
      <w:r>
        <w:rPr>
          <w:rFonts w:hint="eastAsia"/>
          <w:b/>
          <w:bCs/>
          <w:color w:val="000000"/>
          <w:kern w:val="0"/>
          <w:lang w:val="en-US" w:eastAsia="zh-CN" w:bidi="ar"/>
        </w:rPr>
        <w:t>费用</w:t>
      </w:r>
      <w:r>
        <w:rPr>
          <w:rFonts w:hint="eastAsia"/>
          <w:b/>
          <w:bCs/>
          <w:color w:val="000000"/>
          <w:kern w:val="0"/>
          <w:lang w:eastAsia="zh-CN" w:bidi="ar"/>
        </w:rPr>
        <w:t>、滋补类中草药及其泡制的各类酒制剂、医生开具的超过30天部分的药品</w:t>
      </w:r>
      <w:r>
        <w:rPr>
          <w:rFonts w:hint="eastAsia"/>
          <w:b/>
          <w:bCs/>
          <w:color w:val="000000"/>
          <w:kern w:val="0"/>
          <w:lang w:val="en-US" w:eastAsia="zh-CN" w:bidi="ar"/>
        </w:rPr>
        <w:t>费用</w:t>
      </w:r>
      <w:r>
        <w:rPr>
          <w:rFonts w:hint="eastAsia"/>
          <w:b/>
          <w:bCs/>
          <w:color w:val="000000"/>
          <w:kern w:val="0"/>
          <w:lang w:eastAsia="zh-CN" w:bidi="ar"/>
        </w:rPr>
        <w:t>；</w:t>
      </w:r>
    </w:p>
    <w:p>
      <w:pPr>
        <w:pStyle w:val="3"/>
        <w:keepNext w:val="0"/>
        <w:keepLines w:val="0"/>
        <w:pageBreakBefore w:val="0"/>
        <w:numPr>
          <w:ilvl w:val="255"/>
          <w:numId w:val="0"/>
        </w:numPr>
        <w:kinsoku/>
        <w:wordWrap/>
        <w:overflowPunct/>
        <w:topLinePunct w:val="0"/>
        <w:autoSpaceDE/>
        <w:autoSpaceDN/>
        <w:bidi w:val="0"/>
        <w:adjustRightInd/>
        <w:snapToGrid w:val="0"/>
        <w:spacing w:line="360" w:lineRule="auto"/>
        <w:ind w:firstLine="422" w:firstLineChars="200"/>
        <w:jc w:val="left"/>
        <w:textAlignment w:val="auto"/>
        <w:rPr>
          <w:b/>
          <w:bCs/>
          <w:color w:val="000000"/>
          <w:kern w:val="0"/>
          <w:lang w:eastAsia="zh-CN" w:bidi="ar"/>
        </w:rPr>
      </w:pPr>
      <w:r>
        <w:rPr>
          <w:rFonts w:hint="eastAsia"/>
          <w:b/>
          <w:bCs/>
          <w:color w:val="000000"/>
          <w:kern w:val="0"/>
          <w:lang w:val="en-US" w:eastAsia="zh-CN" w:bidi="ar"/>
        </w:rPr>
        <w:t>2</w:t>
      </w:r>
      <w:r>
        <w:rPr>
          <w:rFonts w:hint="eastAsia"/>
          <w:b/>
          <w:bCs/>
          <w:color w:val="000000"/>
          <w:kern w:val="0"/>
          <w:lang w:eastAsia="zh-CN" w:bidi="ar"/>
        </w:rPr>
        <w:t>、除另有约定外，院外购药产生的医疗费用；</w:t>
      </w:r>
    </w:p>
    <w:p>
      <w:pPr>
        <w:pStyle w:val="3"/>
        <w:keepNext w:val="0"/>
        <w:keepLines w:val="0"/>
        <w:pageBreakBefore w:val="0"/>
        <w:numPr>
          <w:ilvl w:val="255"/>
          <w:numId w:val="0"/>
        </w:numPr>
        <w:kinsoku/>
        <w:wordWrap/>
        <w:overflowPunct/>
        <w:topLinePunct w:val="0"/>
        <w:autoSpaceDE/>
        <w:autoSpaceDN/>
        <w:bidi w:val="0"/>
        <w:adjustRightInd/>
        <w:snapToGrid w:val="0"/>
        <w:spacing w:line="360" w:lineRule="auto"/>
        <w:ind w:firstLine="422" w:firstLineChars="200"/>
        <w:jc w:val="left"/>
        <w:textAlignment w:val="auto"/>
        <w:rPr>
          <w:b/>
          <w:bCs/>
          <w:color w:val="000000"/>
          <w:kern w:val="0"/>
          <w:lang w:eastAsia="zh-CN" w:bidi="ar"/>
        </w:rPr>
      </w:pPr>
      <w:r>
        <w:rPr>
          <w:rFonts w:hint="eastAsia"/>
          <w:b/>
          <w:bCs/>
          <w:color w:val="000000"/>
          <w:kern w:val="0"/>
          <w:lang w:val="en-US" w:eastAsia="zh-CN" w:bidi="ar"/>
        </w:rPr>
        <w:t>3</w:t>
      </w:r>
      <w:r>
        <w:rPr>
          <w:rFonts w:hint="eastAsia"/>
          <w:b/>
          <w:bCs/>
          <w:color w:val="000000"/>
          <w:kern w:val="0"/>
          <w:lang w:eastAsia="zh-CN" w:bidi="ar"/>
        </w:rPr>
        <w:t>、接受以保健为目的的疗养、特别护理、静养，康复性治疗、物理治疗、心理治疗或预防性治疗产生的医疗费用；</w:t>
      </w:r>
    </w:p>
    <w:p>
      <w:pPr>
        <w:pStyle w:val="3"/>
        <w:keepNext w:val="0"/>
        <w:keepLines w:val="0"/>
        <w:pageBreakBefore w:val="0"/>
        <w:numPr>
          <w:ilvl w:val="255"/>
          <w:numId w:val="0"/>
        </w:numPr>
        <w:kinsoku/>
        <w:wordWrap/>
        <w:overflowPunct/>
        <w:topLinePunct w:val="0"/>
        <w:autoSpaceDE/>
        <w:autoSpaceDN/>
        <w:bidi w:val="0"/>
        <w:adjustRightInd/>
        <w:snapToGrid w:val="0"/>
        <w:spacing w:line="360" w:lineRule="auto"/>
        <w:ind w:firstLine="422" w:firstLineChars="200"/>
        <w:jc w:val="left"/>
        <w:textAlignment w:val="auto"/>
        <w:rPr>
          <w:b/>
          <w:bCs/>
          <w:color w:val="000000"/>
          <w:kern w:val="0"/>
          <w:lang w:eastAsia="zh-CN" w:bidi="ar"/>
        </w:rPr>
      </w:pPr>
      <w:r>
        <w:rPr>
          <w:rFonts w:hint="eastAsia"/>
          <w:b/>
          <w:bCs/>
          <w:color w:val="000000"/>
          <w:kern w:val="0"/>
          <w:lang w:val="en-US" w:eastAsia="zh-CN" w:bidi="ar"/>
        </w:rPr>
        <w:t>4</w:t>
      </w:r>
      <w:r>
        <w:rPr>
          <w:rFonts w:hint="eastAsia"/>
          <w:b/>
          <w:bCs/>
          <w:color w:val="000000"/>
          <w:kern w:val="0"/>
          <w:lang w:eastAsia="zh-CN" w:bidi="ar"/>
        </w:rPr>
        <w:t>、健康检查、看护、保健或任何与疾病无直接关系的咨询、检查和治疗产生的医疗费用；</w:t>
      </w:r>
    </w:p>
    <w:p>
      <w:pPr>
        <w:pStyle w:val="3"/>
        <w:keepNext w:val="0"/>
        <w:keepLines w:val="0"/>
        <w:pageBreakBefore w:val="0"/>
        <w:numPr>
          <w:ilvl w:val="255"/>
          <w:numId w:val="0"/>
        </w:numPr>
        <w:kinsoku/>
        <w:wordWrap/>
        <w:overflowPunct/>
        <w:topLinePunct w:val="0"/>
        <w:autoSpaceDE/>
        <w:autoSpaceDN/>
        <w:bidi w:val="0"/>
        <w:adjustRightInd/>
        <w:snapToGrid w:val="0"/>
        <w:spacing w:line="360" w:lineRule="auto"/>
        <w:ind w:firstLine="422" w:firstLineChars="200"/>
        <w:jc w:val="left"/>
        <w:textAlignment w:val="auto"/>
        <w:rPr>
          <w:b/>
          <w:bCs/>
          <w:color w:val="000000"/>
          <w:kern w:val="0"/>
          <w:lang w:eastAsia="zh-CN" w:bidi="ar"/>
        </w:rPr>
      </w:pPr>
      <w:r>
        <w:rPr>
          <w:rFonts w:hint="eastAsia"/>
          <w:b/>
          <w:bCs/>
          <w:color w:val="000000"/>
          <w:kern w:val="0"/>
          <w:lang w:val="en-US" w:eastAsia="zh-CN" w:bidi="ar"/>
        </w:rPr>
        <w:t>5</w:t>
      </w:r>
      <w:r>
        <w:rPr>
          <w:rFonts w:hint="eastAsia"/>
          <w:b/>
          <w:bCs/>
          <w:color w:val="000000"/>
          <w:kern w:val="0"/>
          <w:lang w:eastAsia="zh-CN" w:bidi="ar"/>
        </w:rPr>
        <w:t>、接受试验性药物或治疗的医疗费用；</w:t>
      </w:r>
    </w:p>
    <w:p>
      <w:pPr>
        <w:pStyle w:val="3"/>
        <w:keepNext w:val="0"/>
        <w:keepLines w:val="0"/>
        <w:pageBreakBefore w:val="0"/>
        <w:numPr>
          <w:ilvl w:val="255"/>
          <w:numId w:val="0"/>
        </w:numPr>
        <w:kinsoku/>
        <w:wordWrap/>
        <w:overflowPunct/>
        <w:topLinePunct w:val="0"/>
        <w:autoSpaceDE/>
        <w:autoSpaceDN/>
        <w:bidi w:val="0"/>
        <w:adjustRightInd/>
        <w:snapToGrid w:val="0"/>
        <w:spacing w:line="360" w:lineRule="auto"/>
        <w:ind w:firstLine="422" w:firstLineChars="200"/>
        <w:jc w:val="left"/>
        <w:textAlignment w:val="auto"/>
        <w:rPr>
          <w:b/>
          <w:bCs/>
          <w:color w:val="000000"/>
          <w:kern w:val="0"/>
          <w:lang w:eastAsia="zh-CN" w:bidi="ar"/>
        </w:rPr>
      </w:pPr>
      <w:r>
        <w:rPr>
          <w:rFonts w:hint="eastAsia"/>
          <w:b/>
          <w:bCs/>
          <w:color w:val="000000"/>
          <w:kern w:val="0"/>
          <w:lang w:val="en-US" w:eastAsia="zh-CN" w:bidi="ar"/>
        </w:rPr>
        <w:t>6</w:t>
      </w:r>
      <w:r>
        <w:rPr>
          <w:rFonts w:hint="eastAsia"/>
          <w:b/>
          <w:bCs/>
          <w:color w:val="000000"/>
          <w:kern w:val="0"/>
          <w:lang w:eastAsia="zh-CN" w:bidi="ar"/>
        </w:rPr>
        <w:t>、不符合入院标准、挂床住院（释义十七）或住院病人应当出院而拒不出院而发生的医疗费用。</w:t>
      </w:r>
    </w:p>
    <w:p>
      <w:pPr>
        <w:pStyle w:val="3"/>
        <w:keepNext w:val="0"/>
        <w:keepLines w:val="0"/>
        <w:pageBreakBefore w:val="0"/>
        <w:numPr>
          <w:ilvl w:val="255"/>
          <w:numId w:val="0"/>
        </w:numPr>
        <w:kinsoku/>
        <w:wordWrap/>
        <w:overflowPunct/>
        <w:topLinePunct w:val="0"/>
        <w:autoSpaceDE/>
        <w:autoSpaceDN/>
        <w:bidi w:val="0"/>
        <w:adjustRightInd/>
        <w:snapToGrid w:val="0"/>
        <w:spacing w:line="360" w:lineRule="auto"/>
        <w:ind w:firstLine="422" w:firstLineChars="200"/>
        <w:jc w:val="left"/>
        <w:textAlignment w:val="auto"/>
        <w:rPr>
          <w:b/>
          <w:bCs/>
          <w:color w:val="000000"/>
          <w:kern w:val="0"/>
          <w:lang w:eastAsia="zh-CN" w:bidi="ar"/>
        </w:rPr>
      </w:pPr>
      <w:r>
        <w:rPr>
          <w:rFonts w:hint="eastAsia"/>
          <w:b/>
          <w:bCs/>
          <w:color w:val="000000"/>
          <w:kern w:val="0"/>
          <w:lang w:eastAsia="zh-CN" w:bidi="ar"/>
        </w:rPr>
        <w:t>（三）被保险人在等待期内确诊罹患、或者在等待期内发病、但在等待期后确诊本合同约定的脑卒中或急性心肌梗死，保险人不承担给付保险金责任</w:t>
      </w:r>
      <w:r>
        <w:rPr>
          <w:b/>
          <w:bCs/>
          <w:color w:val="000000"/>
          <w:kern w:val="0"/>
          <w:lang w:eastAsia="zh-CN" w:bidi="ar"/>
        </w:rPr>
        <w:t>,并退还该被保险人已交纳的保险费；被保险人在等待期内已经发生的疾病、症状或病理改变且延续到等待期以后进行的任何诊断或治疗所发生的医疗费用，保险人不承担给付保险金的责任，保险人退还该被保险人的保险费，对该被保险人的保险责任终止。</w:t>
      </w:r>
    </w:p>
    <w:p>
      <w:pPr>
        <w:pStyle w:val="3"/>
        <w:keepNext w:val="0"/>
        <w:keepLines w:val="0"/>
        <w:pageBreakBefore w:val="0"/>
        <w:numPr>
          <w:ilvl w:val="255"/>
          <w:numId w:val="0"/>
        </w:numPr>
        <w:kinsoku/>
        <w:wordWrap/>
        <w:overflowPunct/>
        <w:topLinePunct w:val="0"/>
        <w:autoSpaceDE/>
        <w:autoSpaceDN/>
        <w:bidi w:val="0"/>
        <w:adjustRightInd/>
        <w:snapToGrid w:val="0"/>
        <w:spacing w:line="360" w:lineRule="auto"/>
        <w:ind w:firstLine="422" w:firstLineChars="200"/>
        <w:jc w:val="left"/>
        <w:textAlignment w:val="auto"/>
        <w:rPr>
          <w:b/>
          <w:bCs/>
          <w:color w:val="000000"/>
          <w:kern w:val="0"/>
          <w:lang w:eastAsia="zh-CN" w:bidi="ar"/>
        </w:rPr>
      </w:pPr>
      <w:r>
        <w:rPr>
          <w:rFonts w:hint="eastAsia"/>
          <w:b/>
          <w:bCs/>
          <w:color w:val="000000"/>
          <w:kern w:val="0"/>
          <w:lang w:eastAsia="zh-CN" w:bidi="ar"/>
        </w:rPr>
        <w:t>（四）对于本合同载明的免赔额，保险人不承担给付保险金的责任。</w:t>
      </w:r>
    </w:p>
    <w:p>
      <w:pPr>
        <w:keepNext w:val="0"/>
        <w:keepLines w:val="0"/>
        <w:pageBreakBefore w:val="0"/>
        <w:numPr>
          <w:ilvl w:val="0"/>
          <w:numId w:val="1"/>
        </w:numPr>
        <w:kinsoku/>
        <w:wordWrap/>
        <w:overflowPunct/>
        <w:topLinePunct w:val="0"/>
        <w:autoSpaceDE/>
        <w:autoSpaceDN/>
        <w:bidi w:val="0"/>
        <w:adjustRightInd/>
        <w:snapToGrid w:val="0"/>
        <w:spacing w:line="360" w:lineRule="auto"/>
        <w:ind w:firstLine="422" w:firstLineChars="200"/>
        <w:textAlignment w:val="auto"/>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保险金额与保险费</w:t>
      </w:r>
    </w:p>
    <w:p>
      <w:pPr>
        <w:keepNext w:val="0"/>
        <w:keepLines w:val="0"/>
        <w:pageBreakBefore w:val="0"/>
        <w:kinsoku/>
        <w:wordWrap/>
        <w:overflowPunct/>
        <w:topLinePunct w:val="0"/>
        <w:autoSpaceDE/>
        <w:autoSpaceDN/>
        <w:bidi w:val="0"/>
        <w:adjustRightInd/>
        <w:snapToGrid w:val="0"/>
        <w:spacing w:line="360" w:lineRule="auto"/>
        <w:ind w:firstLine="422" w:firstLineChars="200"/>
        <w:textAlignment w:val="auto"/>
        <w:rPr>
          <w:rFonts w:asciiTheme="minorEastAsia" w:hAnsiTheme="minorEastAsia" w:eastAsiaTheme="minorEastAsia" w:cstheme="minorEastAsia"/>
          <w:b/>
          <w:szCs w:val="21"/>
        </w:rPr>
      </w:pPr>
      <w:r>
        <w:rPr>
          <w:rFonts w:hint="eastAsia" w:asciiTheme="minorEastAsia" w:hAnsiTheme="minorEastAsia" w:eastAsiaTheme="minorEastAsia" w:cstheme="minorEastAsia"/>
          <w:b/>
          <w:bCs/>
          <w:szCs w:val="21"/>
        </w:rPr>
        <w:t>保险金额是保险人承担给付保险金责任的最高限额。</w:t>
      </w:r>
      <w:r>
        <w:rPr>
          <w:rFonts w:hint="eastAsia" w:asciiTheme="minorEastAsia" w:hAnsiTheme="minorEastAsia" w:eastAsiaTheme="minorEastAsia" w:cstheme="minorEastAsia"/>
          <w:szCs w:val="21"/>
        </w:rPr>
        <w:t>本合同的脑卒中医疗保险金额、急性心肌梗死医疗保险金额由投保人、保险人双方在签订合同时协商约定，并在保险单中载明。</w:t>
      </w:r>
      <w:r>
        <w:rPr>
          <w:rFonts w:hint="eastAsia" w:asciiTheme="minorEastAsia" w:hAnsiTheme="minorEastAsia" w:eastAsiaTheme="minorEastAsia" w:cstheme="minorEastAsia"/>
          <w:b/>
          <w:szCs w:val="21"/>
        </w:rPr>
        <w:t>保险金额一经确定，保险期间内不能进行变更。</w:t>
      </w:r>
    </w:p>
    <w:p>
      <w:pPr>
        <w:keepNext w:val="0"/>
        <w:keepLines w:val="0"/>
        <w:pageBreakBefore w:val="0"/>
        <w:kinsoku/>
        <w:wordWrap/>
        <w:overflowPunct/>
        <w:topLinePunct w:val="0"/>
        <w:autoSpaceDE/>
        <w:autoSpaceDN/>
        <w:bidi w:val="0"/>
        <w:adjustRightInd/>
        <w:snapToGrid w:val="0"/>
        <w:spacing w:line="360" w:lineRule="auto"/>
        <w:ind w:firstLine="420" w:firstLineChars="200"/>
        <w:textAlignment w:val="auto"/>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本合同的保险费按照被保险人的年龄、参加基本医疗保险或公费医疗情况及所选保险计划确定，具体保险费金额在保险单上载明。</w:t>
      </w:r>
    </w:p>
    <w:p>
      <w:pPr>
        <w:keepNext w:val="0"/>
        <w:keepLines w:val="0"/>
        <w:pageBreakBefore w:val="0"/>
        <w:numPr>
          <w:ilvl w:val="0"/>
          <w:numId w:val="1"/>
        </w:numPr>
        <w:kinsoku/>
        <w:wordWrap/>
        <w:overflowPunct/>
        <w:topLinePunct w:val="0"/>
        <w:autoSpaceDE/>
        <w:autoSpaceDN/>
        <w:bidi w:val="0"/>
        <w:adjustRightInd/>
        <w:snapToGrid w:val="0"/>
        <w:spacing w:line="360" w:lineRule="auto"/>
        <w:ind w:firstLine="422" w:firstLineChars="200"/>
        <w:textAlignment w:val="auto"/>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不保证续保</w:t>
      </w:r>
    </w:p>
    <w:p>
      <w:pPr>
        <w:keepNext w:val="0"/>
        <w:keepLines w:val="0"/>
        <w:pageBreakBefore w:val="0"/>
        <w:kinsoku/>
        <w:wordWrap/>
        <w:overflowPunct/>
        <w:topLinePunct w:val="0"/>
        <w:autoSpaceDE/>
        <w:autoSpaceDN/>
        <w:bidi w:val="0"/>
        <w:adjustRightInd/>
        <w:snapToGrid w:val="0"/>
        <w:spacing w:line="360" w:lineRule="auto"/>
        <w:ind w:firstLine="422" w:firstLineChars="200"/>
        <w:textAlignment w:val="auto"/>
        <w:rPr>
          <w:rFonts w:ascii="宋体" w:hAnsi="宋体" w:cs="宋体"/>
          <w:b/>
          <w:bCs/>
          <w:szCs w:val="21"/>
        </w:rPr>
      </w:pPr>
      <w:r>
        <w:rPr>
          <w:rFonts w:hint="eastAsia" w:ascii="宋体" w:hAnsi="宋体" w:cs="宋体"/>
          <w:b/>
          <w:bCs/>
          <w:szCs w:val="21"/>
        </w:rPr>
        <w:t>本合同为不保证续保合同</w:t>
      </w:r>
      <w:r>
        <w:rPr>
          <w:rFonts w:hint="eastAsia" w:ascii="宋体" w:hAnsi="宋体" w:cs="宋体"/>
          <w:szCs w:val="21"/>
        </w:rPr>
        <w:t>，</w:t>
      </w:r>
      <w:r>
        <w:rPr>
          <w:b/>
          <w:bCs/>
        </w:rPr>
        <w:t>本</w:t>
      </w:r>
      <w:r>
        <w:rPr>
          <w:rFonts w:hint="eastAsia"/>
          <w:b/>
          <w:bCs/>
        </w:rPr>
        <w:t>合同</w:t>
      </w:r>
      <w:r>
        <w:rPr>
          <w:b/>
          <w:bCs/>
        </w:rPr>
        <w:t>保险期间</w:t>
      </w:r>
      <w:r>
        <w:rPr>
          <w:rFonts w:hint="eastAsia" w:ascii="宋体" w:hAnsi="宋体" w:cs="宋体"/>
          <w:b/>
          <w:bCs/>
          <w:szCs w:val="21"/>
          <w:lang w:bidi="ar"/>
        </w:rPr>
        <w:t>最长</w:t>
      </w:r>
      <w:r>
        <w:rPr>
          <w:b/>
          <w:bCs/>
        </w:rPr>
        <w:t>为一年。保险期间届满，投保人需要重新向保险公司申请投保本</w:t>
      </w:r>
      <w:r>
        <w:rPr>
          <w:rFonts w:hint="eastAsia"/>
          <w:b/>
          <w:bCs/>
        </w:rPr>
        <w:t>合同</w:t>
      </w:r>
      <w:r>
        <w:rPr>
          <w:b/>
          <w:bCs/>
        </w:rPr>
        <w:t>，并经保险人同意，交纳保险费，获得新的保险合同。</w:t>
      </w:r>
    </w:p>
    <w:p>
      <w:pPr>
        <w:keepNext w:val="0"/>
        <w:keepLines w:val="0"/>
        <w:pageBreakBefore w:val="0"/>
        <w:kinsoku/>
        <w:wordWrap/>
        <w:overflowPunct/>
        <w:topLinePunct w:val="0"/>
        <w:autoSpaceDE/>
        <w:autoSpaceDN/>
        <w:bidi w:val="0"/>
        <w:adjustRightInd/>
        <w:snapToGrid w:val="0"/>
        <w:spacing w:line="360" w:lineRule="auto"/>
        <w:ind w:firstLine="422" w:firstLineChars="200"/>
        <w:textAlignment w:val="auto"/>
        <w:rPr>
          <w:rFonts w:hAnsi="宋体"/>
          <w:b/>
          <w:bCs/>
          <w:szCs w:val="21"/>
        </w:rPr>
      </w:pPr>
      <w:r>
        <w:rPr>
          <w:rFonts w:hint="eastAsia" w:hAnsi="宋体"/>
          <w:b/>
          <w:bCs/>
          <w:szCs w:val="21"/>
        </w:rPr>
        <w:t>若发生下列情形之一的，本合同不再接受重新投保：</w:t>
      </w:r>
    </w:p>
    <w:p>
      <w:pPr>
        <w:keepNext w:val="0"/>
        <w:keepLines w:val="0"/>
        <w:pageBreakBefore w:val="0"/>
        <w:numPr>
          <w:ilvl w:val="0"/>
          <w:numId w:val="2"/>
        </w:numPr>
        <w:kinsoku/>
        <w:wordWrap/>
        <w:overflowPunct/>
        <w:topLinePunct w:val="0"/>
        <w:autoSpaceDE/>
        <w:autoSpaceDN/>
        <w:bidi w:val="0"/>
        <w:adjustRightInd/>
        <w:snapToGrid w:val="0"/>
        <w:spacing w:line="360" w:lineRule="auto"/>
        <w:ind w:firstLine="422" w:firstLineChars="200"/>
        <w:textAlignment w:val="auto"/>
        <w:rPr>
          <w:rFonts w:ascii="宋体" w:hAnsi="宋体"/>
          <w:b/>
          <w:bCs/>
          <w:szCs w:val="21"/>
        </w:rPr>
      </w:pPr>
      <w:r>
        <w:rPr>
          <w:rFonts w:hint="eastAsia" w:ascii="宋体" w:hAnsi="宋体"/>
          <w:b/>
          <w:bCs/>
          <w:szCs w:val="21"/>
        </w:rPr>
        <w:t>本合同统一停售；</w:t>
      </w:r>
    </w:p>
    <w:p>
      <w:pPr>
        <w:keepNext w:val="0"/>
        <w:keepLines w:val="0"/>
        <w:pageBreakBefore w:val="0"/>
        <w:numPr>
          <w:ilvl w:val="0"/>
          <w:numId w:val="2"/>
        </w:numPr>
        <w:kinsoku/>
        <w:wordWrap/>
        <w:overflowPunct/>
        <w:topLinePunct w:val="0"/>
        <w:autoSpaceDE/>
        <w:autoSpaceDN/>
        <w:bidi w:val="0"/>
        <w:adjustRightInd/>
        <w:snapToGrid w:val="0"/>
        <w:spacing w:line="360" w:lineRule="auto"/>
        <w:ind w:firstLine="422" w:firstLineChars="200"/>
        <w:textAlignment w:val="auto"/>
        <w:rPr>
          <w:rFonts w:ascii="宋体" w:hAnsi="宋体"/>
          <w:b/>
          <w:bCs/>
          <w:szCs w:val="21"/>
        </w:rPr>
      </w:pPr>
      <w:r>
        <w:rPr>
          <w:rFonts w:hint="eastAsia" w:ascii="宋体" w:hAnsi="宋体"/>
          <w:b/>
          <w:bCs/>
          <w:szCs w:val="21"/>
        </w:rPr>
        <w:t>被保险人身故；</w:t>
      </w:r>
    </w:p>
    <w:p>
      <w:pPr>
        <w:keepNext w:val="0"/>
        <w:keepLines w:val="0"/>
        <w:pageBreakBefore w:val="0"/>
        <w:numPr>
          <w:ilvl w:val="0"/>
          <w:numId w:val="2"/>
        </w:numPr>
        <w:kinsoku/>
        <w:wordWrap/>
        <w:overflowPunct/>
        <w:topLinePunct w:val="0"/>
        <w:autoSpaceDE/>
        <w:autoSpaceDN/>
        <w:bidi w:val="0"/>
        <w:adjustRightInd/>
        <w:snapToGrid w:val="0"/>
        <w:spacing w:line="360" w:lineRule="auto"/>
        <w:ind w:firstLine="422" w:firstLineChars="200"/>
        <w:textAlignment w:val="auto"/>
        <w:rPr>
          <w:rFonts w:ascii="宋体" w:hAnsi="宋体"/>
          <w:b/>
          <w:bCs/>
          <w:szCs w:val="21"/>
        </w:rPr>
      </w:pPr>
      <w:r>
        <w:rPr>
          <w:rFonts w:hint="eastAsia" w:ascii="宋体" w:hAnsi="宋体"/>
          <w:b/>
          <w:bCs/>
          <w:szCs w:val="21"/>
        </w:rPr>
        <w:t>投保人未如实告知</w:t>
      </w:r>
      <w:r>
        <w:rPr>
          <w:rFonts w:ascii="宋体" w:hAnsi="宋体"/>
          <w:b/>
          <w:bCs/>
          <w:szCs w:val="21"/>
        </w:rPr>
        <w:t>,被保险人不符合投保条件或存在欺诈情形的；</w:t>
      </w:r>
    </w:p>
    <w:p>
      <w:pPr>
        <w:keepNext w:val="0"/>
        <w:keepLines w:val="0"/>
        <w:pageBreakBefore w:val="0"/>
        <w:numPr>
          <w:ilvl w:val="0"/>
          <w:numId w:val="2"/>
        </w:numPr>
        <w:kinsoku/>
        <w:wordWrap/>
        <w:overflowPunct/>
        <w:topLinePunct w:val="0"/>
        <w:autoSpaceDE/>
        <w:autoSpaceDN/>
        <w:bidi w:val="0"/>
        <w:adjustRightInd/>
        <w:snapToGrid w:val="0"/>
        <w:spacing w:line="360" w:lineRule="auto"/>
        <w:ind w:firstLine="422" w:firstLineChars="200"/>
        <w:textAlignment w:val="auto"/>
        <w:rPr>
          <w:rFonts w:ascii="宋体" w:hAnsi="宋体"/>
          <w:b/>
          <w:bCs/>
          <w:szCs w:val="21"/>
        </w:rPr>
      </w:pPr>
      <w:r>
        <w:rPr>
          <w:rFonts w:hint="eastAsia" w:ascii="宋体" w:hAnsi="宋体"/>
          <w:b/>
          <w:bCs/>
          <w:szCs w:val="21"/>
        </w:rPr>
        <w:t>本合同因其他条款所列情况而导致效力终止。</w:t>
      </w:r>
    </w:p>
    <w:p>
      <w:pPr>
        <w:keepNext w:val="0"/>
        <w:keepLines w:val="0"/>
        <w:pageBreakBefore w:val="0"/>
        <w:widowControl w:val="0"/>
        <w:kinsoku/>
        <w:wordWrap/>
        <w:overflowPunct/>
        <w:topLinePunct w:val="0"/>
        <w:autoSpaceDE/>
        <w:autoSpaceDN/>
        <w:bidi w:val="0"/>
        <w:adjustRightInd/>
        <w:snapToGrid w:val="0"/>
        <w:spacing w:before="157" w:beforeLines="50" w:line="360" w:lineRule="auto"/>
        <w:jc w:val="center"/>
        <w:textAlignment w:val="auto"/>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第三部分 保险人的义务</w:t>
      </w:r>
    </w:p>
    <w:p>
      <w:pPr>
        <w:keepNext w:val="0"/>
        <w:keepLines w:val="0"/>
        <w:pageBreakBefore w:val="0"/>
        <w:widowControl w:val="0"/>
        <w:numPr>
          <w:ilvl w:val="0"/>
          <w:numId w:val="1"/>
        </w:numPr>
        <w:kinsoku/>
        <w:wordWrap/>
        <w:overflowPunct/>
        <w:topLinePunct w:val="0"/>
        <w:autoSpaceDE/>
        <w:autoSpaceDN/>
        <w:bidi w:val="0"/>
        <w:snapToGrid w:val="0"/>
        <w:spacing w:line="360" w:lineRule="auto"/>
        <w:ind w:firstLine="422" w:firstLineChars="200"/>
        <w:textAlignment w:val="auto"/>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提示和说明</w:t>
      </w:r>
    </w:p>
    <w:p>
      <w:pPr>
        <w:keepNext w:val="0"/>
        <w:keepLines w:val="0"/>
        <w:pageBreakBefore w:val="0"/>
        <w:widowControl w:val="0"/>
        <w:kinsoku/>
        <w:wordWrap/>
        <w:overflowPunct/>
        <w:topLinePunct w:val="0"/>
        <w:autoSpaceDE/>
        <w:autoSpaceDN/>
        <w:bidi w:val="0"/>
        <w:snapToGrid w:val="0"/>
        <w:spacing w:line="360" w:lineRule="auto"/>
        <w:ind w:firstLine="420" w:firstLineChars="200"/>
        <w:textAlignment w:val="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订立本合同时，采用保险人提供的格式条款的，保险人向投保人提供的投保单应当附格式条款，保险人应当向投保人说明保险合同的内容。对保险合同中免除保险人责任的条款，保险人在订立合同时应当在投保单、保险单或者其他保险凭证上作出足以引起投保人注意的提示，并对该条款的内容以书面或者口头形式向投保人作出明确说明；未作提示或者明确说明的，该条款不产生效力。</w:t>
      </w:r>
    </w:p>
    <w:p>
      <w:pPr>
        <w:keepNext w:val="0"/>
        <w:keepLines w:val="0"/>
        <w:pageBreakBefore w:val="0"/>
        <w:widowControl w:val="0"/>
        <w:numPr>
          <w:ilvl w:val="0"/>
          <w:numId w:val="1"/>
        </w:numPr>
        <w:kinsoku/>
        <w:wordWrap/>
        <w:overflowPunct/>
        <w:topLinePunct w:val="0"/>
        <w:autoSpaceDE/>
        <w:autoSpaceDN/>
        <w:bidi w:val="0"/>
        <w:snapToGrid w:val="0"/>
        <w:spacing w:line="360" w:lineRule="auto"/>
        <w:ind w:firstLine="422" w:firstLineChars="200"/>
        <w:textAlignment w:val="auto"/>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保险单和保险凭证</w:t>
      </w:r>
    </w:p>
    <w:p>
      <w:pPr>
        <w:keepNext w:val="0"/>
        <w:keepLines w:val="0"/>
        <w:pageBreakBefore w:val="0"/>
        <w:widowControl w:val="0"/>
        <w:kinsoku/>
        <w:wordWrap/>
        <w:overflowPunct/>
        <w:topLinePunct w:val="0"/>
        <w:autoSpaceDE/>
        <w:autoSpaceDN/>
        <w:bidi w:val="0"/>
        <w:snapToGrid w:val="0"/>
        <w:spacing w:line="360" w:lineRule="auto"/>
        <w:ind w:firstLine="420" w:firstLineChars="200"/>
        <w:textAlignment w:val="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本合同成立后，保险人应当及时向投保人签发保险单或其他保险凭证。</w:t>
      </w:r>
    </w:p>
    <w:p>
      <w:pPr>
        <w:keepNext w:val="0"/>
        <w:keepLines w:val="0"/>
        <w:pageBreakBefore w:val="0"/>
        <w:widowControl w:val="0"/>
        <w:numPr>
          <w:ilvl w:val="0"/>
          <w:numId w:val="1"/>
        </w:numPr>
        <w:kinsoku/>
        <w:wordWrap/>
        <w:overflowPunct/>
        <w:topLinePunct w:val="0"/>
        <w:autoSpaceDE/>
        <w:autoSpaceDN/>
        <w:bidi w:val="0"/>
        <w:snapToGrid w:val="0"/>
        <w:spacing w:line="360" w:lineRule="auto"/>
        <w:ind w:firstLine="422" w:firstLineChars="200"/>
        <w:textAlignment w:val="auto"/>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补充索赔证明和资料的通知</w:t>
      </w:r>
    </w:p>
    <w:p>
      <w:pPr>
        <w:pStyle w:val="13"/>
        <w:keepNext w:val="0"/>
        <w:keepLines w:val="0"/>
        <w:pageBreakBefore w:val="0"/>
        <w:widowControl w:val="0"/>
        <w:kinsoku/>
        <w:wordWrap/>
        <w:overflowPunct/>
        <w:topLinePunct w:val="0"/>
        <w:autoSpaceDE/>
        <w:autoSpaceDN/>
        <w:bidi w:val="0"/>
        <w:snapToGrid w:val="0"/>
        <w:spacing w:line="360" w:lineRule="auto"/>
        <w:ind w:left="0" w:leftChars="0" w:firstLine="420" w:firstLineChars="200"/>
        <w:textAlignment w:val="auto"/>
        <w:rPr>
          <w:rFonts w:asciiTheme="minorEastAsia" w:hAnsiTheme="minorEastAsia" w:eastAsiaTheme="minorEastAsia" w:cstheme="minorEastAsia"/>
        </w:rPr>
      </w:pPr>
      <w:r>
        <w:rPr>
          <w:rFonts w:hint="eastAsia" w:asciiTheme="minorEastAsia" w:hAnsiTheme="minorEastAsia" w:eastAsiaTheme="minorEastAsia" w:cstheme="minorEastAsia"/>
        </w:rPr>
        <w:t>保险人认为</w:t>
      </w:r>
      <w:r>
        <w:rPr>
          <w:rFonts w:hint="eastAsia" w:asciiTheme="minorEastAsia" w:hAnsiTheme="minorEastAsia" w:eastAsiaTheme="minorEastAsia" w:cstheme="minorEastAsia"/>
          <w:b/>
          <w:bCs/>
        </w:rPr>
        <w:t>保险金申请人（释义十八）</w:t>
      </w:r>
      <w:r>
        <w:rPr>
          <w:rFonts w:hint="eastAsia" w:asciiTheme="minorEastAsia" w:hAnsiTheme="minorEastAsia" w:eastAsiaTheme="minorEastAsia" w:cstheme="minorEastAsia"/>
        </w:rPr>
        <w:t>提供的有关索赔的证明和资料不完整的，应当及时一次性通知投保人、被保险人补充提供。</w:t>
      </w:r>
    </w:p>
    <w:p>
      <w:pPr>
        <w:keepNext w:val="0"/>
        <w:keepLines w:val="0"/>
        <w:pageBreakBefore w:val="0"/>
        <w:widowControl w:val="0"/>
        <w:numPr>
          <w:ilvl w:val="0"/>
          <w:numId w:val="1"/>
        </w:numPr>
        <w:kinsoku/>
        <w:wordWrap/>
        <w:overflowPunct/>
        <w:topLinePunct w:val="0"/>
        <w:autoSpaceDE/>
        <w:autoSpaceDN/>
        <w:bidi w:val="0"/>
        <w:snapToGrid w:val="0"/>
        <w:spacing w:line="360" w:lineRule="auto"/>
        <w:ind w:firstLine="422" w:firstLineChars="200"/>
        <w:textAlignment w:val="auto"/>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及时核定、赔付义务</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Theme="minorEastAsia" w:hAnsiTheme="minorEastAsia" w:eastAsiaTheme="minorEastAsia" w:cstheme="minorEastAsia"/>
          <w:szCs w:val="24"/>
        </w:rPr>
      </w:pPr>
      <w:r>
        <w:rPr>
          <w:rFonts w:hint="eastAsia" w:asciiTheme="minorEastAsia" w:hAnsiTheme="minorEastAsia" w:eastAsiaTheme="minorEastAsia" w:cstheme="minorEastAsia"/>
          <w:szCs w:val="24"/>
        </w:rPr>
        <w:t>保险人收到保险金申请人的给付保险金的请求后，应当及时作出是否属于保险责任的核定；情形复杂的，应当在三十日内作出核定，但保险合同另有约定的除外。</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Theme="minorEastAsia" w:hAnsiTheme="minorEastAsia" w:eastAsiaTheme="minorEastAsia" w:cstheme="minorEastAsia"/>
          <w:szCs w:val="24"/>
        </w:rPr>
      </w:pPr>
      <w:r>
        <w:rPr>
          <w:rFonts w:hint="eastAsia" w:asciiTheme="minorEastAsia" w:hAnsiTheme="minorEastAsia" w:eastAsiaTheme="minorEastAsia" w:cstheme="minorEastAsia"/>
          <w:szCs w:val="24"/>
        </w:rPr>
        <w:t>保险人应当将核定结果通知保险金申请人；对属于保险责任的，在与保险金申请人达成给付保险金的协议后十日内，履行赔偿保险金义务。保险合同对给付保险金的期限有约定的，保险人应当按照约定履行给付保险金的义务。保险人依照前款约定作出核定后，</w:t>
      </w:r>
      <w:r>
        <w:rPr>
          <w:rStyle w:val="14"/>
          <w:rFonts w:hint="eastAsia" w:asciiTheme="minorEastAsia" w:hAnsiTheme="minorEastAsia" w:eastAsiaTheme="minorEastAsia" w:cstheme="minorEastAsia"/>
          <w:szCs w:val="24"/>
        </w:rPr>
        <w:t>对不属于保险责任的，应当自作出核定之日起三日内向</w:t>
      </w:r>
      <w:r>
        <w:rPr>
          <w:rFonts w:hint="eastAsia" w:asciiTheme="minorEastAsia" w:hAnsiTheme="minorEastAsia" w:eastAsiaTheme="minorEastAsia" w:cstheme="minorEastAsia"/>
          <w:szCs w:val="24"/>
        </w:rPr>
        <w:t>保险金申请人</w:t>
      </w:r>
      <w:r>
        <w:rPr>
          <w:rStyle w:val="14"/>
          <w:rFonts w:hint="eastAsia" w:asciiTheme="minorEastAsia" w:hAnsiTheme="minorEastAsia" w:eastAsiaTheme="minorEastAsia" w:cstheme="minorEastAsia"/>
          <w:szCs w:val="24"/>
        </w:rPr>
        <w:t>发出拒绝给付保险金通知书，并说明理由</w:t>
      </w:r>
      <w:r>
        <w:rPr>
          <w:rFonts w:hint="eastAsia" w:asciiTheme="minorEastAsia" w:hAnsiTheme="minorEastAsia" w:eastAsiaTheme="minorEastAsia" w:cstheme="minorEastAsia"/>
          <w:szCs w:val="24"/>
        </w:rPr>
        <w:t>。</w:t>
      </w:r>
    </w:p>
    <w:p>
      <w:pPr>
        <w:keepNext w:val="0"/>
        <w:keepLines w:val="0"/>
        <w:pageBreakBefore w:val="0"/>
        <w:widowControl w:val="0"/>
        <w:numPr>
          <w:ilvl w:val="0"/>
          <w:numId w:val="1"/>
        </w:numPr>
        <w:kinsoku/>
        <w:wordWrap/>
        <w:overflowPunct/>
        <w:topLinePunct w:val="0"/>
        <w:autoSpaceDE/>
        <w:autoSpaceDN/>
        <w:bidi w:val="0"/>
        <w:snapToGrid w:val="0"/>
        <w:spacing w:line="360" w:lineRule="auto"/>
        <w:ind w:firstLine="422" w:firstLineChars="200"/>
        <w:textAlignment w:val="auto"/>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先行赔付义务</w:t>
      </w:r>
    </w:p>
    <w:p>
      <w:pPr>
        <w:pStyle w:val="13"/>
        <w:keepNext w:val="0"/>
        <w:keepLines w:val="0"/>
        <w:pageBreakBefore w:val="0"/>
        <w:widowControl w:val="0"/>
        <w:kinsoku/>
        <w:wordWrap/>
        <w:overflowPunct/>
        <w:topLinePunct w:val="0"/>
        <w:autoSpaceDE/>
        <w:autoSpaceDN/>
        <w:bidi w:val="0"/>
        <w:snapToGrid w:val="0"/>
        <w:spacing w:line="360" w:lineRule="auto"/>
        <w:ind w:left="0" w:leftChars="0" w:firstLine="420" w:firstLineChars="200"/>
        <w:textAlignment w:val="auto"/>
        <w:rPr>
          <w:rFonts w:asciiTheme="minorEastAsia" w:hAnsiTheme="minorEastAsia" w:eastAsiaTheme="minorEastAsia" w:cstheme="minorEastAsia"/>
        </w:rPr>
      </w:pPr>
      <w:r>
        <w:rPr>
          <w:rFonts w:hint="eastAsia" w:asciiTheme="minorEastAsia" w:hAnsiTheme="minorEastAsia" w:eastAsiaTheme="minorEastAsia" w:cstheme="minorEastAsia"/>
        </w:rPr>
        <w:t>保险人自收到给付保险金的请求和有关证明、资料之日起六十日内，对其给付的数额不能确定的，应当根据已有证明和资料可以确定的数额先予支付；保险人最终确定给付的数额后，应当支付相应的差额。 </w:t>
      </w:r>
    </w:p>
    <w:p>
      <w:pPr>
        <w:keepNext w:val="0"/>
        <w:keepLines w:val="0"/>
        <w:pageBreakBefore w:val="0"/>
        <w:widowControl w:val="0"/>
        <w:numPr>
          <w:ilvl w:val="0"/>
          <w:numId w:val="1"/>
        </w:numPr>
        <w:kinsoku/>
        <w:wordWrap/>
        <w:overflowPunct/>
        <w:topLinePunct w:val="0"/>
        <w:autoSpaceDE/>
        <w:autoSpaceDN/>
        <w:bidi w:val="0"/>
        <w:snapToGrid w:val="0"/>
        <w:spacing w:line="360" w:lineRule="auto"/>
        <w:ind w:firstLine="422" w:firstLineChars="200"/>
        <w:textAlignment w:val="auto"/>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退还保险费义务</w:t>
      </w:r>
    </w:p>
    <w:p>
      <w:pPr>
        <w:pStyle w:val="13"/>
        <w:keepNext w:val="0"/>
        <w:keepLines w:val="0"/>
        <w:pageBreakBefore w:val="0"/>
        <w:widowControl w:val="0"/>
        <w:kinsoku/>
        <w:wordWrap/>
        <w:overflowPunct/>
        <w:topLinePunct w:val="0"/>
        <w:autoSpaceDE/>
        <w:autoSpaceDN/>
        <w:bidi w:val="0"/>
        <w:snapToGrid w:val="0"/>
        <w:spacing w:line="360" w:lineRule="auto"/>
        <w:ind w:left="0" w:leftChars="0" w:firstLine="420" w:firstLineChars="200"/>
        <w:textAlignment w:val="auto"/>
        <w:rPr>
          <w:rFonts w:asciiTheme="minorEastAsia" w:hAnsiTheme="minorEastAsia" w:eastAsiaTheme="minorEastAsia" w:cstheme="minorEastAsia"/>
        </w:rPr>
      </w:pPr>
      <w:r>
        <w:rPr>
          <w:rFonts w:hint="eastAsia" w:asciiTheme="minorEastAsia" w:hAnsiTheme="minorEastAsia" w:eastAsiaTheme="minorEastAsia" w:cstheme="minorEastAsia"/>
        </w:rPr>
        <w:t>投保人符合保险法规定的退还保险费相关要求的，保险人应当按照保险法相关规定退还</w:t>
      </w:r>
      <w:r>
        <w:rPr>
          <w:rFonts w:hint="eastAsia" w:asciiTheme="minorEastAsia" w:hAnsiTheme="minorEastAsia" w:eastAsiaTheme="minorEastAsia" w:cstheme="minorEastAsia"/>
          <w:b/>
          <w:bCs/>
        </w:rPr>
        <w:t>未满期保险费（释义十九）</w:t>
      </w:r>
      <w:r>
        <w:rPr>
          <w:rFonts w:hint="eastAsia" w:asciiTheme="minorEastAsia" w:hAnsiTheme="minorEastAsia" w:eastAsiaTheme="minorEastAsia" w:cstheme="minorEastAsia"/>
        </w:rPr>
        <w:t>。</w:t>
      </w:r>
    </w:p>
    <w:p>
      <w:pPr>
        <w:keepNext w:val="0"/>
        <w:keepLines w:val="0"/>
        <w:pageBreakBefore w:val="0"/>
        <w:widowControl w:val="0"/>
        <w:kinsoku/>
        <w:wordWrap/>
        <w:overflowPunct/>
        <w:topLinePunct w:val="0"/>
        <w:autoSpaceDE/>
        <w:autoSpaceDN/>
        <w:bidi w:val="0"/>
        <w:adjustRightInd/>
        <w:snapToGrid w:val="0"/>
        <w:spacing w:before="157" w:beforeLines="50" w:line="360" w:lineRule="auto"/>
        <w:jc w:val="center"/>
        <w:textAlignment w:val="auto"/>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第四部分 投保人、被保险人义务</w:t>
      </w:r>
    </w:p>
    <w:p>
      <w:pPr>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firstLine="422" w:firstLineChars="200"/>
        <w:textAlignment w:val="auto"/>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缴费义务</w:t>
      </w:r>
    </w:p>
    <w:p>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本合同保险费缴付方式由投保人和保险人在投保时约定，并在保险单上载明。</w:t>
      </w:r>
    </w:p>
    <w:p>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若投保人选择一次性缴付保险费，投保人应当在本合同成立时一次性缴清保险费。</w:t>
      </w:r>
      <w:r>
        <w:rPr>
          <w:rFonts w:hint="eastAsia" w:ascii="宋体" w:hAnsi="宋体" w:cs="宋体"/>
          <w:b/>
          <w:bCs/>
          <w:szCs w:val="21"/>
        </w:rPr>
        <w:t>投保人未按约定缴纳全部保险费，本合同不生效。</w:t>
      </w:r>
      <w:r>
        <w:rPr>
          <w:rFonts w:hint="eastAsia" w:asciiTheme="minorEastAsia" w:hAnsiTheme="minorEastAsia" w:eastAsiaTheme="minorEastAsia" w:cstheme="minorEastAsia"/>
          <w:b/>
          <w:bCs/>
          <w:szCs w:val="21"/>
        </w:rPr>
        <w:t>对本合同生效前发生的保险事故，保险人不承担保险责任。</w:t>
      </w:r>
    </w:p>
    <w:p>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若投保人选择分期缴付保险费，需经投保人申请并经保险人同意，并在</w:t>
      </w:r>
      <w:r>
        <w:rPr>
          <w:rFonts w:hint="eastAsia" w:asciiTheme="minorEastAsia" w:hAnsiTheme="minorEastAsia" w:eastAsiaTheme="minorEastAsia" w:cstheme="minorEastAsia"/>
          <w:szCs w:val="21"/>
          <w:lang w:val="en-US" w:eastAsia="zh-CN"/>
        </w:rPr>
        <w:t>保险单</w:t>
      </w:r>
      <w:r>
        <w:rPr>
          <w:rFonts w:hint="eastAsia" w:asciiTheme="minorEastAsia" w:hAnsiTheme="minorEastAsia" w:eastAsiaTheme="minorEastAsia" w:cstheme="minorEastAsia"/>
          <w:szCs w:val="21"/>
        </w:rPr>
        <w:t>中载明保险分期缴付的周期。</w:t>
      </w:r>
    </w:p>
    <w:p>
      <w:pPr>
        <w:keepNext w:val="0"/>
        <w:keepLines w:val="0"/>
        <w:pageBreakBefore w:val="0"/>
        <w:widowControl w:val="0"/>
        <w:kinsoku/>
        <w:wordWrap/>
        <w:overflowPunct/>
        <w:topLinePunct w:val="0"/>
        <w:autoSpaceDE/>
        <w:autoSpaceDN/>
        <w:bidi w:val="0"/>
        <w:adjustRightInd/>
        <w:snapToGrid w:val="0"/>
        <w:spacing w:line="360" w:lineRule="auto"/>
        <w:ind w:firstLine="422" w:firstLineChars="200"/>
        <w:textAlignment w:val="auto"/>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如投保人未缴付首期保费，保险合同不</w:t>
      </w:r>
      <w:r>
        <w:rPr>
          <w:rFonts w:asciiTheme="minorEastAsia" w:hAnsiTheme="minorEastAsia" w:eastAsiaTheme="minorEastAsia" w:cstheme="minorEastAsia"/>
          <w:b/>
          <w:bCs/>
          <w:szCs w:val="21"/>
        </w:rPr>
        <w:t>生效</w:t>
      </w:r>
      <w:r>
        <w:rPr>
          <w:rFonts w:hint="eastAsia" w:asciiTheme="minorEastAsia" w:hAnsiTheme="minorEastAsia" w:eastAsiaTheme="minorEastAsia" w:cstheme="minorEastAsia"/>
          <w:b/>
          <w:bCs/>
          <w:szCs w:val="21"/>
        </w:rPr>
        <w:t>。对本合同生效前发生的保险事故，保险人不承担保险责任。</w:t>
      </w:r>
    </w:p>
    <w:p>
      <w:pPr>
        <w:keepNext w:val="0"/>
        <w:keepLines w:val="0"/>
        <w:pageBreakBefore w:val="0"/>
        <w:widowControl w:val="0"/>
        <w:kinsoku/>
        <w:wordWrap/>
        <w:overflowPunct/>
        <w:topLinePunct w:val="0"/>
        <w:autoSpaceDE/>
        <w:autoSpaceDN/>
        <w:bidi w:val="0"/>
        <w:adjustRightInd/>
        <w:snapToGrid w:val="0"/>
        <w:spacing w:line="360" w:lineRule="auto"/>
        <w:ind w:firstLine="422" w:firstLineChars="200"/>
        <w:textAlignment w:val="auto"/>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如投保人未按照保险合同约定的付款时间足额缴付当期保费，允许在宽限期内补缴保险费；如果被保险人在宽限期内发生保险事故，保险人仍按照合同约定赔偿保险金。除本合同另有约定外，如被保险人在正常缴费对应的保险期间内或宽限期内发生保险事故，保险人依照本合同约定赔付保险金的，需扣减保险期间所有未缴期间的保险费，投保人已缴纳的保险费与保险人扣减的保险费之和应等于本合同约定的保险费总额。</w:t>
      </w:r>
    </w:p>
    <w:p>
      <w:pPr>
        <w:keepNext w:val="0"/>
        <w:keepLines w:val="0"/>
        <w:pageBreakBefore w:val="0"/>
        <w:widowControl w:val="0"/>
        <w:kinsoku/>
        <w:wordWrap/>
        <w:overflowPunct/>
        <w:topLinePunct w:val="0"/>
        <w:autoSpaceDE/>
        <w:autoSpaceDN/>
        <w:bidi w:val="0"/>
        <w:adjustRightInd/>
        <w:snapToGrid w:val="0"/>
        <w:spacing w:line="360" w:lineRule="auto"/>
        <w:ind w:firstLine="422" w:firstLineChars="200"/>
        <w:textAlignment w:val="auto"/>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如投保人未按照保险合同约定的付款时间足额缴付当期保费，且在本合同约定的宽限期内仍未足额补缴当期保费的，本合同效力中止，保险人对合同效力中止</w:t>
      </w:r>
      <w:r>
        <w:rPr>
          <w:rFonts w:hint="eastAsia" w:asciiTheme="minorEastAsia" w:hAnsiTheme="minorEastAsia" w:eastAsiaTheme="minorEastAsia" w:cstheme="minorEastAsia"/>
          <w:b/>
          <w:bCs/>
          <w:szCs w:val="21"/>
          <w:lang w:val="en-US" w:eastAsia="zh-CN"/>
        </w:rPr>
        <w:t>期间</w:t>
      </w:r>
      <w:r>
        <w:rPr>
          <w:rFonts w:hint="eastAsia" w:asciiTheme="minorEastAsia" w:hAnsiTheme="minorEastAsia" w:eastAsiaTheme="minorEastAsia" w:cstheme="minorEastAsia"/>
          <w:b/>
          <w:bCs/>
          <w:szCs w:val="21"/>
        </w:rPr>
        <w:t>发生的保险事故不承担给付保险金责任。</w:t>
      </w:r>
    </w:p>
    <w:p>
      <w:pPr>
        <w:keepNext w:val="0"/>
        <w:keepLines w:val="0"/>
        <w:pageBreakBefore w:val="0"/>
        <w:widowControl w:val="0"/>
        <w:kinsoku/>
        <w:wordWrap/>
        <w:overflowPunct/>
        <w:topLinePunct w:val="0"/>
        <w:autoSpaceDE/>
        <w:autoSpaceDN/>
        <w:bidi w:val="0"/>
        <w:adjustRightInd/>
        <w:snapToGrid w:val="0"/>
        <w:spacing w:line="360" w:lineRule="auto"/>
        <w:ind w:firstLine="422" w:firstLineChars="200"/>
        <w:textAlignment w:val="auto"/>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宽限期由投保人与保险人协商确定，并在</w:t>
      </w:r>
      <w:r>
        <w:rPr>
          <w:rFonts w:hint="eastAsia" w:asciiTheme="minorEastAsia" w:hAnsiTheme="minorEastAsia" w:eastAsiaTheme="minorEastAsia" w:cstheme="minorEastAsia"/>
          <w:b/>
          <w:bCs/>
          <w:szCs w:val="21"/>
          <w:lang w:val="en-US" w:eastAsia="zh-CN"/>
        </w:rPr>
        <w:t>保险单</w:t>
      </w:r>
      <w:r>
        <w:rPr>
          <w:rFonts w:hint="eastAsia" w:asciiTheme="minorEastAsia" w:hAnsiTheme="minorEastAsia" w:eastAsiaTheme="minorEastAsia" w:cstheme="minorEastAsia"/>
          <w:b/>
          <w:bCs/>
          <w:szCs w:val="21"/>
        </w:rPr>
        <w:t>中载明。</w:t>
      </w:r>
    </w:p>
    <w:p>
      <w:pPr>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firstLine="422" w:firstLineChars="200"/>
        <w:textAlignment w:val="auto"/>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如实告知</w:t>
      </w:r>
    </w:p>
    <w:p>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asciiTheme="minorEastAsia" w:hAnsiTheme="minorEastAsia" w:eastAsiaTheme="minorEastAsia" w:cstheme="minorEastAsia"/>
          <w:szCs w:val="21"/>
        </w:rPr>
      </w:pPr>
      <w:r>
        <w:rPr>
          <w:rFonts w:hint="eastAsia" w:asciiTheme="minorEastAsia" w:hAnsiTheme="minorEastAsia" w:eastAsiaTheme="minorEastAsia" w:cstheme="minorEastAsia"/>
        </w:rPr>
        <w:t>订立保险合同，</w:t>
      </w:r>
      <w:r>
        <w:rPr>
          <w:rFonts w:hint="eastAsia" w:asciiTheme="minorEastAsia" w:hAnsiTheme="minorEastAsia" w:eastAsiaTheme="minorEastAsia" w:cstheme="minorEastAsia"/>
          <w:szCs w:val="21"/>
        </w:rPr>
        <w:t>投保人应如实填写投保单并回答保险人提出的询问，履行如实告知义务。</w:t>
      </w:r>
    </w:p>
    <w:p>
      <w:pPr>
        <w:keepNext w:val="0"/>
        <w:keepLines w:val="0"/>
        <w:pageBreakBefore w:val="0"/>
        <w:widowControl w:val="0"/>
        <w:kinsoku/>
        <w:wordWrap/>
        <w:overflowPunct/>
        <w:topLinePunct w:val="0"/>
        <w:autoSpaceDE/>
        <w:autoSpaceDN/>
        <w:bidi w:val="0"/>
        <w:adjustRightInd/>
        <w:snapToGrid w:val="0"/>
        <w:spacing w:line="360" w:lineRule="auto"/>
        <w:ind w:firstLine="422" w:firstLineChars="200"/>
        <w:textAlignment w:val="auto"/>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投保人故意或者因重大过失未履行前款规定的如实告知义务，足以影响保险人决定是否同意承保或者提高保险费率的，保险人有权解除合同。</w:t>
      </w:r>
    </w:p>
    <w:p>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前款规定的合同解除权，自保险人知道有解除事由之日起，超过三十日不行使而消灭。</w:t>
      </w:r>
    </w:p>
    <w:p>
      <w:pPr>
        <w:keepNext w:val="0"/>
        <w:keepLines w:val="0"/>
        <w:pageBreakBefore w:val="0"/>
        <w:widowControl w:val="0"/>
        <w:kinsoku/>
        <w:wordWrap/>
        <w:overflowPunct/>
        <w:topLinePunct w:val="0"/>
        <w:autoSpaceDE/>
        <w:autoSpaceDN/>
        <w:bidi w:val="0"/>
        <w:adjustRightInd/>
        <w:snapToGrid w:val="0"/>
        <w:spacing w:line="360" w:lineRule="auto"/>
        <w:ind w:firstLine="422" w:firstLineChars="200"/>
        <w:textAlignment w:val="auto"/>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投保人故意不履行如实告知义务的，保险人对于合同解除前发生的保险事故，不承担给付保险金的责任，并不退还保险费。</w:t>
      </w:r>
    </w:p>
    <w:p>
      <w:pPr>
        <w:keepNext w:val="0"/>
        <w:keepLines w:val="0"/>
        <w:pageBreakBefore w:val="0"/>
        <w:widowControl w:val="0"/>
        <w:kinsoku/>
        <w:wordWrap/>
        <w:overflowPunct/>
        <w:topLinePunct w:val="0"/>
        <w:autoSpaceDE/>
        <w:autoSpaceDN/>
        <w:bidi w:val="0"/>
        <w:adjustRightInd/>
        <w:snapToGrid w:val="0"/>
        <w:spacing w:line="360" w:lineRule="auto"/>
        <w:ind w:firstLine="422" w:firstLineChars="200"/>
        <w:textAlignment w:val="auto"/>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投保人因重大过失未履行如实告知义务，对保险事故的发生有严重影响的，保险人对于合同解除前发生的保险事故，不承担给付保险金的责任，但应当退还保险费。</w:t>
      </w:r>
    </w:p>
    <w:p>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保险人在合同订立时已经知道投保人未如实告知的情况的，保险人不得解除合同；发生保险事故的，保险人应当承担给付保险金的责任。</w:t>
      </w:r>
    </w:p>
    <w:p>
      <w:pPr>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firstLine="422" w:firstLineChars="200"/>
        <w:textAlignment w:val="auto"/>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住址或通讯地址变更告知义务</w:t>
      </w:r>
    </w:p>
    <w:p>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投保人住所或通讯地址变更时，应及时以书面形式通知保险人。投保人未通知的，保险人按本合同所载的最后住所或通讯地址发送的有关通知，均视为已发送给投保人。</w:t>
      </w:r>
    </w:p>
    <w:p>
      <w:pPr>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firstLine="422" w:firstLineChars="200"/>
        <w:textAlignment w:val="auto"/>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变更批注</w:t>
      </w:r>
    </w:p>
    <w:p>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在保险期间内，投保人需变更保险合同内容的，应以书面形式向保险人提出申请。保险人同意后出具批单，并在本合同中批注。</w:t>
      </w:r>
    </w:p>
    <w:p>
      <w:pPr>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firstLine="422" w:firstLineChars="200"/>
        <w:textAlignment w:val="auto"/>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职业或工种的变更</w:t>
      </w:r>
    </w:p>
    <w:p>
      <w:pPr>
        <w:keepNext w:val="0"/>
        <w:keepLines w:val="0"/>
        <w:pageBreakBefore w:val="0"/>
        <w:widowControl w:val="0"/>
        <w:kinsoku/>
        <w:wordWrap/>
        <w:overflowPunct/>
        <w:topLinePunct w:val="0"/>
        <w:autoSpaceDE/>
        <w:autoSpaceDN/>
        <w:bidi w:val="0"/>
        <w:adjustRightInd/>
        <w:snapToGrid w:val="0"/>
        <w:spacing w:line="360" w:lineRule="auto"/>
        <w:ind w:firstLine="422" w:firstLineChars="200"/>
        <w:textAlignment w:val="auto"/>
        <w:rPr>
          <w:rFonts w:asciiTheme="minorEastAsia" w:hAnsiTheme="minorEastAsia" w:eastAsiaTheme="minorEastAsia" w:cstheme="minorEastAsia"/>
          <w:szCs w:val="21"/>
        </w:rPr>
      </w:pPr>
      <w:r>
        <w:rPr>
          <w:rFonts w:hint="eastAsia" w:asciiTheme="minorEastAsia" w:hAnsiTheme="minorEastAsia" w:eastAsiaTheme="minorEastAsia" w:cstheme="minorEastAsia"/>
          <w:b/>
          <w:szCs w:val="21"/>
        </w:rPr>
        <w:t>被保险人变更其职业或工种时，投保人或被保险人应于三十日内以书面形式通知保险人。若被保险人所变更的职业或者工种依照保险人职业分类（释义二十）</w:t>
      </w:r>
      <w:r>
        <w:rPr>
          <w:rFonts w:hint="eastAsia" w:asciiTheme="minorEastAsia" w:hAnsiTheme="minorEastAsia" w:eastAsiaTheme="minorEastAsia" w:cstheme="minorEastAsia"/>
          <w:b/>
          <w:szCs w:val="21"/>
          <w:lang w:val="en-US" w:eastAsia="zh-CN"/>
        </w:rPr>
        <w:t>超出承保</w:t>
      </w:r>
      <w:r>
        <w:rPr>
          <w:rFonts w:hint="eastAsia" w:asciiTheme="minorEastAsia" w:hAnsiTheme="minorEastAsia" w:eastAsiaTheme="minorEastAsia" w:cstheme="minorEastAsia"/>
          <w:b/>
          <w:szCs w:val="21"/>
        </w:rPr>
        <w:t>范围的，保险人对该被保险人所负保险责任自其职业或工种变更之日起终止，并退还</w:t>
      </w:r>
      <w:r>
        <w:rPr>
          <w:rFonts w:hint="eastAsia" w:asciiTheme="minorEastAsia" w:hAnsiTheme="minorEastAsia" w:eastAsiaTheme="minorEastAsia" w:cstheme="minorEastAsia"/>
          <w:b/>
          <w:bCs/>
          <w:szCs w:val="21"/>
        </w:rPr>
        <w:t>未满期保险费</w:t>
      </w:r>
      <w:r>
        <w:rPr>
          <w:rFonts w:hint="eastAsia" w:asciiTheme="minorEastAsia" w:hAnsiTheme="minorEastAsia" w:eastAsiaTheme="minorEastAsia" w:cstheme="minorEastAsia"/>
          <w:b/>
          <w:szCs w:val="21"/>
        </w:rPr>
        <w:t>。</w:t>
      </w:r>
    </w:p>
    <w:p>
      <w:pPr>
        <w:keepNext w:val="0"/>
        <w:keepLines w:val="0"/>
        <w:pageBreakBefore w:val="0"/>
        <w:widowControl w:val="0"/>
        <w:kinsoku/>
        <w:wordWrap/>
        <w:overflowPunct/>
        <w:topLinePunct w:val="0"/>
        <w:autoSpaceDE/>
        <w:autoSpaceDN/>
        <w:bidi w:val="0"/>
        <w:adjustRightInd/>
        <w:snapToGrid w:val="0"/>
        <w:spacing w:line="360" w:lineRule="auto"/>
        <w:ind w:firstLine="422" w:firstLineChars="200"/>
        <w:textAlignment w:val="auto"/>
        <w:rPr>
          <w:rFonts w:asciiTheme="minorEastAsia" w:hAnsiTheme="minorEastAsia" w:eastAsiaTheme="minorEastAsia" w:cstheme="minorEastAsia"/>
          <w:b/>
        </w:rPr>
      </w:pPr>
      <w:r>
        <w:rPr>
          <w:rFonts w:hint="eastAsia" w:asciiTheme="minorEastAsia" w:hAnsiTheme="minorEastAsia" w:eastAsiaTheme="minorEastAsia" w:cstheme="minorEastAsia"/>
          <w:b/>
          <w:bCs/>
          <w:szCs w:val="21"/>
        </w:rPr>
        <w:t>被保险人未履行本条约定的通知义务而发生保险事故的，且被保险人所变更的职业或工种，依照保险人职业分类</w:t>
      </w:r>
      <w:r>
        <w:rPr>
          <w:rFonts w:hint="eastAsia" w:asciiTheme="minorEastAsia" w:hAnsiTheme="minorEastAsia" w:eastAsiaTheme="minorEastAsia" w:cstheme="minorEastAsia"/>
          <w:b/>
          <w:bCs/>
          <w:szCs w:val="21"/>
          <w:lang w:val="en-US" w:eastAsia="zh-CN"/>
        </w:rPr>
        <w:t>超出承保</w:t>
      </w:r>
      <w:r>
        <w:rPr>
          <w:rFonts w:hint="eastAsia" w:asciiTheme="minorEastAsia" w:hAnsiTheme="minorEastAsia" w:eastAsiaTheme="minorEastAsia" w:cstheme="minorEastAsia"/>
          <w:b/>
          <w:bCs/>
          <w:szCs w:val="21"/>
        </w:rPr>
        <w:t>范围的，保险人不承担给付保险金的责任，</w:t>
      </w:r>
      <w:r>
        <w:rPr>
          <w:rFonts w:hint="eastAsia" w:asciiTheme="minorEastAsia" w:hAnsiTheme="minorEastAsia" w:eastAsiaTheme="minorEastAsia" w:cstheme="minorEastAsia"/>
          <w:b/>
          <w:szCs w:val="21"/>
        </w:rPr>
        <w:t>并自其职业或工种变更之日起，按日计算退还未满期保险费，本合同终止。</w:t>
      </w:r>
    </w:p>
    <w:p>
      <w:pPr>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firstLine="422" w:firstLineChars="200"/>
        <w:textAlignment w:val="auto"/>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年龄的确定及错误的处理</w:t>
      </w:r>
    </w:p>
    <w:p>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被保险人的投保年龄，以法定身份证件登记的周岁年龄为准,本合同所承保的被保险人的投保年龄必须符合年龄要求。投保人在申请投保时，应按被保险人的周岁年龄填写。若发生错误，保险人按照以下规定处理：</w:t>
      </w:r>
    </w:p>
    <w:p>
      <w:pPr>
        <w:keepNext w:val="0"/>
        <w:keepLines w:val="0"/>
        <w:pageBreakBefore w:val="0"/>
        <w:widowControl w:val="0"/>
        <w:kinsoku/>
        <w:wordWrap/>
        <w:overflowPunct/>
        <w:topLinePunct w:val="0"/>
        <w:autoSpaceDE/>
        <w:autoSpaceDN/>
        <w:bidi w:val="0"/>
        <w:adjustRightInd/>
        <w:snapToGrid w:val="0"/>
        <w:spacing w:line="360" w:lineRule="auto"/>
        <w:ind w:firstLine="422" w:firstLineChars="200"/>
        <w:textAlignment w:val="auto"/>
        <w:outlineLvl w:val="0"/>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（一）投保人申报的被保险人年龄不真实，且真实年龄不符合本合同约定的年龄限制的，保险人有权解除本合同，</w:t>
      </w:r>
      <w:r>
        <w:rPr>
          <w:rFonts w:hint="eastAsia" w:asciiTheme="minorEastAsia" w:hAnsiTheme="minorEastAsia" w:eastAsiaTheme="minorEastAsia" w:cstheme="minorEastAsia"/>
          <w:b/>
          <w:szCs w:val="21"/>
        </w:rPr>
        <w:t>并向投保人退还未满期保险费。</w:t>
      </w:r>
    </w:p>
    <w:p>
      <w:pPr>
        <w:keepNext w:val="0"/>
        <w:keepLines w:val="0"/>
        <w:pageBreakBefore w:val="0"/>
        <w:widowControl w:val="0"/>
        <w:kinsoku/>
        <w:wordWrap/>
        <w:overflowPunct/>
        <w:topLinePunct w:val="0"/>
        <w:autoSpaceDE/>
        <w:autoSpaceDN/>
        <w:bidi w:val="0"/>
        <w:adjustRightInd/>
        <w:snapToGrid w:val="0"/>
        <w:spacing w:line="360" w:lineRule="auto"/>
        <w:ind w:firstLine="422" w:firstLineChars="200"/>
        <w:textAlignment w:val="auto"/>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（二）投保人申报的被保险人年龄不真实，导致投保人实付保险费少于应付保险费的，保险人有权更正并要求投保人补交保险费。</w:t>
      </w:r>
    </w:p>
    <w:p>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outlineLvl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（三）投保人申报的被保险人年龄不真实，导致投保人支付保险费多于应付保险费的，保险人应将多收的保险费无息退还投保人。</w:t>
      </w:r>
    </w:p>
    <w:p>
      <w:pPr>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firstLine="422" w:firstLineChars="200"/>
        <w:textAlignment w:val="auto"/>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保险事故通知义务</w:t>
      </w:r>
    </w:p>
    <w:p>
      <w:pPr>
        <w:keepNext w:val="0"/>
        <w:keepLines w:val="0"/>
        <w:pageBreakBefore w:val="0"/>
        <w:widowControl w:val="0"/>
        <w:kinsoku/>
        <w:wordWrap/>
        <w:overflowPunct/>
        <w:topLinePunct w:val="0"/>
        <w:autoSpaceDE/>
        <w:autoSpaceDN/>
        <w:bidi w:val="0"/>
        <w:adjustRightInd/>
        <w:snapToGrid w:val="0"/>
        <w:spacing w:line="360" w:lineRule="auto"/>
        <w:ind w:firstLine="422" w:firstLineChars="200"/>
        <w:textAlignment w:val="auto"/>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投保人、被保险人或者保险金受益人知道保险事故发生后，应当及时通知保险人，并</w:t>
      </w:r>
      <w:r>
        <w:rPr>
          <w:rFonts w:hint="eastAsia" w:asciiTheme="minorEastAsia" w:hAnsiTheme="minorEastAsia" w:eastAsiaTheme="minorEastAsia" w:cstheme="minorEastAsia"/>
          <w:b/>
          <w:szCs w:val="21"/>
        </w:rPr>
        <w:t>书面说明事故发生的原因、经过和损失情况。</w:t>
      </w:r>
      <w:r>
        <w:rPr>
          <w:rFonts w:hint="eastAsia" w:asciiTheme="minorEastAsia" w:hAnsiTheme="minorEastAsia" w:eastAsiaTheme="minorEastAsia" w:cstheme="minorEastAsia"/>
          <w:b/>
          <w:bCs/>
          <w:szCs w:val="21"/>
        </w:rPr>
        <w:t>故意或者因重大过失未及时通知，致使保险事故的性质、原因、损失程度等难以确定的，保险人对无法确定的部分，不承担给付保险金责任，</w:t>
      </w:r>
      <w:r>
        <w:rPr>
          <w:rFonts w:hint="eastAsia" w:asciiTheme="minorEastAsia" w:hAnsiTheme="minorEastAsia" w:eastAsiaTheme="minorEastAsia" w:cstheme="minorEastAsia"/>
          <w:b/>
          <w:szCs w:val="21"/>
        </w:rPr>
        <w:t>但保险人通过其他途径已经及时知道或者应当及时知道保险事故发生的除外</w:t>
      </w:r>
      <w:r>
        <w:rPr>
          <w:rFonts w:hint="eastAsia" w:asciiTheme="minorEastAsia" w:hAnsiTheme="minorEastAsia" w:eastAsiaTheme="minorEastAsia" w:cstheme="minorEastAsia"/>
          <w:szCs w:val="21"/>
        </w:rPr>
        <w:t>。</w:t>
      </w:r>
    </w:p>
    <w:p>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上述约定，</w:t>
      </w:r>
      <w:r>
        <w:rPr>
          <w:rFonts w:hint="eastAsia" w:asciiTheme="minorEastAsia" w:hAnsiTheme="minorEastAsia" w:eastAsiaTheme="minorEastAsia" w:cstheme="minorEastAsia"/>
          <w:b/>
          <w:bCs/>
          <w:szCs w:val="21"/>
        </w:rPr>
        <w:t>不包括因不可抗力（释义二十一）而导致的迟延。</w:t>
      </w:r>
    </w:p>
    <w:p>
      <w:pPr>
        <w:keepNext w:val="0"/>
        <w:keepLines w:val="0"/>
        <w:pageBreakBefore w:val="0"/>
        <w:widowControl w:val="0"/>
        <w:kinsoku/>
        <w:wordWrap/>
        <w:overflowPunct/>
        <w:topLinePunct w:val="0"/>
        <w:autoSpaceDE/>
        <w:autoSpaceDN/>
        <w:bidi w:val="0"/>
        <w:adjustRightInd/>
        <w:snapToGrid w:val="0"/>
        <w:spacing w:before="157" w:beforeLines="50" w:line="360" w:lineRule="auto"/>
        <w:jc w:val="center"/>
        <w:textAlignment w:val="auto"/>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第五部分 保险金申请与给付</w:t>
      </w:r>
    </w:p>
    <w:p>
      <w:pPr>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firstLine="422" w:firstLineChars="200"/>
        <w:textAlignment w:val="auto"/>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保险金的申请</w:t>
      </w:r>
    </w:p>
    <w:p>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保险金申请人向保险人申请给付保险金时，应提供如下材料：</w:t>
      </w:r>
    </w:p>
    <w:p>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（一）保险金给付申请书；</w:t>
      </w:r>
    </w:p>
    <w:p>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（二）保险合同凭证；</w:t>
      </w:r>
    </w:p>
    <w:p>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（三）保险金申请人的有效身份证件；</w:t>
      </w:r>
    </w:p>
    <w:p>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（四）支持索赔的全部账单、证明、信息和</w:t>
      </w:r>
      <w:r>
        <w:rPr>
          <w:rFonts w:hint="eastAsia" w:asciiTheme="minorEastAsia" w:hAnsiTheme="minorEastAsia" w:eastAsiaTheme="minorEastAsia" w:cstheme="minorEastAsia"/>
          <w:szCs w:val="21"/>
          <w:lang w:val="en-US" w:eastAsia="zh-CN"/>
        </w:rPr>
        <w:t>材料</w:t>
      </w:r>
      <w:r>
        <w:rPr>
          <w:rFonts w:hint="eastAsia" w:asciiTheme="minorEastAsia" w:hAnsiTheme="minorEastAsia" w:eastAsiaTheme="minorEastAsia" w:cstheme="minorEastAsia"/>
          <w:szCs w:val="21"/>
        </w:rPr>
        <w:t>，包括但不限于医院出具的病历资料、医学诊断书、处方、病理检查、化验检查报告、医疗费用原始单据</w:t>
      </w:r>
      <w:r>
        <w:rPr>
          <w:rFonts w:hint="eastAsia" w:ascii="宋体" w:hAnsi="宋体" w:cs="宋体"/>
          <w:szCs w:val="21"/>
        </w:rPr>
        <w:t>（已从基本医疗保险获得补偿的，需提供医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明）</w:t>
      </w:r>
      <w:r>
        <w:rPr>
          <w:rFonts w:hint="eastAsia" w:asciiTheme="minorEastAsia" w:hAnsiTheme="minorEastAsia" w:eastAsiaTheme="minorEastAsia" w:cstheme="minorEastAsia"/>
          <w:szCs w:val="21"/>
        </w:rPr>
        <w:t>、费用明细单据等。保险金申请人因特殊原因不能提供上述材料的，应提供其他合法有效的材料；</w:t>
      </w:r>
    </w:p>
    <w:p>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（五）保险金申请人所能提供的其他与确认保险事故的性质、原因等有关的其他证明和资料；</w:t>
      </w:r>
    </w:p>
    <w:p>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（六）若保险金申请人委托他人申请的，还应提供授权委托书原件、委托人和受托人的身份证明等相关证明文件。</w:t>
      </w:r>
    </w:p>
    <w:p>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保险金申请人未能提供上述索赔申请材料，导致保险人无法核实该申请的真实性的，</w:t>
      </w:r>
      <w:r>
        <w:rPr>
          <w:rFonts w:hint="eastAsia" w:asciiTheme="minorEastAsia" w:hAnsiTheme="minorEastAsia" w:eastAsiaTheme="minorEastAsia" w:cstheme="minorEastAsia"/>
          <w:b/>
          <w:bCs/>
          <w:szCs w:val="21"/>
        </w:rPr>
        <w:t>保险人对无法核实部分不承担给付保险金的责任。</w:t>
      </w:r>
    </w:p>
    <w:p>
      <w:pPr>
        <w:keepNext w:val="0"/>
        <w:keepLines w:val="0"/>
        <w:pageBreakBefore w:val="0"/>
        <w:widowControl w:val="0"/>
        <w:kinsoku/>
        <w:wordWrap/>
        <w:overflowPunct/>
        <w:topLinePunct w:val="0"/>
        <w:autoSpaceDE/>
        <w:autoSpaceDN/>
        <w:bidi w:val="0"/>
        <w:adjustRightInd/>
        <w:snapToGrid w:val="0"/>
        <w:spacing w:line="360" w:lineRule="auto"/>
        <w:ind w:firstLine="422" w:firstLineChars="200"/>
        <w:textAlignment w:val="auto"/>
        <w:rPr>
          <w:rFonts w:asciiTheme="minorEastAsia" w:hAnsiTheme="minorEastAsia" w:eastAsiaTheme="minorEastAsia" w:cstheme="minorEastAsia"/>
          <w:szCs w:val="21"/>
        </w:rPr>
      </w:pPr>
      <w:r>
        <w:rPr>
          <w:rFonts w:hint="eastAsia" w:asciiTheme="minorEastAsia" w:hAnsiTheme="minorEastAsia" w:eastAsiaTheme="minorEastAsia" w:cstheme="minorEastAsia"/>
          <w:b/>
          <w:szCs w:val="21"/>
        </w:rPr>
        <w:t>在保险人的理赔审核过程中，保险人有权在合理的范围内对索赔的被保险人进行医疗检查。</w:t>
      </w:r>
    </w:p>
    <w:p>
      <w:pPr>
        <w:keepNext w:val="0"/>
        <w:keepLines w:val="0"/>
        <w:pageBreakBefore w:val="0"/>
        <w:widowControl w:val="0"/>
        <w:kinsoku/>
        <w:wordWrap/>
        <w:overflowPunct/>
        <w:topLinePunct w:val="0"/>
        <w:autoSpaceDE/>
        <w:autoSpaceDN/>
        <w:bidi w:val="0"/>
        <w:adjustRightInd/>
        <w:snapToGrid w:val="0"/>
        <w:spacing w:before="157" w:beforeLines="50" w:line="360" w:lineRule="auto"/>
        <w:jc w:val="center"/>
        <w:textAlignment w:val="auto"/>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lang w:val="en-US" w:eastAsia="zh-CN"/>
        </w:rPr>
        <w:t xml:space="preserve">第六部分 </w:t>
      </w:r>
      <w:r>
        <w:rPr>
          <w:rFonts w:hint="eastAsia" w:asciiTheme="minorEastAsia" w:hAnsiTheme="minorEastAsia" w:eastAsiaTheme="minorEastAsia" w:cstheme="minorEastAsia"/>
          <w:b/>
          <w:bCs/>
          <w:szCs w:val="21"/>
        </w:rPr>
        <w:t>争议处理与法律适用</w:t>
      </w:r>
    </w:p>
    <w:p>
      <w:pPr>
        <w:keepNext w:val="0"/>
        <w:keepLines w:val="0"/>
        <w:pageBreakBefore w:val="0"/>
        <w:widowControl/>
        <w:numPr>
          <w:ilvl w:val="0"/>
          <w:numId w:val="1"/>
        </w:numPr>
        <w:kinsoku/>
        <w:wordWrap/>
        <w:overflowPunct/>
        <w:topLinePunct w:val="0"/>
        <w:autoSpaceDE/>
        <w:autoSpaceDN/>
        <w:bidi w:val="0"/>
        <w:adjustRightInd/>
        <w:snapToGrid w:val="0"/>
        <w:spacing w:line="360" w:lineRule="auto"/>
        <w:ind w:firstLine="422" w:firstLineChars="200"/>
        <w:textAlignment w:val="auto"/>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合同的争议处理</w:t>
      </w:r>
    </w:p>
    <w:p>
      <w:pPr>
        <w:keepNext w:val="0"/>
        <w:keepLines w:val="0"/>
        <w:pageBreakBefore w:val="0"/>
        <w:kinsoku/>
        <w:wordWrap/>
        <w:overflowPunct/>
        <w:topLinePunct w:val="0"/>
        <w:autoSpaceDE/>
        <w:autoSpaceDN/>
        <w:bidi w:val="0"/>
        <w:adjustRightInd/>
        <w:snapToGrid w:val="0"/>
        <w:spacing w:line="360" w:lineRule="auto"/>
        <w:ind w:firstLine="420" w:firstLineChars="200"/>
        <w:textAlignment w:val="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因履行本合同发生的争议，由当事人协商解决。协商不成的，提交保险单载明的仲裁机构仲裁；保险单未载明仲裁机构且争议发生后未达成仲裁协议的，依法向中华人民共和国（</w:t>
      </w:r>
      <w:r>
        <w:rPr>
          <w:rFonts w:hint="eastAsia" w:asciiTheme="minorEastAsia" w:hAnsiTheme="minorEastAsia" w:eastAsiaTheme="minorEastAsia" w:cstheme="minorEastAsia"/>
          <w:b/>
          <w:bCs/>
          <w:szCs w:val="21"/>
        </w:rPr>
        <w:t>不包括香港、澳门及台湾地区</w:t>
      </w:r>
      <w:r>
        <w:rPr>
          <w:rFonts w:hint="eastAsia" w:asciiTheme="minorEastAsia" w:hAnsiTheme="minorEastAsia" w:eastAsiaTheme="minorEastAsia" w:cstheme="minorEastAsia"/>
          <w:szCs w:val="21"/>
        </w:rPr>
        <w:t>）有管辖权的人民法院起诉。</w:t>
      </w:r>
    </w:p>
    <w:p>
      <w:pPr>
        <w:keepNext w:val="0"/>
        <w:keepLines w:val="0"/>
        <w:pageBreakBefore w:val="0"/>
        <w:kinsoku/>
        <w:wordWrap/>
        <w:overflowPunct/>
        <w:topLinePunct w:val="0"/>
        <w:autoSpaceDE/>
        <w:autoSpaceDN/>
        <w:bidi w:val="0"/>
        <w:adjustRightInd/>
        <w:snapToGrid w:val="0"/>
        <w:spacing w:line="360" w:lineRule="auto"/>
        <w:ind w:firstLine="420" w:firstLineChars="200"/>
        <w:textAlignment w:val="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与本合同有关的以及履行本合同产生的一切争议处理适用中华人民共和国法律</w:t>
      </w:r>
      <w:r>
        <w:rPr>
          <w:rFonts w:hint="eastAsia" w:asciiTheme="minorEastAsia" w:hAnsiTheme="minorEastAsia" w:eastAsiaTheme="minorEastAsia" w:cstheme="minorEastAsia"/>
          <w:b/>
          <w:bCs/>
          <w:szCs w:val="21"/>
        </w:rPr>
        <w:t>（不包括香港、澳门及台湾地区法律）</w:t>
      </w:r>
      <w:r>
        <w:rPr>
          <w:rFonts w:hint="eastAsia" w:asciiTheme="minorEastAsia" w:hAnsiTheme="minorEastAsia" w:eastAsiaTheme="minorEastAsia" w:cstheme="minorEastAsia"/>
          <w:szCs w:val="21"/>
        </w:rPr>
        <w:t>。</w:t>
      </w:r>
    </w:p>
    <w:p>
      <w:pPr>
        <w:keepNext w:val="0"/>
        <w:keepLines w:val="0"/>
        <w:pageBreakBefore w:val="0"/>
        <w:numPr>
          <w:ilvl w:val="0"/>
          <w:numId w:val="1"/>
        </w:numPr>
        <w:kinsoku/>
        <w:wordWrap/>
        <w:overflowPunct/>
        <w:topLinePunct w:val="0"/>
        <w:autoSpaceDE/>
        <w:autoSpaceDN/>
        <w:bidi w:val="0"/>
        <w:adjustRightInd/>
        <w:snapToGrid w:val="0"/>
        <w:spacing w:line="360" w:lineRule="auto"/>
        <w:ind w:firstLine="422" w:firstLineChars="200"/>
        <w:textAlignment w:val="auto"/>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诉讼时效期间</w:t>
      </w:r>
    </w:p>
    <w:p>
      <w:pPr>
        <w:keepNext w:val="0"/>
        <w:keepLines w:val="0"/>
        <w:pageBreakBefore w:val="0"/>
        <w:kinsoku/>
        <w:wordWrap/>
        <w:overflowPunct/>
        <w:topLinePunct w:val="0"/>
        <w:autoSpaceDE/>
        <w:autoSpaceDN/>
        <w:bidi w:val="0"/>
        <w:adjustRightInd/>
        <w:snapToGrid w:val="0"/>
        <w:spacing w:line="360" w:lineRule="auto"/>
        <w:ind w:firstLine="420" w:firstLineChars="200"/>
        <w:textAlignment w:val="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保险金申请人向保险人请求给付保险金的诉讼时效依据中华人民共和国法律（</w:t>
      </w:r>
      <w:bookmarkStart w:id="3" w:name="_Hlk22029879"/>
      <w:r>
        <w:rPr>
          <w:rFonts w:hint="eastAsia" w:asciiTheme="minorEastAsia" w:hAnsiTheme="minorEastAsia" w:eastAsiaTheme="minorEastAsia" w:cstheme="minorEastAsia"/>
          <w:szCs w:val="21"/>
        </w:rPr>
        <w:t>为本合同之目的，</w:t>
      </w:r>
      <w:r>
        <w:rPr>
          <w:rFonts w:hint="eastAsia" w:asciiTheme="minorEastAsia" w:hAnsiTheme="minorEastAsia" w:eastAsiaTheme="minorEastAsia" w:cstheme="minorEastAsia"/>
          <w:b/>
          <w:bCs/>
          <w:szCs w:val="21"/>
        </w:rPr>
        <w:t>不包括香港、澳门、台湾地区的法律</w:t>
      </w:r>
      <w:bookmarkEnd w:id="3"/>
      <w:r>
        <w:rPr>
          <w:rFonts w:hint="eastAsia" w:asciiTheme="minorEastAsia" w:hAnsiTheme="minorEastAsia" w:eastAsiaTheme="minorEastAsia" w:cstheme="minorEastAsia"/>
          <w:szCs w:val="21"/>
        </w:rPr>
        <w:t>）确定，自其知道或者应当知道保险事故发生之日起计算。</w:t>
      </w:r>
    </w:p>
    <w:p>
      <w:pPr>
        <w:keepNext w:val="0"/>
        <w:keepLines w:val="0"/>
        <w:pageBreakBefore w:val="0"/>
        <w:widowControl w:val="0"/>
        <w:kinsoku/>
        <w:wordWrap/>
        <w:overflowPunct/>
        <w:topLinePunct w:val="0"/>
        <w:autoSpaceDE/>
        <w:autoSpaceDN/>
        <w:bidi w:val="0"/>
        <w:adjustRightInd/>
        <w:snapToGrid w:val="0"/>
        <w:spacing w:before="157" w:beforeLines="50" w:line="360" w:lineRule="auto"/>
        <w:jc w:val="center"/>
        <w:textAlignment w:val="auto"/>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第七部分 保险合同的解除与终止</w:t>
      </w:r>
    </w:p>
    <w:p>
      <w:pPr>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firstLine="422" w:firstLineChars="200"/>
        <w:textAlignment w:val="auto"/>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合同的解除</w:t>
      </w:r>
    </w:p>
    <w:p>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在本合同成立后，投保人可以书面形式通知保险人解除合同，但保险人已根据本合同约定给付保险金的除外。投保人解除本合同时，应提供下列证明文件和资料：</w:t>
      </w:r>
    </w:p>
    <w:p>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（一）保险合同解除申请书；</w:t>
      </w:r>
    </w:p>
    <w:p>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（二）保险合同凭据；</w:t>
      </w:r>
    </w:p>
    <w:p>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（三）保险费交付凭证；</w:t>
      </w:r>
    </w:p>
    <w:p>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（四）投保人身份证明。</w:t>
      </w:r>
    </w:p>
    <w:p>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投保人要求解除本合同，自保险人接到保险合同解除申请书之日次日零时起，</w:t>
      </w:r>
      <w:r>
        <w:rPr>
          <w:rFonts w:hint="eastAsia" w:asciiTheme="minorEastAsia" w:hAnsiTheme="minorEastAsia" w:eastAsiaTheme="minorEastAsia" w:cstheme="minorEastAsia"/>
          <w:b/>
          <w:bCs/>
          <w:szCs w:val="21"/>
        </w:rPr>
        <w:t>本合同的效力终止</w:t>
      </w:r>
      <w:r>
        <w:rPr>
          <w:rFonts w:hint="eastAsia" w:asciiTheme="minorEastAsia" w:hAnsiTheme="minorEastAsia" w:eastAsiaTheme="minorEastAsia" w:cstheme="minorEastAsia"/>
          <w:szCs w:val="21"/>
        </w:rPr>
        <w:t>。保险人收到上述证明文件和资料之日起30日内退还未满期保险费。</w:t>
      </w:r>
    </w:p>
    <w:p>
      <w:pPr>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firstLine="422" w:firstLineChars="200"/>
        <w:textAlignment w:val="auto"/>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效力终止</w:t>
      </w:r>
    </w:p>
    <w:p>
      <w:pPr>
        <w:keepNext w:val="0"/>
        <w:keepLines w:val="0"/>
        <w:pageBreakBefore w:val="0"/>
        <w:widowControl w:val="0"/>
        <w:kinsoku/>
        <w:wordWrap/>
        <w:overflowPunct/>
        <w:topLinePunct w:val="0"/>
        <w:autoSpaceDE/>
        <w:autoSpaceDN/>
        <w:bidi w:val="0"/>
        <w:adjustRightInd/>
        <w:snapToGrid w:val="0"/>
        <w:spacing w:line="360" w:lineRule="auto"/>
        <w:ind w:firstLine="422" w:firstLineChars="200"/>
        <w:textAlignment w:val="auto"/>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发生以下情况之一时，本合同效力即时终止：</w:t>
      </w:r>
    </w:p>
    <w:p>
      <w:pPr>
        <w:keepNext w:val="0"/>
        <w:keepLines w:val="0"/>
        <w:pageBreakBefore w:val="0"/>
        <w:widowControl w:val="0"/>
        <w:numPr>
          <w:ilvl w:val="0"/>
          <w:numId w:val="3"/>
        </w:numPr>
        <w:kinsoku/>
        <w:wordWrap/>
        <w:overflowPunct/>
        <w:topLinePunct w:val="0"/>
        <w:autoSpaceDE/>
        <w:autoSpaceDN/>
        <w:bidi w:val="0"/>
        <w:adjustRightInd/>
        <w:snapToGrid w:val="0"/>
        <w:spacing w:line="360" w:lineRule="auto"/>
        <w:ind w:firstLine="422" w:firstLineChars="200"/>
        <w:textAlignment w:val="auto"/>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保险期间届满；</w:t>
      </w:r>
    </w:p>
    <w:p>
      <w:pPr>
        <w:keepNext w:val="0"/>
        <w:keepLines w:val="0"/>
        <w:pageBreakBefore w:val="0"/>
        <w:widowControl w:val="0"/>
        <w:numPr>
          <w:ilvl w:val="0"/>
          <w:numId w:val="3"/>
        </w:numPr>
        <w:kinsoku/>
        <w:wordWrap/>
        <w:overflowPunct/>
        <w:topLinePunct w:val="0"/>
        <w:autoSpaceDE/>
        <w:autoSpaceDN/>
        <w:bidi w:val="0"/>
        <w:adjustRightInd/>
        <w:snapToGrid w:val="0"/>
        <w:spacing w:line="360" w:lineRule="auto"/>
        <w:ind w:firstLine="422" w:firstLineChars="200"/>
        <w:textAlignment w:val="auto"/>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被保险人身故；</w:t>
      </w:r>
    </w:p>
    <w:p>
      <w:pPr>
        <w:keepNext w:val="0"/>
        <w:keepLines w:val="0"/>
        <w:pageBreakBefore w:val="0"/>
        <w:widowControl w:val="0"/>
        <w:numPr>
          <w:ilvl w:val="0"/>
          <w:numId w:val="3"/>
        </w:numPr>
        <w:kinsoku/>
        <w:wordWrap/>
        <w:overflowPunct/>
        <w:topLinePunct w:val="0"/>
        <w:autoSpaceDE/>
        <w:autoSpaceDN/>
        <w:bidi w:val="0"/>
        <w:adjustRightInd/>
        <w:snapToGrid w:val="0"/>
        <w:spacing w:line="360" w:lineRule="auto"/>
        <w:ind w:firstLine="422" w:firstLineChars="200"/>
        <w:textAlignment w:val="auto"/>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因本合同其他条款所约定的情况而终止效力。</w:t>
      </w:r>
    </w:p>
    <w:p>
      <w:pPr>
        <w:keepNext w:val="0"/>
        <w:keepLines w:val="0"/>
        <w:pageBreakBefore w:val="0"/>
        <w:widowControl w:val="0"/>
        <w:kinsoku/>
        <w:wordWrap/>
        <w:overflowPunct/>
        <w:topLinePunct w:val="0"/>
        <w:autoSpaceDE/>
        <w:autoSpaceDN/>
        <w:bidi w:val="0"/>
        <w:adjustRightInd/>
        <w:snapToGrid w:val="0"/>
        <w:spacing w:before="157" w:beforeLines="50" w:line="360" w:lineRule="auto"/>
        <w:jc w:val="center"/>
        <w:textAlignment w:val="auto"/>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第八部分 释义</w:t>
      </w:r>
    </w:p>
    <w:p>
      <w:pPr>
        <w:pStyle w:val="2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textAlignment w:val="auto"/>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lang w:val="en-US" w:eastAsia="zh-CN"/>
        </w:rPr>
        <w:t>一、</w:t>
      </w:r>
      <w:r>
        <w:rPr>
          <w:rFonts w:hint="eastAsia" w:asciiTheme="minorEastAsia" w:hAnsiTheme="minorEastAsia" w:eastAsiaTheme="minorEastAsia" w:cstheme="minorEastAsia"/>
          <w:b/>
          <w:bCs/>
          <w:szCs w:val="21"/>
        </w:rPr>
        <w:t>保险人</w:t>
      </w:r>
    </w:p>
    <w:p>
      <w:pPr>
        <w:keepNext w:val="0"/>
        <w:keepLines w:val="0"/>
        <w:pageBreakBefore w:val="0"/>
        <w:widowControl w:val="0"/>
        <w:kinsoku/>
        <w:wordWrap/>
        <w:overflowPunct/>
        <w:topLinePunct w:val="0"/>
        <w:autoSpaceDE/>
        <w:autoSpaceDN/>
        <w:bidi w:val="0"/>
        <w:adjustRightInd/>
        <w:snapToGrid w:val="0"/>
        <w:spacing w:line="360" w:lineRule="auto"/>
        <w:ind w:left="0" w:firstLine="420" w:firstLineChars="200"/>
        <w:textAlignment w:val="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指华农财产保险股份有限公司。</w:t>
      </w:r>
    </w:p>
    <w:p>
      <w:pPr>
        <w:pStyle w:val="2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textAlignment w:val="auto"/>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lang w:val="en-US" w:eastAsia="zh-CN"/>
        </w:rPr>
        <w:t>二、</w:t>
      </w:r>
      <w:r>
        <w:rPr>
          <w:rFonts w:hint="eastAsia" w:asciiTheme="minorEastAsia" w:hAnsiTheme="minorEastAsia" w:eastAsiaTheme="minorEastAsia" w:cstheme="minorEastAsia"/>
          <w:b/>
          <w:bCs/>
          <w:szCs w:val="21"/>
        </w:rPr>
        <w:t>周岁</w:t>
      </w:r>
    </w:p>
    <w:p>
      <w:pPr>
        <w:keepNext w:val="0"/>
        <w:keepLines w:val="0"/>
        <w:pageBreakBefore w:val="0"/>
        <w:widowControl w:val="0"/>
        <w:kinsoku/>
        <w:wordWrap/>
        <w:overflowPunct/>
        <w:topLinePunct w:val="0"/>
        <w:autoSpaceDE/>
        <w:autoSpaceDN/>
        <w:bidi w:val="0"/>
        <w:adjustRightInd/>
        <w:snapToGrid w:val="0"/>
        <w:spacing w:line="360" w:lineRule="auto"/>
        <w:ind w:left="0" w:firstLine="420" w:firstLineChars="200"/>
        <w:textAlignment w:val="auto"/>
        <w:rPr>
          <w:rFonts w:asciiTheme="minorEastAsia" w:hAnsiTheme="minorEastAsia" w:eastAsiaTheme="minorEastAsia" w:cstheme="minorEastAsia"/>
          <w:szCs w:val="21"/>
        </w:rPr>
      </w:pPr>
      <w:r>
        <w:rPr>
          <w:rFonts w:hint="eastAsia" w:ascii="宋体" w:hAnsi="宋体" w:cstheme="minorEastAsia"/>
          <w:szCs w:val="21"/>
        </w:rPr>
        <w:t>指按照居民身份证、军官证、警官证、士兵证等有效</w:t>
      </w:r>
      <w:r>
        <w:rPr>
          <w:rFonts w:hint="eastAsia" w:asciiTheme="minorEastAsia" w:hAnsiTheme="minorEastAsia" w:eastAsiaTheme="minorEastAsia" w:cstheme="minorEastAsia"/>
          <w:szCs w:val="21"/>
        </w:rPr>
        <w:t>法定身份证明文件中记载的出生日期为基础计算的实足年龄</w:t>
      </w:r>
      <w:r>
        <w:rPr>
          <w:rFonts w:hint="eastAsia" w:ascii="宋体" w:hAnsi="宋体" w:cstheme="minorEastAsia"/>
          <w:szCs w:val="21"/>
        </w:rPr>
        <w:t>，自出生之日起为零周岁，每经过一年增加一岁，不足一年的不计</w:t>
      </w:r>
      <w:r>
        <w:rPr>
          <w:rFonts w:hint="eastAsia" w:asciiTheme="minorEastAsia" w:hAnsiTheme="minorEastAsia" w:eastAsiaTheme="minorEastAsia" w:cstheme="minorEastAsia"/>
          <w:szCs w:val="21"/>
        </w:rPr>
        <w:t>。</w:t>
      </w:r>
    </w:p>
    <w:p>
      <w:pPr>
        <w:pStyle w:val="2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textAlignment w:val="auto"/>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lang w:val="en-US" w:eastAsia="zh-CN"/>
        </w:rPr>
        <w:t>三、</w:t>
      </w:r>
      <w:r>
        <w:rPr>
          <w:rFonts w:hint="eastAsia" w:asciiTheme="minorEastAsia" w:hAnsiTheme="minorEastAsia" w:eastAsiaTheme="minorEastAsia" w:cstheme="minorEastAsia"/>
          <w:b/>
          <w:bCs/>
          <w:szCs w:val="21"/>
        </w:rPr>
        <w:t>脑卒中</w:t>
      </w:r>
    </w:p>
    <w:p>
      <w:pPr>
        <w:keepNext w:val="0"/>
        <w:keepLines w:val="0"/>
        <w:pageBreakBefore w:val="0"/>
        <w:widowControl w:val="0"/>
        <w:kinsoku/>
        <w:wordWrap/>
        <w:overflowPunct/>
        <w:topLinePunct w:val="0"/>
        <w:autoSpaceDE/>
        <w:autoSpaceDN/>
        <w:bidi w:val="0"/>
        <w:adjustRightInd/>
        <w:snapToGrid w:val="0"/>
        <w:spacing w:line="360" w:lineRule="auto"/>
        <w:ind w:left="0" w:firstLine="420" w:firstLineChars="200"/>
        <w:textAlignment w:val="auto"/>
        <w:outlineLvl w:val="0"/>
        <w:rPr>
          <w:rFonts w:asciiTheme="minorEastAsia" w:hAnsiTheme="minorEastAsia" w:eastAsiaTheme="minorEastAsia" w:cstheme="minorEastAsia"/>
          <w:bCs/>
        </w:rPr>
      </w:pPr>
      <w:r>
        <w:rPr>
          <w:rFonts w:hint="eastAsia" w:asciiTheme="minorEastAsia" w:hAnsiTheme="minorEastAsia" w:eastAsiaTheme="minorEastAsia" w:cstheme="minorEastAsia"/>
          <w:bCs/>
        </w:rPr>
        <w:t>脑卒中，指被保险人实际发生了脑血管的突发病变并出现神经系统功能障碍临床表现，头颅断层扫描（CT）、核磁共振检查（MRI）等影像学检查证实存在对应新发病灶，确诊为脑出血、脑栓塞或者脑梗塞；其参照世界卫生组织颁布的《疾病和有关健康问题的国际统计分类（ICD-10）》出院疾病诊断编码为：I60-I64。</w:t>
      </w:r>
    </w:p>
    <w:tbl>
      <w:tblPr>
        <w:tblStyle w:val="20"/>
        <w:tblpPr w:leftFromText="180" w:rightFromText="180" w:vertAnchor="text" w:horzAnchor="page" w:tblpX="1828" w:tblpY="32"/>
        <w:tblOverlap w:val="never"/>
        <w:tblW w:w="8200"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329"/>
        <w:gridCol w:w="4236"/>
        <w:gridCol w:w="163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2329" w:type="dxa"/>
            <w:tcBorders>
              <w:top w:val="single" w:color="000000" w:sz="10" w:space="0"/>
              <w:left w:val="single" w:color="000000" w:sz="10" w:space="0"/>
            </w:tcBorders>
            <w:vAlign w:val="center"/>
          </w:tcPr>
          <w:p>
            <w:pPr>
              <w:pStyle w:val="21"/>
              <w:spacing w:line="360" w:lineRule="auto"/>
              <w:ind w:left="0"/>
              <w:jc w:val="center"/>
              <w:rPr>
                <w:rFonts w:hint="eastAsia"/>
                <w:b/>
                <w:bCs/>
                <w:lang w:eastAsia="zh-CN"/>
              </w:rPr>
            </w:pPr>
            <w:r>
              <w:rPr>
                <w:rFonts w:hint="eastAsia"/>
                <w:b/>
                <w:bCs/>
                <w:lang w:eastAsia="zh-CN"/>
              </w:rPr>
              <w:t>诊断编码（ICD-10）</w:t>
            </w:r>
          </w:p>
        </w:tc>
        <w:tc>
          <w:tcPr>
            <w:tcW w:w="4236" w:type="dxa"/>
            <w:tcBorders>
              <w:top w:val="single" w:color="000000" w:sz="10" w:space="0"/>
            </w:tcBorders>
            <w:vAlign w:val="center"/>
          </w:tcPr>
          <w:p>
            <w:pPr>
              <w:pStyle w:val="21"/>
              <w:spacing w:line="360" w:lineRule="auto"/>
              <w:ind w:left="0"/>
              <w:jc w:val="center"/>
              <w:rPr>
                <w:rFonts w:hint="eastAsia"/>
                <w:b/>
                <w:bCs/>
                <w:lang w:eastAsia="zh-CN"/>
              </w:rPr>
            </w:pPr>
            <w:r>
              <w:rPr>
                <w:rFonts w:hint="eastAsia"/>
                <w:b/>
                <w:bCs/>
                <w:lang w:eastAsia="zh-CN"/>
              </w:rPr>
              <w:t>疾病名称</w:t>
            </w:r>
          </w:p>
        </w:tc>
        <w:tc>
          <w:tcPr>
            <w:tcW w:w="1635" w:type="dxa"/>
            <w:tcBorders>
              <w:top w:val="single" w:color="000000" w:sz="10" w:space="0"/>
              <w:right w:val="single" w:color="000000" w:sz="10" w:space="0"/>
            </w:tcBorders>
            <w:vAlign w:val="center"/>
          </w:tcPr>
          <w:p>
            <w:pPr>
              <w:pStyle w:val="21"/>
              <w:spacing w:line="360" w:lineRule="auto"/>
              <w:ind w:left="0"/>
              <w:jc w:val="center"/>
              <w:rPr>
                <w:rFonts w:hint="eastAsia"/>
                <w:b/>
                <w:bCs/>
                <w:lang w:eastAsia="zh-CN"/>
              </w:rPr>
            </w:pPr>
            <w:r>
              <w:rPr>
                <w:rFonts w:hint="eastAsia"/>
                <w:b/>
                <w:bCs/>
                <w:lang w:eastAsia="zh-CN"/>
              </w:rPr>
              <w:t>编码层级</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2329" w:type="dxa"/>
            <w:tcBorders>
              <w:left w:val="single" w:color="000000" w:sz="10" w:space="0"/>
            </w:tcBorders>
            <w:vAlign w:val="center"/>
          </w:tcPr>
          <w:p>
            <w:pPr>
              <w:pStyle w:val="21"/>
              <w:spacing w:before="89" w:line="360" w:lineRule="auto"/>
              <w:ind w:left="0"/>
              <w:jc w:val="center"/>
            </w:pPr>
            <w:r>
              <w:rPr>
                <w:spacing w:val="-5"/>
              </w:rPr>
              <w:t>I60</w:t>
            </w:r>
          </w:p>
        </w:tc>
        <w:tc>
          <w:tcPr>
            <w:tcW w:w="4236" w:type="dxa"/>
            <w:vAlign w:val="center"/>
          </w:tcPr>
          <w:p>
            <w:pPr>
              <w:pStyle w:val="21"/>
              <w:spacing w:before="54" w:line="360" w:lineRule="auto"/>
              <w:jc w:val="center"/>
            </w:pPr>
            <w:r>
              <w:rPr>
                <w:spacing w:val="-15"/>
              </w:rPr>
              <w:t>蛛网膜下出血</w:t>
            </w:r>
          </w:p>
        </w:tc>
        <w:tc>
          <w:tcPr>
            <w:tcW w:w="1635" w:type="dxa"/>
            <w:tcBorders>
              <w:right w:val="single" w:color="000000" w:sz="10" w:space="0"/>
            </w:tcBorders>
            <w:vAlign w:val="center"/>
          </w:tcPr>
          <w:p>
            <w:pPr>
              <w:pStyle w:val="21"/>
              <w:spacing w:before="89" w:line="360" w:lineRule="auto"/>
              <w:ind w:left="0" w:firstLine="0" w:firstLineChars="0"/>
              <w:jc w:val="center"/>
            </w:pPr>
            <w: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5" w:hRule="atLeast"/>
        </w:trPr>
        <w:tc>
          <w:tcPr>
            <w:tcW w:w="2329" w:type="dxa"/>
            <w:tcBorders>
              <w:left w:val="single" w:color="000000" w:sz="10" w:space="0"/>
            </w:tcBorders>
            <w:vAlign w:val="center"/>
          </w:tcPr>
          <w:p>
            <w:pPr>
              <w:pStyle w:val="21"/>
              <w:spacing w:before="89" w:line="360" w:lineRule="auto"/>
              <w:ind w:left="0"/>
              <w:jc w:val="center"/>
              <w:rPr>
                <w:spacing w:val="-5"/>
              </w:rPr>
            </w:pPr>
            <w:r>
              <w:rPr>
                <w:spacing w:val="-5"/>
              </w:rPr>
              <w:t>I60.0</w:t>
            </w:r>
          </w:p>
        </w:tc>
        <w:tc>
          <w:tcPr>
            <w:tcW w:w="4236" w:type="dxa"/>
            <w:vAlign w:val="center"/>
          </w:tcPr>
          <w:p>
            <w:pPr>
              <w:pStyle w:val="21"/>
              <w:spacing w:before="89" w:line="360" w:lineRule="auto"/>
              <w:jc w:val="center"/>
              <w:rPr>
                <w:spacing w:val="-5"/>
                <w:lang w:eastAsia="zh-CN"/>
              </w:rPr>
            </w:pPr>
            <w:r>
              <w:rPr>
                <w:spacing w:val="-5"/>
                <w:lang w:eastAsia="zh-CN"/>
              </w:rPr>
              <w:t>颈动脉弯管和杈的蛛网膜下出血</w:t>
            </w:r>
          </w:p>
        </w:tc>
        <w:tc>
          <w:tcPr>
            <w:tcW w:w="1635" w:type="dxa"/>
            <w:tcBorders>
              <w:right w:val="single" w:color="000000" w:sz="10" w:space="0"/>
            </w:tcBorders>
            <w:vAlign w:val="center"/>
          </w:tcPr>
          <w:p>
            <w:pPr>
              <w:pStyle w:val="21"/>
              <w:spacing w:before="89" w:line="360" w:lineRule="auto"/>
              <w:ind w:left="0"/>
              <w:jc w:val="center"/>
              <w:rPr>
                <w:spacing w:val="-5"/>
              </w:rPr>
            </w:pPr>
            <w:r>
              <w:rPr>
                <w:spacing w:val="-5"/>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5" w:hRule="atLeast"/>
        </w:trPr>
        <w:tc>
          <w:tcPr>
            <w:tcW w:w="2329" w:type="dxa"/>
            <w:tcBorders>
              <w:left w:val="single" w:color="000000" w:sz="10" w:space="0"/>
            </w:tcBorders>
            <w:vAlign w:val="center"/>
          </w:tcPr>
          <w:p>
            <w:pPr>
              <w:pStyle w:val="21"/>
              <w:spacing w:before="89" w:line="360" w:lineRule="auto"/>
              <w:ind w:left="0"/>
              <w:jc w:val="center"/>
              <w:rPr>
                <w:spacing w:val="-5"/>
              </w:rPr>
            </w:pPr>
            <w:r>
              <w:rPr>
                <w:spacing w:val="-5"/>
              </w:rPr>
              <w:t>I60.1</w:t>
            </w:r>
          </w:p>
        </w:tc>
        <w:tc>
          <w:tcPr>
            <w:tcW w:w="4236" w:type="dxa"/>
            <w:vAlign w:val="center"/>
          </w:tcPr>
          <w:p>
            <w:pPr>
              <w:pStyle w:val="21"/>
              <w:spacing w:before="89" w:line="360" w:lineRule="auto"/>
              <w:jc w:val="center"/>
              <w:rPr>
                <w:spacing w:val="-5"/>
                <w:lang w:eastAsia="zh-CN"/>
              </w:rPr>
            </w:pPr>
            <w:r>
              <w:rPr>
                <w:spacing w:val="-5"/>
                <w:lang w:eastAsia="zh-CN"/>
              </w:rPr>
              <w:t>大脑中动脉的蛛网膜下出血</w:t>
            </w:r>
          </w:p>
        </w:tc>
        <w:tc>
          <w:tcPr>
            <w:tcW w:w="1635" w:type="dxa"/>
            <w:tcBorders>
              <w:right w:val="single" w:color="000000" w:sz="10" w:space="0"/>
            </w:tcBorders>
            <w:vAlign w:val="center"/>
          </w:tcPr>
          <w:p>
            <w:pPr>
              <w:pStyle w:val="21"/>
              <w:spacing w:before="89" w:line="360" w:lineRule="auto"/>
              <w:ind w:left="0"/>
              <w:jc w:val="center"/>
              <w:rPr>
                <w:spacing w:val="-5"/>
              </w:rPr>
            </w:pPr>
            <w:r>
              <w:rPr>
                <w:spacing w:val="-5"/>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5" w:hRule="atLeast"/>
        </w:trPr>
        <w:tc>
          <w:tcPr>
            <w:tcW w:w="2329" w:type="dxa"/>
            <w:tcBorders>
              <w:left w:val="single" w:color="000000" w:sz="10" w:space="0"/>
            </w:tcBorders>
            <w:vAlign w:val="center"/>
          </w:tcPr>
          <w:p>
            <w:pPr>
              <w:pStyle w:val="21"/>
              <w:spacing w:before="89" w:line="360" w:lineRule="auto"/>
              <w:ind w:left="0"/>
              <w:jc w:val="center"/>
              <w:rPr>
                <w:spacing w:val="-5"/>
              </w:rPr>
            </w:pPr>
            <w:r>
              <w:rPr>
                <w:spacing w:val="-5"/>
              </w:rPr>
              <w:t>I60.2</w:t>
            </w:r>
          </w:p>
        </w:tc>
        <w:tc>
          <w:tcPr>
            <w:tcW w:w="4236" w:type="dxa"/>
            <w:vAlign w:val="center"/>
          </w:tcPr>
          <w:p>
            <w:pPr>
              <w:pStyle w:val="21"/>
              <w:spacing w:before="89" w:line="360" w:lineRule="auto"/>
              <w:ind w:left="0"/>
              <w:jc w:val="center"/>
              <w:rPr>
                <w:spacing w:val="-5"/>
                <w:lang w:eastAsia="zh-CN"/>
              </w:rPr>
            </w:pPr>
            <w:r>
              <w:rPr>
                <w:spacing w:val="-5"/>
                <w:lang w:eastAsia="zh-CN"/>
              </w:rPr>
              <w:t>前交通动脉的蛛网膜下出血</w:t>
            </w:r>
          </w:p>
        </w:tc>
        <w:tc>
          <w:tcPr>
            <w:tcW w:w="1635" w:type="dxa"/>
            <w:tcBorders>
              <w:right w:val="single" w:color="000000" w:sz="10" w:space="0"/>
            </w:tcBorders>
            <w:vAlign w:val="center"/>
          </w:tcPr>
          <w:p>
            <w:pPr>
              <w:pStyle w:val="21"/>
              <w:spacing w:before="89" w:line="360" w:lineRule="auto"/>
              <w:ind w:left="0"/>
              <w:jc w:val="center"/>
              <w:rPr>
                <w:spacing w:val="-5"/>
              </w:rPr>
            </w:pPr>
            <w:r>
              <w:rPr>
                <w:spacing w:val="-5"/>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2329" w:type="dxa"/>
            <w:tcBorders>
              <w:left w:val="single" w:color="000000" w:sz="10" w:space="0"/>
            </w:tcBorders>
            <w:vAlign w:val="center"/>
          </w:tcPr>
          <w:p>
            <w:pPr>
              <w:pStyle w:val="21"/>
              <w:spacing w:before="89" w:line="360" w:lineRule="auto"/>
              <w:ind w:left="0"/>
              <w:jc w:val="center"/>
              <w:rPr>
                <w:spacing w:val="-5"/>
              </w:rPr>
            </w:pPr>
            <w:r>
              <w:rPr>
                <w:spacing w:val="-5"/>
              </w:rPr>
              <w:t>I60.3</w:t>
            </w:r>
          </w:p>
        </w:tc>
        <w:tc>
          <w:tcPr>
            <w:tcW w:w="4236" w:type="dxa"/>
            <w:vAlign w:val="center"/>
          </w:tcPr>
          <w:p>
            <w:pPr>
              <w:pStyle w:val="21"/>
              <w:spacing w:before="89" w:line="360" w:lineRule="auto"/>
              <w:ind w:left="0"/>
              <w:jc w:val="center"/>
              <w:rPr>
                <w:spacing w:val="-5"/>
                <w:lang w:eastAsia="zh-CN"/>
              </w:rPr>
            </w:pPr>
            <w:r>
              <w:rPr>
                <w:spacing w:val="-5"/>
                <w:lang w:eastAsia="zh-CN"/>
              </w:rPr>
              <w:t>后交通动脉的蛛网膜下出血</w:t>
            </w:r>
          </w:p>
        </w:tc>
        <w:tc>
          <w:tcPr>
            <w:tcW w:w="1635" w:type="dxa"/>
            <w:tcBorders>
              <w:right w:val="single" w:color="000000" w:sz="10" w:space="0"/>
            </w:tcBorders>
            <w:vAlign w:val="center"/>
          </w:tcPr>
          <w:p>
            <w:pPr>
              <w:pStyle w:val="21"/>
              <w:spacing w:before="89" w:line="360" w:lineRule="auto"/>
              <w:ind w:left="0"/>
              <w:jc w:val="center"/>
              <w:rPr>
                <w:spacing w:val="-5"/>
              </w:rPr>
            </w:pPr>
            <w:r>
              <w:rPr>
                <w:spacing w:val="-5"/>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329" w:type="dxa"/>
            <w:tcBorders>
              <w:left w:val="single" w:color="000000" w:sz="10" w:space="0"/>
            </w:tcBorders>
            <w:vAlign w:val="center"/>
          </w:tcPr>
          <w:p>
            <w:pPr>
              <w:pStyle w:val="21"/>
              <w:spacing w:before="89" w:line="360" w:lineRule="auto"/>
              <w:ind w:left="0"/>
              <w:jc w:val="center"/>
              <w:rPr>
                <w:spacing w:val="-5"/>
              </w:rPr>
            </w:pPr>
            <w:r>
              <w:rPr>
                <w:spacing w:val="-5"/>
              </w:rPr>
              <w:t>I60.4</w:t>
            </w:r>
          </w:p>
        </w:tc>
        <w:tc>
          <w:tcPr>
            <w:tcW w:w="4236" w:type="dxa"/>
            <w:vAlign w:val="center"/>
          </w:tcPr>
          <w:p>
            <w:pPr>
              <w:pStyle w:val="21"/>
              <w:spacing w:before="89" w:line="360" w:lineRule="auto"/>
              <w:ind w:left="0"/>
              <w:jc w:val="center"/>
              <w:rPr>
                <w:spacing w:val="-5"/>
                <w:lang w:eastAsia="zh-CN"/>
              </w:rPr>
            </w:pPr>
            <w:r>
              <w:rPr>
                <w:spacing w:val="-5"/>
                <w:lang w:eastAsia="zh-CN"/>
              </w:rPr>
              <w:t>基底动脉的蛛网膜下出血</w:t>
            </w:r>
          </w:p>
        </w:tc>
        <w:tc>
          <w:tcPr>
            <w:tcW w:w="1635" w:type="dxa"/>
            <w:tcBorders>
              <w:right w:val="single" w:color="000000" w:sz="10" w:space="0"/>
            </w:tcBorders>
            <w:vAlign w:val="center"/>
          </w:tcPr>
          <w:p>
            <w:pPr>
              <w:pStyle w:val="21"/>
              <w:spacing w:before="89" w:line="360" w:lineRule="auto"/>
              <w:ind w:left="0"/>
              <w:jc w:val="center"/>
              <w:rPr>
                <w:spacing w:val="-5"/>
              </w:rPr>
            </w:pPr>
            <w:r>
              <w:rPr>
                <w:spacing w:val="-5"/>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2" w:hRule="atLeast"/>
        </w:trPr>
        <w:tc>
          <w:tcPr>
            <w:tcW w:w="2329" w:type="dxa"/>
            <w:tcBorders>
              <w:left w:val="single" w:color="000000" w:sz="10" w:space="0"/>
              <w:bottom w:val="single" w:color="auto" w:sz="4" w:space="0"/>
            </w:tcBorders>
            <w:vAlign w:val="center"/>
          </w:tcPr>
          <w:p>
            <w:pPr>
              <w:pStyle w:val="21"/>
              <w:spacing w:before="89" w:line="360" w:lineRule="auto"/>
              <w:ind w:left="0"/>
              <w:jc w:val="center"/>
              <w:rPr>
                <w:spacing w:val="-5"/>
              </w:rPr>
            </w:pPr>
            <w:r>
              <w:rPr>
                <w:spacing w:val="-5"/>
              </w:rPr>
              <w:t>I60.5</w:t>
            </w:r>
          </w:p>
        </w:tc>
        <w:tc>
          <w:tcPr>
            <w:tcW w:w="4236" w:type="dxa"/>
            <w:tcBorders>
              <w:bottom w:val="single" w:color="auto" w:sz="4" w:space="0"/>
            </w:tcBorders>
            <w:vAlign w:val="center"/>
          </w:tcPr>
          <w:p>
            <w:pPr>
              <w:pStyle w:val="21"/>
              <w:spacing w:before="89" w:line="360" w:lineRule="auto"/>
              <w:ind w:left="0"/>
              <w:jc w:val="center"/>
              <w:rPr>
                <w:spacing w:val="-5"/>
                <w:lang w:eastAsia="zh-CN"/>
              </w:rPr>
            </w:pPr>
            <w:r>
              <w:rPr>
                <w:spacing w:val="-5"/>
                <w:lang w:eastAsia="zh-CN"/>
              </w:rPr>
              <w:t>椎动脉的蛛网膜下出血</w:t>
            </w:r>
          </w:p>
        </w:tc>
        <w:tc>
          <w:tcPr>
            <w:tcW w:w="1635" w:type="dxa"/>
            <w:tcBorders>
              <w:bottom w:val="single" w:color="auto" w:sz="4" w:space="0"/>
              <w:right w:val="single" w:color="000000" w:sz="10" w:space="0"/>
            </w:tcBorders>
            <w:vAlign w:val="center"/>
          </w:tcPr>
          <w:p>
            <w:pPr>
              <w:pStyle w:val="21"/>
              <w:spacing w:before="89" w:line="360" w:lineRule="auto"/>
              <w:ind w:left="0"/>
              <w:jc w:val="center"/>
              <w:rPr>
                <w:spacing w:val="-5"/>
              </w:rPr>
            </w:pPr>
            <w:r>
              <w:rPr>
                <w:spacing w:val="-5"/>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329" w:type="dxa"/>
            <w:tcBorders>
              <w:top w:val="single" w:color="auto" w:sz="4" w:space="0"/>
              <w:left w:val="single" w:color="auto" w:sz="4" w:space="0"/>
              <w:bottom w:val="single" w:color="auto" w:sz="4" w:space="0"/>
              <w:right w:val="single" w:color="auto" w:sz="4" w:space="0"/>
            </w:tcBorders>
          </w:tcPr>
          <w:p>
            <w:pPr>
              <w:pStyle w:val="21"/>
              <w:spacing w:before="89" w:line="360" w:lineRule="auto"/>
              <w:ind w:left="0"/>
              <w:jc w:val="center"/>
              <w:rPr>
                <w:spacing w:val="-5"/>
              </w:rPr>
            </w:pPr>
            <w:r>
              <w:rPr>
                <w:spacing w:val="-5"/>
              </w:rPr>
              <w:t>I60.6</w:t>
            </w:r>
          </w:p>
        </w:tc>
        <w:tc>
          <w:tcPr>
            <w:tcW w:w="4236" w:type="dxa"/>
            <w:tcBorders>
              <w:top w:val="single" w:color="auto" w:sz="4" w:space="0"/>
              <w:left w:val="single" w:color="auto" w:sz="4" w:space="0"/>
              <w:bottom w:val="single" w:color="auto" w:sz="4" w:space="0"/>
              <w:right w:val="single" w:color="auto" w:sz="4" w:space="0"/>
            </w:tcBorders>
          </w:tcPr>
          <w:p>
            <w:pPr>
              <w:pStyle w:val="21"/>
              <w:spacing w:before="89" w:line="360" w:lineRule="auto"/>
              <w:ind w:left="0"/>
              <w:jc w:val="center"/>
              <w:rPr>
                <w:spacing w:val="-5"/>
                <w:lang w:eastAsia="zh-CN"/>
              </w:rPr>
            </w:pPr>
            <w:r>
              <w:rPr>
                <w:spacing w:val="-5"/>
                <w:lang w:eastAsia="zh-CN"/>
              </w:rPr>
              <w:t>其他颅内动脉的蛛网膜下出血</w:t>
            </w:r>
          </w:p>
        </w:tc>
        <w:tc>
          <w:tcPr>
            <w:tcW w:w="1635" w:type="dxa"/>
            <w:tcBorders>
              <w:top w:val="single" w:color="auto" w:sz="4" w:space="0"/>
              <w:left w:val="single" w:color="auto" w:sz="4" w:space="0"/>
              <w:bottom w:val="single" w:color="auto" w:sz="4" w:space="0"/>
              <w:right w:val="single" w:color="auto" w:sz="4" w:space="0"/>
            </w:tcBorders>
          </w:tcPr>
          <w:p>
            <w:pPr>
              <w:pStyle w:val="21"/>
              <w:spacing w:before="89" w:line="360" w:lineRule="auto"/>
              <w:ind w:left="0"/>
              <w:jc w:val="center"/>
              <w:rPr>
                <w:spacing w:val="-5"/>
              </w:rPr>
            </w:pPr>
            <w:r>
              <w:rPr>
                <w:spacing w:val="-5"/>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5" w:hRule="atLeast"/>
        </w:trPr>
        <w:tc>
          <w:tcPr>
            <w:tcW w:w="2329" w:type="dxa"/>
            <w:tcBorders>
              <w:top w:val="single" w:color="auto" w:sz="4" w:space="0"/>
              <w:left w:val="single" w:color="auto" w:sz="4" w:space="0"/>
              <w:bottom w:val="single" w:color="auto" w:sz="4" w:space="0"/>
              <w:right w:val="single" w:color="auto" w:sz="4" w:space="0"/>
            </w:tcBorders>
          </w:tcPr>
          <w:p>
            <w:pPr>
              <w:pStyle w:val="21"/>
              <w:spacing w:before="89" w:line="360" w:lineRule="auto"/>
              <w:ind w:left="0"/>
              <w:jc w:val="center"/>
              <w:rPr>
                <w:spacing w:val="-5"/>
              </w:rPr>
            </w:pPr>
            <w:r>
              <w:rPr>
                <w:spacing w:val="-5"/>
              </w:rPr>
              <w:t>I60.7</w:t>
            </w:r>
          </w:p>
        </w:tc>
        <w:tc>
          <w:tcPr>
            <w:tcW w:w="4236" w:type="dxa"/>
            <w:tcBorders>
              <w:top w:val="single" w:color="auto" w:sz="4" w:space="0"/>
              <w:left w:val="single" w:color="auto" w:sz="4" w:space="0"/>
              <w:bottom w:val="single" w:color="auto" w:sz="4" w:space="0"/>
              <w:right w:val="single" w:color="auto" w:sz="4" w:space="0"/>
            </w:tcBorders>
          </w:tcPr>
          <w:p>
            <w:pPr>
              <w:pStyle w:val="21"/>
              <w:spacing w:before="89" w:line="360" w:lineRule="auto"/>
              <w:ind w:left="0"/>
              <w:jc w:val="center"/>
              <w:rPr>
                <w:spacing w:val="-5"/>
                <w:lang w:eastAsia="zh-CN"/>
              </w:rPr>
            </w:pPr>
            <w:r>
              <w:rPr>
                <w:spacing w:val="-5"/>
                <w:lang w:eastAsia="zh-CN"/>
              </w:rPr>
              <w:t>未特指颅内动脉的蛛网膜下出血</w:t>
            </w:r>
          </w:p>
        </w:tc>
        <w:tc>
          <w:tcPr>
            <w:tcW w:w="1635" w:type="dxa"/>
            <w:tcBorders>
              <w:top w:val="single" w:color="auto" w:sz="4" w:space="0"/>
              <w:left w:val="single" w:color="auto" w:sz="4" w:space="0"/>
              <w:bottom w:val="single" w:color="auto" w:sz="4" w:space="0"/>
              <w:right w:val="single" w:color="auto" w:sz="4" w:space="0"/>
            </w:tcBorders>
          </w:tcPr>
          <w:p>
            <w:pPr>
              <w:pStyle w:val="21"/>
              <w:spacing w:before="89" w:line="360" w:lineRule="auto"/>
              <w:ind w:left="0"/>
              <w:jc w:val="center"/>
              <w:rPr>
                <w:spacing w:val="-5"/>
              </w:rPr>
            </w:pPr>
            <w:r>
              <w:rPr>
                <w:spacing w:val="-5"/>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5" w:hRule="atLeast"/>
        </w:trPr>
        <w:tc>
          <w:tcPr>
            <w:tcW w:w="2329" w:type="dxa"/>
            <w:tcBorders>
              <w:top w:val="single" w:color="auto" w:sz="4" w:space="0"/>
              <w:left w:val="single" w:color="auto" w:sz="4" w:space="0"/>
              <w:bottom w:val="single" w:color="auto" w:sz="4" w:space="0"/>
              <w:right w:val="single" w:color="auto" w:sz="4" w:space="0"/>
            </w:tcBorders>
          </w:tcPr>
          <w:p>
            <w:pPr>
              <w:pStyle w:val="21"/>
              <w:spacing w:before="89" w:line="360" w:lineRule="auto"/>
              <w:ind w:left="0"/>
              <w:jc w:val="center"/>
              <w:rPr>
                <w:spacing w:val="-5"/>
              </w:rPr>
            </w:pPr>
            <w:r>
              <w:rPr>
                <w:spacing w:val="-5"/>
              </w:rPr>
              <w:t>I60.8</w:t>
            </w:r>
          </w:p>
        </w:tc>
        <w:tc>
          <w:tcPr>
            <w:tcW w:w="4236" w:type="dxa"/>
            <w:tcBorders>
              <w:top w:val="single" w:color="auto" w:sz="4" w:space="0"/>
              <w:left w:val="single" w:color="auto" w:sz="4" w:space="0"/>
              <w:bottom w:val="single" w:color="auto" w:sz="4" w:space="0"/>
              <w:right w:val="single" w:color="auto" w:sz="4" w:space="0"/>
            </w:tcBorders>
          </w:tcPr>
          <w:p>
            <w:pPr>
              <w:pStyle w:val="21"/>
              <w:spacing w:before="89" w:line="360" w:lineRule="auto"/>
              <w:ind w:left="0"/>
              <w:jc w:val="center"/>
              <w:rPr>
                <w:spacing w:val="-5"/>
              </w:rPr>
            </w:pPr>
            <w:r>
              <w:rPr>
                <w:spacing w:val="-5"/>
              </w:rPr>
              <w:t>其他的蛛网膜下出血</w:t>
            </w:r>
          </w:p>
        </w:tc>
        <w:tc>
          <w:tcPr>
            <w:tcW w:w="1635" w:type="dxa"/>
            <w:tcBorders>
              <w:top w:val="single" w:color="auto" w:sz="4" w:space="0"/>
              <w:left w:val="single" w:color="auto" w:sz="4" w:space="0"/>
              <w:bottom w:val="single" w:color="auto" w:sz="4" w:space="0"/>
              <w:right w:val="single" w:color="auto" w:sz="4" w:space="0"/>
            </w:tcBorders>
          </w:tcPr>
          <w:p>
            <w:pPr>
              <w:pStyle w:val="21"/>
              <w:spacing w:before="89" w:line="360" w:lineRule="auto"/>
              <w:ind w:left="0"/>
              <w:jc w:val="center"/>
              <w:rPr>
                <w:spacing w:val="-5"/>
              </w:rPr>
            </w:pPr>
            <w:r>
              <w:rPr>
                <w:spacing w:val="-5"/>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5" w:hRule="atLeast"/>
        </w:trPr>
        <w:tc>
          <w:tcPr>
            <w:tcW w:w="2329" w:type="dxa"/>
            <w:tcBorders>
              <w:top w:val="single" w:color="auto" w:sz="4" w:space="0"/>
              <w:left w:val="single" w:color="auto" w:sz="4" w:space="0"/>
              <w:bottom w:val="single" w:color="auto" w:sz="4" w:space="0"/>
              <w:right w:val="single" w:color="auto" w:sz="4" w:space="0"/>
            </w:tcBorders>
          </w:tcPr>
          <w:p>
            <w:pPr>
              <w:pStyle w:val="21"/>
              <w:spacing w:before="89" w:line="360" w:lineRule="auto"/>
              <w:ind w:left="0"/>
              <w:jc w:val="center"/>
              <w:rPr>
                <w:spacing w:val="-5"/>
              </w:rPr>
            </w:pPr>
            <w:r>
              <w:rPr>
                <w:spacing w:val="-5"/>
              </w:rPr>
              <w:t>I60.9</w:t>
            </w:r>
          </w:p>
        </w:tc>
        <w:tc>
          <w:tcPr>
            <w:tcW w:w="4236" w:type="dxa"/>
            <w:tcBorders>
              <w:top w:val="single" w:color="auto" w:sz="4" w:space="0"/>
              <w:left w:val="single" w:color="auto" w:sz="4" w:space="0"/>
              <w:bottom w:val="single" w:color="auto" w:sz="4" w:space="0"/>
              <w:right w:val="single" w:color="auto" w:sz="4" w:space="0"/>
            </w:tcBorders>
          </w:tcPr>
          <w:p>
            <w:pPr>
              <w:pStyle w:val="21"/>
              <w:spacing w:before="89" w:line="360" w:lineRule="auto"/>
              <w:ind w:left="0"/>
              <w:jc w:val="center"/>
              <w:rPr>
                <w:spacing w:val="-5"/>
              </w:rPr>
            </w:pPr>
            <w:r>
              <w:rPr>
                <w:spacing w:val="-5"/>
              </w:rPr>
              <w:t>未特指的蛛网膜下出血</w:t>
            </w:r>
          </w:p>
        </w:tc>
        <w:tc>
          <w:tcPr>
            <w:tcW w:w="1635" w:type="dxa"/>
            <w:tcBorders>
              <w:top w:val="single" w:color="auto" w:sz="4" w:space="0"/>
              <w:left w:val="single" w:color="auto" w:sz="4" w:space="0"/>
              <w:bottom w:val="single" w:color="auto" w:sz="4" w:space="0"/>
              <w:right w:val="single" w:color="auto" w:sz="4" w:space="0"/>
            </w:tcBorders>
          </w:tcPr>
          <w:p>
            <w:pPr>
              <w:pStyle w:val="21"/>
              <w:spacing w:before="89" w:line="360" w:lineRule="auto"/>
              <w:ind w:left="0"/>
              <w:jc w:val="center"/>
              <w:rPr>
                <w:spacing w:val="-5"/>
              </w:rPr>
            </w:pPr>
            <w:r>
              <w:rPr>
                <w:spacing w:val="-5"/>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329" w:type="dxa"/>
            <w:tcBorders>
              <w:top w:val="single" w:color="auto" w:sz="4" w:space="0"/>
              <w:left w:val="single" w:color="auto" w:sz="4" w:space="0"/>
              <w:bottom w:val="single" w:color="auto" w:sz="4" w:space="0"/>
              <w:right w:val="single" w:color="auto" w:sz="4" w:space="0"/>
            </w:tcBorders>
          </w:tcPr>
          <w:p>
            <w:pPr>
              <w:pStyle w:val="21"/>
              <w:spacing w:before="89" w:line="360" w:lineRule="auto"/>
              <w:ind w:left="0"/>
              <w:jc w:val="center"/>
              <w:rPr>
                <w:spacing w:val="-5"/>
              </w:rPr>
            </w:pPr>
            <w:r>
              <w:rPr>
                <w:spacing w:val="-5"/>
              </w:rPr>
              <w:t>I61</w:t>
            </w:r>
          </w:p>
        </w:tc>
        <w:tc>
          <w:tcPr>
            <w:tcW w:w="4236" w:type="dxa"/>
            <w:tcBorders>
              <w:top w:val="single" w:color="auto" w:sz="4" w:space="0"/>
              <w:left w:val="single" w:color="auto" w:sz="4" w:space="0"/>
              <w:bottom w:val="single" w:color="auto" w:sz="4" w:space="0"/>
              <w:right w:val="single" w:color="auto" w:sz="4" w:space="0"/>
            </w:tcBorders>
          </w:tcPr>
          <w:p>
            <w:pPr>
              <w:pStyle w:val="21"/>
              <w:spacing w:before="89" w:line="360" w:lineRule="auto"/>
              <w:ind w:left="0"/>
              <w:jc w:val="center"/>
              <w:rPr>
                <w:spacing w:val="-5"/>
              </w:rPr>
            </w:pPr>
            <w:r>
              <w:rPr>
                <w:spacing w:val="-5"/>
              </w:rPr>
              <w:t>脑内出血</w:t>
            </w:r>
          </w:p>
        </w:tc>
        <w:tc>
          <w:tcPr>
            <w:tcW w:w="1635" w:type="dxa"/>
            <w:tcBorders>
              <w:top w:val="single" w:color="auto" w:sz="4" w:space="0"/>
              <w:left w:val="single" w:color="auto" w:sz="4" w:space="0"/>
              <w:bottom w:val="single" w:color="auto" w:sz="4" w:space="0"/>
              <w:right w:val="single" w:color="auto" w:sz="4" w:space="0"/>
            </w:tcBorders>
          </w:tcPr>
          <w:p>
            <w:pPr>
              <w:pStyle w:val="21"/>
              <w:spacing w:before="89" w:line="360" w:lineRule="auto"/>
              <w:ind w:left="0"/>
              <w:jc w:val="center"/>
              <w:rPr>
                <w:spacing w:val="-5"/>
              </w:rPr>
            </w:pPr>
            <w:r>
              <w:rPr>
                <w:spacing w:val="-5"/>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2329" w:type="dxa"/>
            <w:tcBorders>
              <w:top w:val="single" w:color="auto" w:sz="4" w:space="0"/>
              <w:left w:val="single" w:color="auto" w:sz="4" w:space="0"/>
              <w:bottom w:val="single" w:color="auto" w:sz="4" w:space="0"/>
              <w:right w:val="single" w:color="auto" w:sz="4" w:space="0"/>
            </w:tcBorders>
          </w:tcPr>
          <w:p>
            <w:pPr>
              <w:pStyle w:val="21"/>
              <w:spacing w:before="89" w:line="360" w:lineRule="auto"/>
              <w:ind w:left="0"/>
              <w:jc w:val="center"/>
              <w:rPr>
                <w:spacing w:val="-5"/>
              </w:rPr>
            </w:pPr>
            <w:r>
              <w:rPr>
                <w:spacing w:val="-5"/>
              </w:rPr>
              <w:t>I61.0</w:t>
            </w:r>
          </w:p>
        </w:tc>
        <w:tc>
          <w:tcPr>
            <w:tcW w:w="4236" w:type="dxa"/>
            <w:tcBorders>
              <w:top w:val="single" w:color="auto" w:sz="4" w:space="0"/>
              <w:left w:val="single" w:color="auto" w:sz="4" w:space="0"/>
              <w:bottom w:val="single" w:color="auto" w:sz="4" w:space="0"/>
              <w:right w:val="single" w:color="auto" w:sz="4" w:space="0"/>
            </w:tcBorders>
          </w:tcPr>
          <w:p>
            <w:pPr>
              <w:pStyle w:val="21"/>
              <w:spacing w:before="89" w:line="360" w:lineRule="auto"/>
              <w:ind w:left="0"/>
              <w:jc w:val="center"/>
              <w:rPr>
                <w:spacing w:val="-5"/>
                <w:lang w:eastAsia="zh-CN"/>
              </w:rPr>
            </w:pPr>
            <w:r>
              <w:rPr>
                <w:spacing w:val="-5"/>
                <w:lang w:eastAsia="zh-CN"/>
              </w:rPr>
              <w:t>大脑半球的脑内出血,皮质下</w:t>
            </w:r>
          </w:p>
        </w:tc>
        <w:tc>
          <w:tcPr>
            <w:tcW w:w="1635" w:type="dxa"/>
            <w:tcBorders>
              <w:top w:val="single" w:color="auto" w:sz="4" w:space="0"/>
              <w:left w:val="single" w:color="auto" w:sz="4" w:space="0"/>
              <w:bottom w:val="single" w:color="auto" w:sz="4" w:space="0"/>
              <w:right w:val="single" w:color="auto" w:sz="4" w:space="0"/>
            </w:tcBorders>
          </w:tcPr>
          <w:p>
            <w:pPr>
              <w:pStyle w:val="21"/>
              <w:spacing w:before="89" w:line="360" w:lineRule="auto"/>
              <w:ind w:left="0"/>
              <w:jc w:val="center"/>
              <w:rPr>
                <w:spacing w:val="-5"/>
              </w:rPr>
            </w:pPr>
            <w:r>
              <w:rPr>
                <w:spacing w:val="-5"/>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5" w:hRule="atLeast"/>
        </w:trPr>
        <w:tc>
          <w:tcPr>
            <w:tcW w:w="2329" w:type="dxa"/>
            <w:tcBorders>
              <w:top w:val="single" w:color="auto" w:sz="4" w:space="0"/>
              <w:left w:val="single" w:color="auto" w:sz="4" w:space="0"/>
              <w:bottom w:val="single" w:color="auto" w:sz="4" w:space="0"/>
              <w:right w:val="single" w:color="auto" w:sz="4" w:space="0"/>
            </w:tcBorders>
          </w:tcPr>
          <w:p>
            <w:pPr>
              <w:pStyle w:val="21"/>
              <w:spacing w:before="89" w:line="360" w:lineRule="auto"/>
              <w:ind w:left="0"/>
              <w:jc w:val="center"/>
              <w:rPr>
                <w:spacing w:val="-5"/>
              </w:rPr>
            </w:pPr>
            <w:r>
              <w:rPr>
                <w:spacing w:val="-5"/>
              </w:rPr>
              <w:t>I61.1</w:t>
            </w:r>
          </w:p>
        </w:tc>
        <w:tc>
          <w:tcPr>
            <w:tcW w:w="4236" w:type="dxa"/>
            <w:tcBorders>
              <w:top w:val="single" w:color="auto" w:sz="4" w:space="0"/>
              <w:left w:val="single" w:color="auto" w:sz="4" w:space="0"/>
              <w:bottom w:val="single" w:color="auto" w:sz="4" w:space="0"/>
              <w:right w:val="single" w:color="auto" w:sz="4" w:space="0"/>
            </w:tcBorders>
          </w:tcPr>
          <w:p>
            <w:pPr>
              <w:pStyle w:val="21"/>
              <w:spacing w:before="89" w:line="360" w:lineRule="auto"/>
              <w:ind w:left="0"/>
              <w:jc w:val="center"/>
              <w:rPr>
                <w:spacing w:val="-5"/>
                <w:lang w:eastAsia="zh-CN"/>
              </w:rPr>
            </w:pPr>
            <w:r>
              <w:rPr>
                <w:spacing w:val="-5"/>
                <w:lang w:eastAsia="zh-CN"/>
              </w:rPr>
              <w:t>大脑半球的脑内出血,皮质的</w:t>
            </w:r>
          </w:p>
        </w:tc>
        <w:tc>
          <w:tcPr>
            <w:tcW w:w="1635" w:type="dxa"/>
            <w:tcBorders>
              <w:top w:val="single" w:color="auto" w:sz="4" w:space="0"/>
              <w:left w:val="single" w:color="auto" w:sz="4" w:space="0"/>
              <w:bottom w:val="single" w:color="auto" w:sz="4" w:space="0"/>
              <w:right w:val="single" w:color="auto" w:sz="4" w:space="0"/>
            </w:tcBorders>
          </w:tcPr>
          <w:p>
            <w:pPr>
              <w:pStyle w:val="21"/>
              <w:spacing w:before="89" w:line="360" w:lineRule="auto"/>
              <w:ind w:left="0"/>
              <w:jc w:val="center"/>
              <w:rPr>
                <w:spacing w:val="-5"/>
              </w:rPr>
            </w:pPr>
            <w:r>
              <w:rPr>
                <w:spacing w:val="-5"/>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5" w:hRule="atLeast"/>
        </w:trPr>
        <w:tc>
          <w:tcPr>
            <w:tcW w:w="2329" w:type="dxa"/>
            <w:tcBorders>
              <w:top w:val="single" w:color="auto" w:sz="4" w:space="0"/>
              <w:left w:val="single" w:color="auto" w:sz="4" w:space="0"/>
              <w:bottom w:val="single" w:color="auto" w:sz="4" w:space="0"/>
              <w:right w:val="single" w:color="auto" w:sz="4" w:space="0"/>
            </w:tcBorders>
          </w:tcPr>
          <w:p>
            <w:pPr>
              <w:pStyle w:val="21"/>
              <w:spacing w:before="89" w:line="360" w:lineRule="auto"/>
              <w:ind w:left="0"/>
              <w:jc w:val="center"/>
              <w:rPr>
                <w:spacing w:val="-5"/>
              </w:rPr>
            </w:pPr>
            <w:r>
              <w:rPr>
                <w:spacing w:val="-5"/>
              </w:rPr>
              <w:t>I61.2</w:t>
            </w:r>
          </w:p>
        </w:tc>
        <w:tc>
          <w:tcPr>
            <w:tcW w:w="4236" w:type="dxa"/>
            <w:tcBorders>
              <w:top w:val="single" w:color="auto" w:sz="4" w:space="0"/>
              <w:left w:val="single" w:color="auto" w:sz="4" w:space="0"/>
              <w:bottom w:val="single" w:color="auto" w:sz="4" w:space="0"/>
              <w:right w:val="single" w:color="auto" w:sz="4" w:space="0"/>
            </w:tcBorders>
          </w:tcPr>
          <w:p>
            <w:pPr>
              <w:pStyle w:val="21"/>
              <w:spacing w:before="89" w:line="360" w:lineRule="auto"/>
              <w:ind w:left="0"/>
              <w:jc w:val="center"/>
              <w:rPr>
                <w:spacing w:val="-5"/>
                <w:lang w:eastAsia="zh-CN"/>
              </w:rPr>
            </w:pPr>
            <w:r>
              <w:rPr>
                <w:spacing w:val="-5"/>
                <w:lang w:eastAsia="zh-CN"/>
              </w:rPr>
              <w:t>大脑半球未特指的脑内出血</w:t>
            </w:r>
          </w:p>
        </w:tc>
        <w:tc>
          <w:tcPr>
            <w:tcW w:w="1635" w:type="dxa"/>
            <w:tcBorders>
              <w:top w:val="single" w:color="auto" w:sz="4" w:space="0"/>
              <w:left w:val="single" w:color="auto" w:sz="4" w:space="0"/>
              <w:bottom w:val="single" w:color="auto" w:sz="4" w:space="0"/>
              <w:right w:val="single" w:color="auto" w:sz="4" w:space="0"/>
            </w:tcBorders>
          </w:tcPr>
          <w:p>
            <w:pPr>
              <w:pStyle w:val="21"/>
              <w:spacing w:before="89" w:line="360" w:lineRule="auto"/>
              <w:ind w:left="0"/>
              <w:jc w:val="center"/>
              <w:rPr>
                <w:spacing w:val="-5"/>
              </w:rPr>
            </w:pPr>
            <w:r>
              <w:rPr>
                <w:spacing w:val="-5"/>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5" w:hRule="atLeast"/>
        </w:trPr>
        <w:tc>
          <w:tcPr>
            <w:tcW w:w="2329" w:type="dxa"/>
            <w:tcBorders>
              <w:top w:val="single" w:color="auto" w:sz="4" w:space="0"/>
              <w:left w:val="single" w:color="auto" w:sz="4" w:space="0"/>
              <w:bottom w:val="single" w:color="auto" w:sz="4" w:space="0"/>
              <w:right w:val="single" w:color="auto" w:sz="4" w:space="0"/>
            </w:tcBorders>
          </w:tcPr>
          <w:p>
            <w:pPr>
              <w:pStyle w:val="21"/>
              <w:spacing w:before="89" w:line="360" w:lineRule="auto"/>
              <w:ind w:left="0"/>
              <w:jc w:val="center"/>
              <w:rPr>
                <w:spacing w:val="-5"/>
              </w:rPr>
            </w:pPr>
            <w:r>
              <w:rPr>
                <w:spacing w:val="-5"/>
              </w:rPr>
              <w:t>I61.3</w:t>
            </w:r>
          </w:p>
        </w:tc>
        <w:tc>
          <w:tcPr>
            <w:tcW w:w="4236" w:type="dxa"/>
            <w:tcBorders>
              <w:top w:val="single" w:color="auto" w:sz="4" w:space="0"/>
              <w:left w:val="single" w:color="auto" w:sz="4" w:space="0"/>
              <w:bottom w:val="single" w:color="auto" w:sz="4" w:space="0"/>
              <w:right w:val="single" w:color="auto" w:sz="4" w:space="0"/>
            </w:tcBorders>
          </w:tcPr>
          <w:p>
            <w:pPr>
              <w:pStyle w:val="21"/>
              <w:spacing w:before="89" w:line="360" w:lineRule="auto"/>
              <w:ind w:left="0"/>
              <w:jc w:val="center"/>
              <w:rPr>
                <w:spacing w:val="-5"/>
              </w:rPr>
            </w:pPr>
            <w:r>
              <w:rPr>
                <w:spacing w:val="-5"/>
              </w:rPr>
              <w:t>脑干的脑内出血</w:t>
            </w:r>
          </w:p>
        </w:tc>
        <w:tc>
          <w:tcPr>
            <w:tcW w:w="1635" w:type="dxa"/>
            <w:tcBorders>
              <w:top w:val="single" w:color="auto" w:sz="4" w:space="0"/>
              <w:left w:val="single" w:color="auto" w:sz="4" w:space="0"/>
              <w:bottom w:val="single" w:color="auto" w:sz="4" w:space="0"/>
              <w:right w:val="single" w:color="auto" w:sz="4" w:space="0"/>
            </w:tcBorders>
          </w:tcPr>
          <w:p>
            <w:pPr>
              <w:pStyle w:val="21"/>
              <w:spacing w:before="89" w:line="360" w:lineRule="auto"/>
              <w:ind w:left="0"/>
              <w:jc w:val="center"/>
              <w:rPr>
                <w:spacing w:val="-5"/>
              </w:rPr>
            </w:pPr>
            <w:r>
              <w:rPr>
                <w:spacing w:val="-5"/>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5" w:hRule="atLeast"/>
        </w:trPr>
        <w:tc>
          <w:tcPr>
            <w:tcW w:w="2329" w:type="dxa"/>
            <w:tcBorders>
              <w:top w:val="single" w:color="auto" w:sz="4" w:space="0"/>
              <w:left w:val="single" w:color="auto" w:sz="4" w:space="0"/>
              <w:bottom w:val="single" w:color="auto" w:sz="4" w:space="0"/>
              <w:right w:val="single" w:color="auto" w:sz="4" w:space="0"/>
            </w:tcBorders>
          </w:tcPr>
          <w:p>
            <w:pPr>
              <w:pStyle w:val="21"/>
              <w:spacing w:before="89" w:line="360" w:lineRule="auto"/>
              <w:ind w:left="0"/>
              <w:jc w:val="center"/>
              <w:rPr>
                <w:spacing w:val="-5"/>
              </w:rPr>
            </w:pPr>
            <w:r>
              <w:rPr>
                <w:spacing w:val="-5"/>
              </w:rPr>
              <w:t>I61.4</w:t>
            </w:r>
          </w:p>
        </w:tc>
        <w:tc>
          <w:tcPr>
            <w:tcW w:w="4236" w:type="dxa"/>
            <w:tcBorders>
              <w:top w:val="single" w:color="auto" w:sz="4" w:space="0"/>
              <w:left w:val="single" w:color="auto" w:sz="4" w:space="0"/>
              <w:bottom w:val="single" w:color="auto" w:sz="4" w:space="0"/>
              <w:right w:val="single" w:color="auto" w:sz="4" w:space="0"/>
            </w:tcBorders>
          </w:tcPr>
          <w:p>
            <w:pPr>
              <w:pStyle w:val="21"/>
              <w:spacing w:before="89" w:line="360" w:lineRule="auto"/>
              <w:ind w:left="0"/>
              <w:jc w:val="center"/>
              <w:rPr>
                <w:spacing w:val="-5"/>
              </w:rPr>
            </w:pPr>
            <w:r>
              <w:rPr>
                <w:spacing w:val="-5"/>
              </w:rPr>
              <w:t>小脑的脑内出血</w:t>
            </w:r>
          </w:p>
        </w:tc>
        <w:tc>
          <w:tcPr>
            <w:tcW w:w="1635" w:type="dxa"/>
            <w:tcBorders>
              <w:top w:val="single" w:color="auto" w:sz="4" w:space="0"/>
              <w:left w:val="single" w:color="auto" w:sz="4" w:space="0"/>
              <w:bottom w:val="single" w:color="auto" w:sz="4" w:space="0"/>
              <w:right w:val="single" w:color="auto" w:sz="4" w:space="0"/>
            </w:tcBorders>
          </w:tcPr>
          <w:p>
            <w:pPr>
              <w:pStyle w:val="21"/>
              <w:spacing w:before="89" w:line="360" w:lineRule="auto"/>
              <w:ind w:left="0"/>
              <w:jc w:val="center"/>
              <w:rPr>
                <w:spacing w:val="-5"/>
              </w:rPr>
            </w:pPr>
            <w:r>
              <w:rPr>
                <w:spacing w:val="-5"/>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9" w:hRule="atLeast"/>
        </w:trPr>
        <w:tc>
          <w:tcPr>
            <w:tcW w:w="2329" w:type="dxa"/>
            <w:tcBorders>
              <w:top w:val="single" w:color="auto" w:sz="4" w:space="0"/>
              <w:left w:val="single" w:color="auto" w:sz="4" w:space="0"/>
              <w:bottom w:val="single" w:color="auto" w:sz="4" w:space="0"/>
              <w:right w:val="single" w:color="auto" w:sz="4" w:space="0"/>
            </w:tcBorders>
          </w:tcPr>
          <w:p>
            <w:pPr>
              <w:pStyle w:val="21"/>
              <w:spacing w:before="89" w:line="360" w:lineRule="auto"/>
              <w:ind w:left="0"/>
              <w:jc w:val="center"/>
              <w:rPr>
                <w:spacing w:val="-5"/>
              </w:rPr>
            </w:pPr>
            <w:r>
              <w:rPr>
                <w:spacing w:val="-5"/>
              </w:rPr>
              <w:t>I61.5</w:t>
            </w:r>
          </w:p>
        </w:tc>
        <w:tc>
          <w:tcPr>
            <w:tcW w:w="4236" w:type="dxa"/>
            <w:tcBorders>
              <w:top w:val="single" w:color="auto" w:sz="4" w:space="0"/>
              <w:left w:val="single" w:color="auto" w:sz="4" w:space="0"/>
              <w:bottom w:val="single" w:color="auto" w:sz="4" w:space="0"/>
              <w:right w:val="single" w:color="auto" w:sz="4" w:space="0"/>
            </w:tcBorders>
          </w:tcPr>
          <w:p>
            <w:pPr>
              <w:pStyle w:val="21"/>
              <w:spacing w:before="89" w:line="360" w:lineRule="auto"/>
              <w:ind w:left="0"/>
              <w:jc w:val="center"/>
              <w:rPr>
                <w:spacing w:val="-5"/>
              </w:rPr>
            </w:pPr>
            <w:r>
              <w:rPr>
                <w:spacing w:val="-5"/>
              </w:rPr>
              <w:t>脑内出血,脑室内</w:t>
            </w:r>
          </w:p>
        </w:tc>
        <w:tc>
          <w:tcPr>
            <w:tcW w:w="1635" w:type="dxa"/>
            <w:tcBorders>
              <w:top w:val="single" w:color="auto" w:sz="4" w:space="0"/>
              <w:left w:val="single" w:color="auto" w:sz="4" w:space="0"/>
              <w:bottom w:val="single" w:color="auto" w:sz="4" w:space="0"/>
              <w:right w:val="single" w:color="auto" w:sz="4" w:space="0"/>
            </w:tcBorders>
          </w:tcPr>
          <w:p>
            <w:pPr>
              <w:pStyle w:val="21"/>
              <w:spacing w:before="89" w:line="360" w:lineRule="auto"/>
              <w:ind w:left="0"/>
              <w:jc w:val="center"/>
              <w:rPr>
                <w:spacing w:val="-5"/>
              </w:rPr>
            </w:pPr>
            <w:r>
              <w:rPr>
                <w:spacing w:val="-5"/>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9" w:hRule="atLeast"/>
        </w:trPr>
        <w:tc>
          <w:tcPr>
            <w:tcW w:w="2329" w:type="dxa"/>
            <w:tcBorders>
              <w:top w:val="single" w:color="auto" w:sz="4" w:space="0"/>
              <w:left w:val="single" w:color="auto" w:sz="4" w:space="0"/>
              <w:bottom w:val="single" w:color="auto" w:sz="4" w:space="0"/>
              <w:right w:val="single" w:color="auto" w:sz="4" w:space="0"/>
            </w:tcBorders>
          </w:tcPr>
          <w:p>
            <w:pPr>
              <w:pStyle w:val="21"/>
              <w:spacing w:before="89" w:line="360" w:lineRule="auto"/>
              <w:ind w:left="0"/>
              <w:jc w:val="center"/>
              <w:rPr>
                <w:spacing w:val="-5"/>
              </w:rPr>
            </w:pPr>
            <w:r>
              <w:rPr>
                <w:spacing w:val="-5"/>
              </w:rPr>
              <w:t>I61.6</w:t>
            </w:r>
          </w:p>
        </w:tc>
        <w:tc>
          <w:tcPr>
            <w:tcW w:w="4236" w:type="dxa"/>
            <w:tcBorders>
              <w:top w:val="single" w:color="auto" w:sz="4" w:space="0"/>
              <w:left w:val="single" w:color="auto" w:sz="4" w:space="0"/>
              <w:bottom w:val="single" w:color="auto" w:sz="4" w:space="0"/>
              <w:right w:val="single" w:color="auto" w:sz="4" w:space="0"/>
            </w:tcBorders>
          </w:tcPr>
          <w:p>
            <w:pPr>
              <w:pStyle w:val="21"/>
              <w:spacing w:before="89" w:line="360" w:lineRule="auto"/>
              <w:ind w:left="0"/>
              <w:jc w:val="center"/>
              <w:rPr>
                <w:spacing w:val="-5"/>
              </w:rPr>
            </w:pPr>
            <w:r>
              <w:rPr>
                <w:spacing w:val="-5"/>
              </w:rPr>
              <w:t>脑内出血,多处局限性</w:t>
            </w:r>
          </w:p>
        </w:tc>
        <w:tc>
          <w:tcPr>
            <w:tcW w:w="1635" w:type="dxa"/>
            <w:tcBorders>
              <w:top w:val="single" w:color="auto" w:sz="4" w:space="0"/>
              <w:left w:val="single" w:color="auto" w:sz="4" w:space="0"/>
              <w:bottom w:val="single" w:color="auto" w:sz="4" w:space="0"/>
              <w:right w:val="single" w:color="auto" w:sz="4" w:space="0"/>
            </w:tcBorders>
          </w:tcPr>
          <w:p>
            <w:pPr>
              <w:pStyle w:val="21"/>
              <w:spacing w:before="89" w:line="360" w:lineRule="auto"/>
              <w:ind w:left="0"/>
              <w:jc w:val="center"/>
              <w:rPr>
                <w:spacing w:val="-5"/>
              </w:rPr>
            </w:pPr>
            <w:r>
              <w:rPr>
                <w:spacing w:val="-5"/>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9" w:hRule="atLeast"/>
        </w:trPr>
        <w:tc>
          <w:tcPr>
            <w:tcW w:w="2329" w:type="dxa"/>
            <w:tcBorders>
              <w:top w:val="single" w:color="auto" w:sz="4" w:space="0"/>
              <w:left w:val="single" w:color="auto" w:sz="4" w:space="0"/>
              <w:bottom w:val="single" w:color="auto" w:sz="4" w:space="0"/>
              <w:right w:val="single" w:color="auto" w:sz="4" w:space="0"/>
            </w:tcBorders>
          </w:tcPr>
          <w:p>
            <w:pPr>
              <w:pStyle w:val="21"/>
              <w:spacing w:before="89" w:line="360" w:lineRule="auto"/>
              <w:ind w:left="0"/>
              <w:jc w:val="center"/>
              <w:rPr>
                <w:spacing w:val="-5"/>
              </w:rPr>
            </w:pPr>
            <w:r>
              <w:rPr>
                <w:spacing w:val="-5"/>
              </w:rPr>
              <w:t>I61.8</w:t>
            </w:r>
          </w:p>
        </w:tc>
        <w:tc>
          <w:tcPr>
            <w:tcW w:w="4236" w:type="dxa"/>
            <w:tcBorders>
              <w:top w:val="single" w:color="auto" w:sz="4" w:space="0"/>
              <w:left w:val="single" w:color="auto" w:sz="4" w:space="0"/>
              <w:bottom w:val="single" w:color="auto" w:sz="4" w:space="0"/>
              <w:right w:val="single" w:color="auto" w:sz="4" w:space="0"/>
            </w:tcBorders>
          </w:tcPr>
          <w:p>
            <w:pPr>
              <w:pStyle w:val="21"/>
              <w:spacing w:before="89" w:line="360" w:lineRule="auto"/>
              <w:ind w:left="0"/>
              <w:jc w:val="center"/>
              <w:rPr>
                <w:spacing w:val="-5"/>
              </w:rPr>
            </w:pPr>
            <w:r>
              <w:rPr>
                <w:spacing w:val="-5"/>
              </w:rPr>
              <w:t>其他的脑内出血</w:t>
            </w:r>
          </w:p>
        </w:tc>
        <w:tc>
          <w:tcPr>
            <w:tcW w:w="1635" w:type="dxa"/>
            <w:tcBorders>
              <w:top w:val="single" w:color="auto" w:sz="4" w:space="0"/>
              <w:left w:val="single" w:color="auto" w:sz="4" w:space="0"/>
              <w:bottom w:val="single" w:color="auto" w:sz="4" w:space="0"/>
              <w:right w:val="single" w:color="auto" w:sz="4" w:space="0"/>
            </w:tcBorders>
          </w:tcPr>
          <w:p>
            <w:pPr>
              <w:pStyle w:val="21"/>
              <w:spacing w:before="89" w:line="360" w:lineRule="auto"/>
              <w:ind w:left="0"/>
              <w:jc w:val="center"/>
              <w:rPr>
                <w:spacing w:val="-5"/>
              </w:rPr>
            </w:pPr>
            <w:r>
              <w:rPr>
                <w:spacing w:val="-5"/>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9" w:hRule="atLeast"/>
        </w:trPr>
        <w:tc>
          <w:tcPr>
            <w:tcW w:w="2329" w:type="dxa"/>
            <w:tcBorders>
              <w:top w:val="single" w:color="auto" w:sz="4" w:space="0"/>
              <w:left w:val="single" w:color="auto" w:sz="4" w:space="0"/>
              <w:bottom w:val="single" w:color="auto" w:sz="4" w:space="0"/>
              <w:right w:val="single" w:color="auto" w:sz="4" w:space="0"/>
            </w:tcBorders>
          </w:tcPr>
          <w:p>
            <w:pPr>
              <w:pStyle w:val="21"/>
              <w:spacing w:before="89" w:line="360" w:lineRule="auto"/>
              <w:ind w:left="0"/>
              <w:jc w:val="center"/>
              <w:rPr>
                <w:spacing w:val="-5"/>
              </w:rPr>
            </w:pPr>
            <w:r>
              <w:rPr>
                <w:spacing w:val="-5"/>
              </w:rPr>
              <w:t>I61.9</w:t>
            </w:r>
          </w:p>
        </w:tc>
        <w:tc>
          <w:tcPr>
            <w:tcW w:w="4236" w:type="dxa"/>
            <w:tcBorders>
              <w:top w:val="single" w:color="auto" w:sz="4" w:space="0"/>
              <w:left w:val="single" w:color="auto" w:sz="4" w:space="0"/>
              <w:bottom w:val="single" w:color="auto" w:sz="4" w:space="0"/>
              <w:right w:val="single" w:color="auto" w:sz="4" w:space="0"/>
            </w:tcBorders>
          </w:tcPr>
          <w:p>
            <w:pPr>
              <w:pStyle w:val="21"/>
              <w:spacing w:before="89" w:line="360" w:lineRule="auto"/>
              <w:ind w:left="0"/>
              <w:jc w:val="center"/>
              <w:rPr>
                <w:spacing w:val="-5"/>
              </w:rPr>
            </w:pPr>
            <w:r>
              <w:rPr>
                <w:spacing w:val="-5"/>
              </w:rPr>
              <w:t>未特指的脑内出血</w:t>
            </w:r>
          </w:p>
        </w:tc>
        <w:tc>
          <w:tcPr>
            <w:tcW w:w="1635" w:type="dxa"/>
            <w:tcBorders>
              <w:top w:val="single" w:color="auto" w:sz="4" w:space="0"/>
              <w:left w:val="single" w:color="auto" w:sz="4" w:space="0"/>
              <w:bottom w:val="single" w:color="auto" w:sz="4" w:space="0"/>
              <w:right w:val="single" w:color="auto" w:sz="4" w:space="0"/>
            </w:tcBorders>
          </w:tcPr>
          <w:p>
            <w:pPr>
              <w:pStyle w:val="21"/>
              <w:spacing w:before="89" w:line="360" w:lineRule="auto"/>
              <w:ind w:left="0"/>
              <w:jc w:val="center"/>
              <w:rPr>
                <w:spacing w:val="-5"/>
              </w:rPr>
            </w:pPr>
            <w:r>
              <w:rPr>
                <w:spacing w:val="-5"/>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9" w:hRule="atLeast"/>
        </w:trPr>
        <w:tc>
          <w:tcPr>
            <w:tcW w:w="2329" w:type="dxa"/>
            <w:tcBorders>
              <w:top w:val="single" w:color="auto" w:sz="4" w:space="0"/>
              <w:left w:val="single" w:color="auto" w:sz="4" w:space="0"/>
              <w:bottom w:val="single" w:color="auto" w:sz="4" w:space="0"/>
              <w:right w:val="single" w:color="auto" w:sz="4" w:space="0"/>
            </w:tcBorders>
          </w:tcPr>
          <w:p>
            <w:pPr>
              <w:pStyle w:val="21"/>
              <w:spacing w:before="89" w:line="360" w:lineRule="auto"/>
              <w:ind w:left="0"/>
              <w:jc w:val="center"/>
              <w:rPr>
                <w:spacing w:val="-5"/>
              </w:rPr>
            </w:pPr>
            <w:r>
              <w:rPr>
                <w:spacing w:val="-5"/>
              </w:rPr>
              <w:t>I62</w:t>
            </w:r>
          </w:p>
        </w:tc>
        <w:tc>
          <w:tcPr>
            <w:tcW w:w="4236" w:type="dxa"/>
            <w:tcBorders>
              <w:top w:val="single" w:color="auto" w:sz="4" w:space="0"/>
              <w:left w:val="single" w:color="auto" w:sz="4" w:space="0"/>
              <w:bottom w:val="single" w:color="auto" w:sz="4" w:space="0"/>
              <w:right w:val="single" w:color="auto" w:sz="4" w:space="0"/>
            </w:tcBorders>
          </w:tcPr>
          <w:p>
            <w:pPr>
              <w:pStyle w:val="21"/>
              <w:spacing w:before="89" w:line="360" w:lineRule="auto"/>
              <w:ind w:left="0"/>
              <w:jc w:val="center"/>
              <w:rPr>
                <w:spacing w:val="-5"/>
                <w:lang w:eastAsia="zh-CN"/>
              </w:rPr>
            </w:pPr>
            <w:r>
              <w:rPr>
                <w:spacing w:val="-5"/>
                <w:lang w:eastAsia="zh-CN"/>
              </w:rPr>
              <w:t>其他非创伤性颅内出血</w:t>
            </w:r>
          </w:p>
        </w:tc>
        <w:tc>
          <w:tcPr>
            <w:tcW w:w="1635" w:type="dxa"/>
            <w:tcBorders>
              <w:top w:val="single" w:color="auto" w:sz="4" w:space="0"/>
              <w:left w:val="single" w:color="auto" w:sz="4" w:space="0"/>
              <w:bottom w:val="single" w:color="auto" w:sz="4" w:space="0"/>
              <w:right w:val="single" w:color="auto" w:sz="4" w:space="0"/>
            </w:tcBorders>
          </w:tcPr>
          <w:p>
            <w:pPr>
              <w:pStyle w:val="21"/>
              <w:spacing w:before="89" w:line="360" w:lineRule="auto"/>
              <w:ind w:left="0"/>
              <w:jc w:val="center"/>
              <w:rPr>
                <w:spacing w:val="-5"/>
              </w:rPr>
            </w:pPr>
            <w:r>
              <w:rPr>
                <w:spacing w:val="-5"/>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9" w:hRule="atLeast"/>
        </w:trPr>
        <w:tc>
          <w:tcPr>
            <w:tcW w:w="2329" w:type="dxa"/>
            <w:tcBorders>
              <w:top w:val="single" w:color="auto" w:sz="4" w:space="0"/>
              <w:left w:val="single" w:color="auto" w:sz="4" w:space="0"/>
              <w:bottom w:val="single" w:color="auto" w:sz="4" w:space="0"/>
              <w:right w:val="single" w:color="auto" w:sz="4" w:space="0"/>
            </w:tcBorders>
          </w:tcPr>
          <w:p>
            <w:pPr>
              <w:pStyle w:val="21"/>
              <w:spacing w:before="89" w:line="360" w:lineRule="auto"/>
              <w:ind w:left="0"/>
              <w:jc w:val="center"/>
              <w:rPr>
                <w:spacing w:val="-5"/>
              </w:rPr>
            </w:pPr>
            <w:r>
              <w:rPr>
                <w:spacing w:val="-5"/>
              </w:rPr>
              <w:t>I62.0</w:t>
            </w:r>
          </w:p>
        </w:tc>
        <w:tc>
          <w:tcPr>
            <w:tcW w:w="4236" w:type="dxa"/>
            <w:tcBorders>
              <w:top w:val="single" w:color="auto" w:sz="4" w:space="0"/>
              <w:left w:val="single" w:color="auto" w:sz="4" w:space="0"/>
              <w:bottom w:val="single" w:color="auto" w:sz="4" w:space="0"/>
              <w:right w:val="single" w:color="auto" w:sz="4" w:space="0"/>
            </w:tcBorders>
          </w:tcPr>
          <w:p>
            <w:pPr>
              <w:pStyle w:val="21"/>
              <w:spacing w:before="89" w:line="360" w:lineRule="auto"/>
              <w:ind w:left="0"/>
              <w:jc w:val="center"/>
              <w:rPr>
                <w:spacing w:val="-5"/>
                <w:lang w:eastAsia="zh-CN"/>
              </w:rPr>
            </w:pPr>
            <w:r>
              <w:rPr>
                <w:spacing w:val="-5"/>
                <w:lang w:eastAsia="zh-CN"/>
              </w:rPr>
              <w:t>硬膜下出血（急性）（非创伤性)</w:t>
            </w:r>
          </w:p>
        </w:tc>
        <w:tc>
          <w:tcPr>
            <w:tcW w:w="1635" w:type="dxa"/>
            <w:tcBorders>
              <w:top w:val="single" w:color="auto" w:sz="4" w:space="0"/>
              <w:left w:val="single" w:color="auto" w:sz="4" w:space="0"/>
              <w:bottom w:val="single" w:color="auto" w:sz="4" w:space="0"/>
              <w:right w:val="single" w:color="auto" w:sz="4" w:space="0"/>
            </w:tcBorders>
          </w:tcPr>
          <w:p>
            <w:pPr>
              <w:pStyle w:val="21"/>
              <w:spacing w:before="89" w:line="360" w:lineRule="auto"/>
              <w:ind w:left="0"/>
              <w:jc w:val="center"/>
              <w:rPr>
                <w:spacing w:val="-5"/>
              </w:rPr>
            </w:pPr>
            <w:r>
              <w:rPr>
                <w:spacing w:val="-5"/>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9" w:hRule="atLeast"/>
        </w:trPr>
        <w:tc>
          <w:tcPr>
            <w:tcW w:w="2329" w:type="dxa"/>
            <w:tcBorders>
              <w:top w:val="single" w:color="auto" w:sz="4" w:space="0"/>
              <w:left w:val="single" w:color="auto" w:sz="4" w:space="0"/>
              <w:bottom w:val="single" w:color="auto" w:sz="4" w:space="0"/>
              <w:right w:val="single" w:color="auto" w:sz="4" w:space="0"/>
            </w:tcBorders>
          </w:tcPr>
          <w:p>
            <w:pPr>
              <w:pStyle w:val="21"/>
              <w:spacing w:before="89" w:line="360" w:lineRule="auto"/>
              <w:ind w:left="0"/>
              <w:jc w:val="center"/>
              <w:rPr>
                <w:spacing w:val="-5"/>
              </w:rPr>
            </w:pPr>
            <w:r>
              <w:rPr>
                <w:spacing w:val="-5"/>
              </w:rPr>
              <w:t>I62.1</w:t>
            </w:r>
          </w:p>
        </w:tc>
        <w:tc>
          <w:tcPr>
            <w:tcW w:w="4236" w:type="dxa"/>
            <w:tcBorders>
              <w:top w:val="single" w:color="auto" w:sz="4" w:space="0"/>
              <w:left w:val="single" w:color="auto" w:sz="4" w:space="0"/>
              <w:bottom w:val="single" w:color="auto" w:sz="4" w:space="0"/>
              <w:right w:val="single" w:color="auto" w:sz="4" w:space="0"/>
            </w:tcBorders>
          </w:tcPr>
          <w:p>
            <w:pPr>
              <w:pStyle w:val="21"/>
              <w:spacing w:before="89" w:line="360" w:lineRule="auto"/>
              <w:ind w:left="0"/>
              <w:jc w:val="center"/>
              <w:rPr>
                <w:spacing w:val="-5"/>
              </w:rPr>
            </w:pPr>
            <w:r>
              <w:rPr>
                <w:spacing w:val="-5"/>
              </w:rPr>
              <w:t>非创伤性硬膜外出血</w:t>
            </w:r>
          </w:p>
        </w:tc>
        <w:tc>
          <w:tcPr>
            <w:tcW w:w="1635" w:type="dxa"/>
            <w:tcBorders>
              <w:top w:val="single" w:color="auto" w:sz="4" w:space="0"/>
              <w:left w:val="single" w:color="auto" w:sz="4" w:space="0"/>
              <w:bottom w:val="single" w:color="auto" w:sz="4" w:space="0"/>
              <w:right w:val="single" w:color="auto" w:sz="4" w:space="0"/>
            </w:tcBorders>
          </w:tcPr>
          <w:p>
            <w:pPr>
              <w:pStyle w:val="21"/>
              <w:spacing w:before="89" w:line="360" w:lineRule="auto"/>
              <w:ind w:left="0"/>
              <w:jc w:val="center"/>
              <w:rPr>
                <w:spacing w:val="-5"/>
              </w:rPr>
            </w:pPr>
            <w:r>
              <w:rPr>
                <w:spacing w:val="-5"/>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9" w:hRule="atLeast"/>
        </w:trPr>
        <w:tc>
          <w:tcPr>
            <w:tcW w:w="2329" w:type="dxa"/>
            <w:tcBorders>
              <w:top w:val="single" w:color="auto" w:sz="4" w:space="0"/>
              <w:left w:val="single" w:color="auto" w:sz="4" w:space="0"/>
              <w:bottom w:val="single" w:color="auto" w:sz="4" w:space="0"/>
              <w:right w:val="single" w:color="auto" w:sz="4" w:space="0"/>
            </w:tcBorders>
          </w:tcPr>
          <w:p>
            <w:pPr>
              <w:pStyle w:val="21"/>
              <w:spacing w:before="89" w:line="360" w:lineRule="auto"/>
              <w:ind w:left="0"/>
              <w:jc w:val="center"/>
              <w:rPr>
                <w:spacing w:val="-5"/>
              </w:rPr>
            </w:pPr>
            <w:r>
              <w:rPr>
                <w:spacing w:val="-5"/>
              </w:rPr>
              <w:t>I62.9</w:t>
            </w:r>
          </w:p>
        </w:tc>
        <w:tc>
          <w:tcPr>
            <w:tcW w:w="4236" w:type="dxa"/>
            <w:tcBorders>
              <w:top w:val="single" w:color="auto" w:sz="4" w:space="0"/>
              <w:left w:val="single" w:color="auto" w:sz="4" w:space="0"/>
              <w:bottom w:val="single" w:color="auto" w:sz="4" w:space="0"/>
              <w:right w:val="single" w:color="auto" w:sz="4" w:space="0"/>
            </w:tcBorders>
          </w:tcPr>
          <w:p>
            <w:pPr>
              <w:pStyle w:val="21"/>
              <w:spacing w:before="89" w:line="360" w:lineRule="auto"/>
              <w:ind w:left="0"/>
              <w:jc w:val="center"/>
              <w:rPr>
                <w:spacing w:val="-5"/>
                <w:lang w:eastAsia="zh-CN"/>
              </w:rPr>
            </w:pPr>
            <w:r>
              <w:rPr>
                <w:spacing w:val="-5"/>
                <w:lang w:eastAsia="zh-CN"/>
              </w:rPr>
              <w:t>未特指的颅内出血（非创伤性）</w:t>
            </w:r>
          </w:p>
        </w:tc>
        <w:tc>
          <w:tcPr>
            <w:tcW w:w="1635" w:type="dxa"/>
            <w:tcBorders>
              <w:top w:val="single" w:color="auto" w:sz="4" w:space="0"/>
              <w:left w:val="single" w:color="auto" w:sz="4" w:space="0"/>
              <w:bottom w:val="single" w:color="auto" w:sz="4" w:space="0"/>
              <w:right w:val="single" w:color="auto" w:sz="4" w:space="0"/>
            </w:tcBorders>
          </w:tcPr>
          <w:p>
            <w:pPr>
              <w:pStyle w:val="21"/>
              <w:spacing w:before="89" w:line="360" w:lineRule="auto"/>
              <w:ind w:left="0"/>
              <w:jc w:val="center"/>
              <w:rPr>
                <w:spacing w:val="-5"/>
              </w:rPr>
            </w:pPr>
            <w:r>
              <w:rPr>
                <w:spacing w:val="-5"/>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9" w:hRule="atLeast"/>
        </w:trPr>
        <w:tc>
          <w:tcPr>
            <w:tcW w:w="2329" w:type="dxa"/>
            <w:tcBorders>
              <w:top w:val="single" w:color="auto" w:sz="4" w:space="0"/>
              <w:left w:val="single" w:color="auto" w:sz="4" w:space="0"/>
              <w:bottom w:val="single" w:color="auto" w:sz="4" w:space="0"/>
              <w:right w:val="single" w:color="auto" w:sz="4" w:space="0"/>
            </w:tcBorders>
          </w:tcPr>
          <w:p>
            <w:pPr>
              <w:pStyle w:val="21"/>
              <w:spacing w:before="89" w:line="360" w:lineRule="auto"/>
              <w:ind w:left="0"/>
              <w:jc w:val="center"/>
              <w:rPr>
                <w:spacing w:val="-5"/>
              </w:rPr>
            </w:pPr>
            <w:r>
              <w:rPr>
                <w:spacing w:val="-5"/>
              </w:rPr>
              <w:t>I63</w:t>
            </w:r>
          </w:p>
        </w:tc>
        <w:tc>
          <w:tcPr>
            <w:tcW w:w="4236" w:type="dxa"/>
            <w:tcBorders>
              <w:top w:val="single" w:color="auto" w:sz="4" w:space="0"/>
              <w:left w:val="single" w:color="auto" w:sz="4" w:space="0"/>
              <w:bottom w:val="single" w:color="auto" w:sz="4" w:space="0"/>
              <w:right w:val="single" w:color="auto" w:sz="4" w:space="0"/>
            </w:tcBorders>
          </w:tcPr>
          <w:p>
            <w:pPr>
              <w:pStyle w:val="21"/>
              <w:spacing w:before="89" w:line="360" w:lineRule="auto"/>
              <w:ind w:left="0"/>
              <w:jc w:val="center"/>
              <w:rPr>
                <w:spacing w:val="-5"/>
              </w:rPr>
            </w:pPr>
            <w:r>
              <w:rPr>
                <w:spacing w:val="-5"/>
              </w:rPr>
              <w:t>脑梗死</w:t>
            </w:r>
          </w:p>
        </w:tc>
        <w:tc>
          <w:tcPr>
            <w:tcW w:w="1635" w:type="dxa"/>
            <w:tcBorders>
              <w:top w:val="single" w:color="auto" w:sz="4" w:space="0"/>
              <w:left w:val="single" w:color="auto" w:sz="4" w:space="0"/>
              <w:bottom w:val="single" w:color="auto" w:sz="4" w:space="0"/>
              <w:right w:val="single" w:color="auto" w:sz="4" w:space="0"/>
            </w:tcBorders>
          </w:tcPr>
          <w:p>
            <w:pPr>
              <w:pStyle w:val="21"/>
              <w:spacing w:before="89" w:line="360" w:lineRule="auto"/>
              <w:ind w:left="0"/>
              <w:jc w:val="center"/>
              <w:rPr>
                <w:spacing w:val="-5"/>
              </w:rPr>
            </w:pPr>
            <w:r>
              <w:rPr>
                <w:spacing w:val="-5"/>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9" w:hRule="atLeast"/>
        </w:trPr>
        <w:tc>
          <w:tcPr>
            <w:tcW w:w="2329" w:type="dxa"/>
            <w:tcBorders>
              <w:top w:val="single" w:color="auto" w:sz="4" w:space="0"/>
              <w:left w:val="single" w:color="auto" w:sz="4" w:space="0"/>
              <w:bottom w:val="single" w:color="auto" w:sz="4" w:space="0"/>
              <w:right w:val="single" w:color="auto" w:sz="4" w:space="0"/>
            </w:tcBorders>
          </w:tcPr>
          <w:p>
            <w:pPr>
              <w:pStyle w:val="21"/>
              <w:spacing w:before="89" w:line="360" w:lineRule="auto"/>
              <w:ind w:left="0"/>
              <w:jc w:val="center"/>
              <w:rPr>
                <w:spacing w:val="-5"/>
              </w:rPr>
            </w:pPr>
            <w:r>
              <w:rPr>
                <w:spacing w:val="-5"/>
              </w:rPr>
              <w:t>I63.0</w:t>
            </w:r>
          </w:p>
        </w:tc>
        <w:tc>
          <w:tcPr>
            <w:tcW w:w="4236" w:type="dxa"/>
            <w:tcBorders>
              <w:top w:val="single" w:color="auto" w:sz="4" w:space="0"/>
              <w:left w:val="single" w:color="auto" w:sz="4" w:space="0"/>
              <w:bottom w:val="single" w:color="auto" w:sz="4" w:space="0"/>
              <w:right w:val="single" w:color="auto" w:sz="4" w:space="0"/>
            </w:tcBorders>
          </w:tcPr>
          <w:p>
            <w:pPr>
              <w:pStyle w:val="21"/>
              <w:spacing w:before="89" w:line="360" w:lineRule="auto"/>
              <w:ind w:left="0"/>
              <w:jc w:val="center"/>
              <w:rPr>
                <w:spacing w:val="-5"/>
                <w:lang w:eastAsia="zh-CN"/>
              </w:rPr>
            </w:pPr>
            <w:r>
              <w:rPr>
                <w:spacing w:val="-5"/>
                <w:lang w:eastAsia="zh-CN"/>
              </w:rPr>
              <w:t>入脑前动脉血栓形成引起的脑梗死</w:t>
            </w:r>
          </w:p>
        </w:tc>
        <w:tc>
          <w:tcPr>
            <w:tcW w:w="1635" w:type="dxa"/>
            <w:tcBorders>
              <w:top w:val="single" w:color="auto" w:sz="4" w:space="0"/>
              <w:left w:val="single" w:color="auto" w:sz="4" w:space="0"/>
              <w:bottom w:val="single" w:color="auto" w:sz="4" w:space="0"/>
              <w:right w:val="single" w:color="auto" w:sz="4" w:space="0"/>
            </w:tcBorders>
          </w:tcPr>
          <w:p>
            <w:pPr>
              <w:pStyle w:val="21"/>
              <w:spacing w:before="89" w:line="360" w:lineRule="auto"/>
              <w:ind w:left="0"/>
              <w:jc w:val="center"/>
              <w:rPr>
                <w:spacing w:val="-5"/>
              </w:rPr>
            </w:pPr>
            <w:r>
              <w:rPr>
                <w:spacing w:val="-5"/>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9" w:hRule="atLeast"/>
        </w:trPr>
        <w:tc>
          <w:tcPr>
            <w:tcW w:w="2329" w:type="dxa"/>
            <w:tcBorders>
              <w:top w:val="single" w:color="auto" w:sz="4" w:space="0"/>
              <w:left w:val="single" w:color="auto" w:sz="4" w:space="0"/>
              <w:bottom w:val="single" w:color="auto" w:sz="4" w:space="0"/>
              <w:right w:val="single" w:color="auto" w:sz="4" w:space="0"/>
            </w:tcBorders>
          </w:tcPr>
          <w:p>
            <w:pPr>
              <w:pStyle w:val="21"/>
              <w:spacing w:before="89" w:line="360" w:lineRule="auto"/>
              <w:ind w:left="0"/>
              <w:jc w:val="center"/>
              <w:rPr>
                <w:spacing w:val="-5"/>
              </w:rPr>
            </w:pPr>
            <w:r>
              <w:rPr>
                <w:spacing w:val="-5"/>
              </w:rPr>
              <w:t>I63.1</w:t>
            </w:r>
          </w:p>
        </w:tc>
        <w:tc>
          <w:tcPr>
            <w:tcW w:w="4236" w:type="dxa"/>
            <w:tcBorders>
              <w:top w:val="single" w:color="auto" w:sz="4" w:space="0"/>
              <w:left w:val="single" w:color="auto" w:sz="4" w:space="0"/>
              <w:bottom w:val="single" w:color="auto" w:sz="4" w:space="0"/>
              <w:right w:val="single" w:color="auto" w:sz="4" w:space="0"/>
            </w:tcBorders>
          </w:tcPr>
          <w:p>
            <w:pPr>
              <w:pStyle w:val="21"/>
              <w:spacing w:before="89" w:line="360" w:lineRule="auto"/>
              <w:ind w:left="0"/>
              <w:jc w:val="center"/>
              <w:rPr>
                <w:spacing w:val="-5"/>
                <w:lang w:eastAsia="zh-CN"/>
              </w:rPr>
            </w:pPr>
            <w:r>
              <w:rPr>
                <w:spacing w:val="-5"/>
                <w:lang w:eastAsia="zh-CN"/>
              </w:rPr>
              <w:t>入脑前动脉栓塞引起的脑梗死</w:t>
            </w:r>
          </w:p>
        </w:tc>
        <w:tc>
          <w:tcPr>
            <w:tcW w:w="1635" w:type="dxa"/>
            <w:tcBorders>
              <w:top w:val="single" w:color="auto" w:sz="4" w:space="0"/>
              <w:left w:val="single" w:color="auto" w:sz="4" w:space="0"/>
              <w:bottom w:val="single" w:color="auto" w:sz="4" w:space="0"/>
              <w:right w:val="single" w:color="auto" w:sz="4" w:space="0"/>
            </w:tcBorders>
          </w:tcPr>
          <w:p>
            <w:pPr>
              <w:pStyle w:val="21"/>
              <w:spacing w:before="89" w:line="360" w:lineRule="auto"/>
              <w:ind w:left="0"/>
              <w:jc w:val="center"/>
              <w:rPr>
                <w:spacing w:val="-5"/>
              </w:rPr>
            </w:pPr>
            <w:r>
              <w:rPr>
                <w:spacing w:val="-5"/>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9" w:hRule="atLeast"/>
        </w:trPr>
        <w:tc>
          <w:tcPr>
            <w:tcW w:w="2329" w:type="dxa"/>
            <w:tcBorders>
              <w:top w:val="single" w:color="auto" w:sz="4" w:space="0"/>
              <w:left w:val="single" w:color="auto" w:sz="4" w:space="0"/>
              <w:bottom w:val="single" w:color="auto" w:sz="4" w:space="0"/>
              <w:right w:val="single" w:color="auto" w:sz="4" w:space="0"/>
            </w:tcBorders>
          </w:tcPr>
          <w:p>
            <w:pPr>
              <w:pStyle w:val="21"/>
              <w:spacing w:before="89" w:line="360" w:lineRule="auto"/>
              <w:ind w:left="0"/>
              <w:jc w:val="center"/>
              <w:rPr>
                <w:spacing w:val="-5"/>
              </w:rPr>
            </w:pPr>
            <w:r>
              <w:rPr>
                <w:spacing w:val="-5"/>
              </w:rPr>
              <w:t>I63.2</w:t>
            </w:r>
          </w:p>
        </w:tc>
        <w:tc>
          <w:tcPr>
            <w:tcW w:w="4236" w:type="dxa"/>
            <w:tcBorders>
              <w:top w:val="single" w:color="auto" w:sz="4" w:space="0"/>
              <w:left w:val="single" w:color="auto" w:sz="4" w:space="0"/>
              <w:bottom w:val="single" w:color="auto" w:sz="4" w:space="0"/>
              <w:right w:val="single" w:color="auto" w:sz="4" w:space="0"/>
            </w:tcBorders>
          </w:tcPr>
          <w:p>
            <w:pPr>
              <w:pStyle w:val="21"/>
              <w:spacing w:before="89" w:line="360" w:lineRule="auto"/>
              <w:ind w:left="0"/>
              <w:jc w:val="center"/>
              <w:rPr>
                <w:spacing w:val="-5"/>
                <w:lang w:eastAsia="zh-CN"/>
              </w:rPr>
            </w:pPr>
            <w:r>
              <w:rPr>
                <w:spacing w:val="-5"/>
                <w:lang w:eastAsia="zh-CN"/>
              </w:rPr>
              <w:t>入脑前动脉未特指的闭塞或狭窄引起的脑梗死</w:t>
            </w:r>
          </w:p>
        </w:tc>
        <w:tc>
          <w:tcPr>
            <w:tcW w:w="1635" w:type="dxa"/>
            <w:tcBorders>
              <w:top w:val="single" w:color="auto" w:sz="4" w:space="0"/>
              <w:left w:val="single" w:color="auto" w:sz="4" w:space="0"/>
              <w:bottom w:val="single" w:color="auto" w:sz="4" w:space="0"/>
              <w:right w:val="single" w:color="auto" w:sz="4" w:space="0"/>
            </w:tcBorders>
          </w:tcPr>
          <w:p>
            <w:pPr>
              <w:pStyle w:val="21"/>
              <w:spacing w:before="89" w:line="360" w:lineRule="auto"/>
              <w:ind w:left="0"/>
              <w:jc w:val="center"/>
              <w:rPr>
                <w:spacing w:val="-5"/>
              </w:rPr>
            </w:pPr>
            <w:r>
              <w:rPr>
                <w:spacing w:val="-5"/>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9" w:hRule="atLeast"/>
        </w:trPr>
        <w:tc>
          <w:tcPr>
            <w:tcW w:w="2329" w:type="dxa"/>
            <w:tcBorders>
              <w:top w:val="single" w:color="auto" w:sz="4" w:space="0"/>
              <w:left w:val="single" w:color="auto" w:sz="4" w:space="0"/>
              <w:bottom w:val="single" w:color="auto" w:sz="4" w:space="0"/>
              <w:right w:val="single" w:color="auto" w:sz="4" w:space="0"/>
            </w:tcBorders>
          </w:tcPr>
          <w:p>
            <w:pPr>
              <w:pStyle w:val="21"/>
              <w:spacing w:before="89" w:line="360" w:lineRule="auto"/>
              <w:ind w:left="0"/>
              <w:jc w:val="center"/>
              <w:rPr>
                <w:spacing w:val="-5"/>
              </w:rPr>
            </w:pPr>
            <w:r>
              <w:rPr>
                <w:spacing w:val="-5"/>
              </w:rPr>
              <w:t>I63.3</w:t>
            </w:r>
          </w:p>
        </w:tc>
        <w:tc>
          <w:tcPr>
            <w:tcW w:w="4236" w:type="dxa"/>
            <w:tcBorders>
              <w:top w:val="single" w:color="auto" w:sz="4" w:space="0"/>
              <w:left w:val="single" w:color="auto" w:sz="4" w:space="0"/>
              <w:bottom w:val="single" w:color="auto" w:sz="4" w:space="0"/>
              <w:right w:val="single" w:color="auto" w:sz="4" w:space="0"/>
            </w:tcBorders>
          </w:tcPr>
          <w:p>
            <w:pPr>
              <w:pStyle w:val="21"/>
              <w:spacing w:before="89" w:line="360" w:lineRule="auto"/>
              <w:ind w:left="0"/>
              <w:jc w:val="center"/>
              <w:rPr>
                <w:spacing w:val="-5"/>
                <w:lang w:eastAsia="zh-CN"/>
              </w:rPr>
            </w:pPr>
            <w:r>
              <w:rPr>
                <w:spacing w:val="-5"/>
                <w:lang w:eastAsia="zh-CN"/>
              </w:rPr>
              <w:t>大脑动脉血栓形成引起的脑梗死</w:t>
            </w:r>
          </w:p>
        </w:tc>
        <w:tc>
          <w:tcPr>
            <w:tcW w:w="1635" w:type="dxa"/>
            <w:tcBorders>
              <w:top w:val="single" w:color="auto" w:sz="4" w:space="0"/>
              <w:left w:val="single" w:color="auto" w:sz="4" w:space="0"/>
              <w:bottom w:val="single" w:color="auto" w:sz="4" w:space="0"/>
              <w:right w:val="single" w:color="auto" w:sz="4" w:space="0"/>
            </w:tcBorders>
          </w:tcPr>
          <w:p>
            <w:pPr>
              <w:pStyle w:val="21"/>
              <w:spacing w:before="89" w:line="360" w:lineRule="auto"/>
              <w:ind w:left="0"/>
              <w:jc w:val="center"/>
              <w:rPr>
                <w:spacing w:val="-5"/>
              </w:rPr>
            </w:pPr>
            <w:r>
              <w:rPr>
                <w:spacing w:val="-5"/>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9" w:hRule="atLeast"/>
        </w:trPr>
        <w:tc>
          <w:tcPr>
            <w:tcW w:w="2329" w:type="dxa"/>
            <w:tcBorders>
              <w:top w:val="single" w:color="auto" w:sz="4" w:space="0"/>
              <w:left w:val="single" w:color="auto" w:sz="4" w:space="0"/>
              <w:bottom w:val="single" w:color="auto" w:sz="4" w:space="0"/>
              <w:right w:val="single" w:color="auto" w:sz="4" w:space="0"/>
            </w:tcBorders>
          </w:tcPr>
          <w:p>
            <w:pPr>
              <w:pStyle w:val="21"/>
              <w:spacing w:before="89" w:line="360" w:lineRule="auto"/>
              <w:ind w:left="0"/>
              <w:jc w:val="center"/>
              <w:rPr>
                <w:spacing w:val="-5"/>
              </w:rPr>
            </w:pPr>
            <w:r>
              <w:rPr>
                <w:spacing w:val="-5"/>
              </w:rPr>
              <w:t>I63.4</w:t>
            </w:r>
          </w:p>
        </w:tc>
        <w:tc>
          <w:tcPr>
            <w:tcW w:w="4236" w:type="dxa"/>
            <w:tcBorders>
              <w:top w:val="single" w:color="auto" w:sz="4" w:space="0"/>
              <w:left w:val="single" w:color="auto" w:sz="4" w:space="0"/>
              <w:bottom w:val="single" w:color="auto" w:sz="4" w:space="0"/>
              <w:right w:val="single" w:color="auto" w:sz="4" w:space="0"/>
            </w:tcBorders>
          </w:tcPr>
          <w:p>
            <w:pPr>
              <w:pStyle w:val="21"/>
              <w:spacing w:before="89" w:line="360" w:lineRule="auto"/>
              <w:ind w:left="0"/>
              <w:jc w:val="center"/>
              <w:rPr>
                <w:spacing w:val="-5"/>
                <w:lang w:eastAsia="zh-CN"/>
              </w:rPr>
            </w:pPr>
            <w:r>
              <w:rPr>
                <w:spacing w:val="-5"/>
                <w:lang w:eastAsia="zh-CN"/>
              </w:rPr>
              <w:t>大脑动脉栓塞引起的脑梗死</w:t>
            </w:r>
          </w:p>
        </w:tc>
        <w:tc>
          <w:tcPr>
            <w:tcW w:w="1635" w:type="dxa"/>
            <w:tcBorders>
              <w:top w:val="single" w:color="auto" w:sz="4" w:space="0"/>
              <w:left w:val="single" w:color="auto" w:sz="4" w:space="0"/>
              <w:bottom w:val="single" w:color="auto" w:sz="4" w:space="0"/>
              <w:right w:val="single" w:color="auto" w:sz="4" w:space="0"/>
            </w:tcBorders>
          </w:tcPr>
          <w:p>
            <w:pPr>
              <w:pStyle w:val="21"/>
              <w:spacing w:before="89" w:line="360" w:lineRule="auto"/>
              <w:ind w:left="0"/>
              <w:jc w:val="center"/>
              <w:rPr>
                <w:spacing w:val="-5"/>
              </w:rPr>
            </w:pPr>
            <w:r>
              <w:rPr>
                <w:spacing w:val="-5"/>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9" w:hRule="atLeast"/>
        </w:trPr>
        <w:tc>
          <w:tcPr>
            <w:tcW w:w="2329" w:type="dxa"/>
            <w:tcBorders>
              <w:top w:val="single" w:color="auto" w:sz="4" w:space="0"/>
              <w:left w:val="single" w:color="auto" w:sz="4" w:space="0"/>
              <w:bottom w:val="single" w:color="auto" w:sz="4" w:space="0"/>
              <w:right w:val="single" w:color="auto" w:sz="4" w:space="0"/>
            </w:tcBorders>
          </w:tcPr>
          <w:p>
            <w:pPr>
              <w:pStyle w:val="21"/>
              <w:spacing w:before="89" w:line="360" w:lineRule="auto"/>
              <w:ind w:left="0"/>
              <w:jc w:val="center"/>
              <w:rPr>
                <w:spacing w:val="-5"/>
              </w:rPr>
            </w:pPr>
            <w:r>
              <w:rPr>
                <w:spacing w:val="-5"/>
              </w:rPr>
              <w:t>I63.5</w:t>
            </w:r>
          </w:p>
        </w:tc>
        <w:tc>
          <w:tcPr>
            <w:tcW w:w="4236" w:type="dxa"/>
            <w:tcBorders>
              <w:top w:val="single" w:color="auto" w:sz="4" w:space="0"/>
              <w:left w:val="single" w:color="auto" w:sz="4" w:space="0"/>
              <w:bottom w:val="single" w:color="auto" w:sz="4" w:space="0"/>
              <w:right w:val="single" w:color="auto" w:sz="4" w:space="0"/>
            </w:tcBorders>
          </w:tcPr>
          <w:p>
            <w:pPr>
              <w:pStyle w:val="21"/>
              <w:spacing w:before="89" w:line="360" w:lineRule="auto"/>
              <w:ind w:left="0"/>
              <w:jc w:val="center"/>
              <w:rPr>
                <w:spacing w:val="-5"/>
                <w:lang w:eastAsia="zh-CN"/>
              </w:rPr>
            </w:pPr>
            <w:r>
              <w:rPr>
                <w:spacing w:val="-5"/>
                <w:lang w:eastAsia="zh-CN"/>
              </w:rPr>
              <w:t>大脑动脉未特指的闭塞或狭窄引起的脑梗死</w:t>
            </w:r>
          </w:p>
        </w:tc>
        <w:tc>
          <w:tcPr>
            <w:tcW w:w="1635" w:type="dxa"/>
            <w:tcBorders>
              <w:top w:val="single" w:color="auto" w:sz="4" w:space="0"/>
              <w:left w:val="single" w:color="auto" w:sz="4" w:space="0"/>
              <w:bottom w:val="single" w:color="auto" w:sz="4" w:space="0"/>
              <w:right w:val="single" w:color="auto" w:sz="4" w:space="0"/>
            </w:tcBorders>
          </w:tcPr>
          <w:p>
            <w:pPr>
              <w:pStyle w:val="21"/>
              <w:spacing w:before="89" w:line="360" w:lineRule="auto"/>
              <w:ind w:left="0"/>
              <w:jc w:val="center"/>
              <w:rPr>
                <w:spacing w:val="-5"/>
              </w:rPr>
            </w:pPr>
            <w:r>
              <w:rPr>
                <w:spacing w:val="-5"/>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9" w:hRule="atLeast"/>
        </w:trPr>
        <w:tc>
          <w:tcPr>
            <w:tcW w:w="2329" w:type="dxa"/>
            <w:tcBorders>
              <w:top w:val="single" w:color="auto" w:sz="4" w:space="0"/>
              <w:left w:val="single" w:color="auto" w:sz="4" w:space="0"/>
              <w:bottom w:val="single" w:color="auto" w:sz="4" w:space="0"/>
              <w:right w:val="single" w:color="auto" w:sz="4" w:space="0"/>
            </w:tcBorders>
          </w:tcPr>
          <w:p>
            <w:pPr>
              <w:pStyle w:val="21"/>
              <w:spacing w:before="89" w:line="360" w:lineRule="auto"/>
              <w:ind w:left="0"/>
              <w:jc w:val="center"/>
              <w:rPr>
                <w:spacing w:val="-5"/>
              </w:rPr>
            </w:pPr>
            <w:r>
              <w:rPr>
                <w:spacing w:val="-5"/>
              </w:rPr>
              <w:t>I63.6</w:t>
            </w:r>
          </w:p>
        </w:tc>
        <w:tc>
          <w:tcPr>
            <w:tcW w:w="4236" w:type="dxa"/>
            <w:tcBorders>
              <w:top w:val="single" w:color="auto" w:sz="4" w:space="0"/>
              <w:left w:val="single" w:color="auto" w:sz="4" w:space="0"/>
              <w:bottom w:val="single" w:color="auto" w:sz="4" w:space="0"/>
              <w:right w:val="single" w:color="auto" w:sz="4" w:space="0"/>
            </w:tcBorders>
          </w:tcPr>
          <w:p>
            <w:pPr>
              <w:pStyle w:val="21"/>
              <w:spacing w:before="89" w:line="360" w:lineRule="auto"/>
              <w:ind w:left="0"/>
              <w:jc w:val="center"/>
              <w:rPr>
                <w:spacing w:val="-5"/>
                <w:lang w:eastAsia="zh-CN"/>
              </w:rPr>
            </w:pPr>
            <w:r>
              <w:rPr>
                <w:spacing w:val="-5"/>
                <w:lang w:eastAsia="zh-CN"/>
              </w:rPr>
              <w:t>大脑静脉血栓形成引起的脑梗死</w:t>
            </w:r>
          </w:p>
        </w:tc>
        <w:tc>
          <w:tcPr>
            <w:tcW w:w="1635" w:type="dxa"/>
            <w:tcBorders>
              <w:top w:val="single" w:color="auto" w:sz="4" w:space="0"/>
              <w:left w:val="single" w:color="auto" w:sz="4" w:space="0"/>
              <w:bottom w:val="single" w:color="auto" w:sz="4" w:space="0"/>
              <w:right w:val="single" w:color="auto" w:sz="4" w:space="0"/>
            </w:tcBorders>
          </w:tcPr>
          <w:p>
            <w:pPr>
              <w:pStyle w:val="21"/>
              <w:spacing w:before="89" w:line="360" w:lineRule="auto"/>
              <w:ind w:left="0"/>
              <w:jc w:val="center"/>
              <w:rPr>
                <w:spacing w:val="-5"/>
              </w:rPr>
            </w:pPr>
            <w:r>
              <w:rPr>
                <w:spacing w:val="-5"/>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9" w:hRule="atLeast"/>
        </w:trPr>
        <w:tc>
          <w:tcPr>
            <w:tcW w:w="2329" w:type="dxa"/>
            <w:tcBorders>
              <w:top w:val="single" w:color="auto" w:sz="4" w:space="0"/>
              <w:left w:val="single" w:color="auto" w:sz="4" w:space="0"/>
              <w:bottom w:val="single" w:color="auto" w:sz="4" w:space="0"/>
              <w:right w:val="single" w:color="auto" w:sz="4" w:space="0"/>
            </w:tcBorders>
          </w:tcPr>
          <w:p>
            <w:pPr>
              <w:pStyle w:val="21"/>
              <w:spacing w:before="89" w:line="360" w:lineRule="auto"/>
              <w:ind w:left="0"/>
              <w:jc w:val="center"/>
              <w:rPr>
                <w:spacing w:val="-5"/>
              </w:rPr>
            </w:pPr>
            <w:r>
              <w:rPr>
                <w:spacing w:val="-5"/>
              </w:rPr>
              <w:t>I63.8</w:t>
            </w:r>
          </w:p>
        </w:tc>
        <w:tc>
          <w:tcPr>
            <w:tcW w:w="4236" w:type="dxa"/>
            <w:tcBorders>
              <w:top w:val="single" w:color="auto" w:sz="4" w:space="0"/>
              <w:left w:val="single" w:color="auto" w:sz="4" w:space="0"/>
              <w:bottom w:val="single" w:color="auto" w:sz="4" w:space="0"/>
              <w:right w:val="single" w:color="auto" w:sz="4" w:space="0"/>
            </w:tcBorders>
          </w:tcPr>
          <w:p>
            <w:pPr>
              <w:pStyle w:val="21"/>
              <w:spacing w:before="89" w:line="360" w:lineRule="auto"/>
              <w:ind w:left="0"/>
              <w:jc w:val="center"/>
              <w:rPr>
                <w:spacing w:val="-5"/>
              </w:rPr>
            </w:pPr>
            <w:r>
              <w:rPr>
                <w:spacing w:val="-5"/>
              </w:rPr>
              <w:t>其他的脑梗死</w:t>
            </w:r>
          </w:p>
        </w:tc>
        <w:tc>
          <w:tcPr>
            <w:tcW w:w="1635" w:type="dxa"/>
            <w:tcBorders>
              <w:top w:val="single" w:color="auto" w:sz="4" w:space="0"/>
              <w:left w:val="single" w:color="auto" w:sz="4" w:space="0"/>
              <w:bottom w:val="single" w:color="auto" w:sz="4" w:space="0"/>
              <w:right w:val="single" w:color="auto" w:sz="4" w:space="0"/>
            </w:tcBorders>
          </w:tcPr>
          <w:p>
            <w:pPr>
              <w:pStyle w:val="21"/>
              <w:spacing w:before="89" w:line="360" w:lineRule="auto"/>
              <w:ind w:left="0"/>
              <w:jc w:val="center"/>
              <w:rPr>
                <w:spacing w:val="-5"/>
              </w:rPr>
            </w:pPr>
            <w:r>
              <w:rPr>
                <w:spacing w:val="-5"/>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9" w:hRule="atLeast"/>
        </w:trPr>
        <w:tc>
          <w:tcPr>
            <w:tcW w:w="2329" w:type="dxa"/>
            <w:tcBorders>
              <w:top w:val="single" w:color="auto" w:sz="4" w:space="0"/>
              <w:left w:val="single" w:color="auto" w:sz="4" w:space="0"/>
              <w:bottom w:val="single" w:color="auto" w:sz="4" w:space="0"/>
              <w:right w:val="single" w:color="auto" w:sz="4" w:space="0"/>
            </w:tcBorders>
          </w:tcPr>
          <w:p>
            <w:pPr>
              <w:pStyle w:val="21"/>
              <w:spacing w:before="89" w:line="360" w:lineRule="auto"/>
              <w:ind w:left="0"/>
              <w:jc w:val="center"/>
              <w:rPr>
                <w:spacing w:val="-5"/>
              </w:rPr>
            </w:pPr>
            <w:r>
              <w:rPr>
                <w:spacing w:val="-5"/>
              </w:rPr>
              <w:t>I63.9</w:t>
            </w:r>
          </w:p>
        </w:tc>
        <w:tc>
          <w:tcPr>
            <w:tcW w:w="4236" w:type="dxa"/>
            <w:tcBorders>
              <w:top w:val="single" w:color="auto" w:sz="4" w:space="0"/>
              <w:left w:val="single" w:color="auto" w:sz="4" w:space="0"/>
              <w:bottom w:val="single" w:color="auto" w:sz="4" w:space="0"/>
              <w:right w:val="single" w:color="auto" w:sz="4" w:space="0"/>
            </w:tcBorders>
          </w:tcPr>
          <w:p>
            <w:pPr>
              <w:pStyle w:val="21"/>
              <w:spacing w:before="89" w:line="360" w:lineRule="auto"/>
              <w:ind w:left="0"/>
              <w:jc w:val="center"/>
              <w:rPr>
                <w:spacing w:val="-5"/>
              </w:rPr>
            </w:pPr>
            <w:r>
              <w:rPr>
                <w:spacing w:val="-5"/>
              </w:rPr>
              <w:t>未特指的脑梗死</w:t>
            </w:r>
          </w:p>
        </w:tc>
        <w:tc>
          <w:tcPr>
            <w:tcW w:w="1635" w:type="dxa"/>
            <w:tcBorders>
              <w:top w:val="single" w:color="auto" w:sz="4" w:space="0"/>
              <w:left w:val="single" w:color="auto" w:sz="4" w:space="0"/>
              <w:bottom w:val="single" w:color="auto" w:sz="4" w:space="0"/>
              <w:right w:val="single" w:color="auto" w:sz="4" w:space="0"/>
            </w:tcBorders>
          </w:tcPr>
          <w:p>
            <w:pPr>
              <w:pStyle w:val="21"/>
              <w:spacing w:before="89" w:line="360" w:lineRule="auto"/>
              <w:ind w:left="0"/>
              <w:jc w:val="center"/>
              <w:rPr>
                <w:spacing w:val="-5"/>
              </w:rPr>
            </w:pPr>
            <w:r>
              <w:rPr>
                <w:spacing w:val="-5"/>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9" w:hRule="atLeast"/>
        </w:trPr>
        <w:tc>
          <w:tcPr>
            <w:tcW w:w="2329" w:type="dxa"/>
            <w:tcBorders>
              <w:top w:val="single" w:color="auto" w:sz="4" w:space="0"/>
              <w:left w:val="single" w:color="auto" w:sz="4" w:space="0"/>
              <w:bottom w:val="single" w:color="auto" w:sz="4" w:space="0"/>
              <w:right w:val="single" w:color="auto" w:sz="4" w:space="0"/>
            </w:tcBorders>
          </w:tcPr>
          <w:p>
            <w:pPr>
              <w:pStyle w:val="21"/>
              <w:spacing w:before="89" w:line="360" w:lineRule="auto"/>
              <w:ind w:left="0"/>
              <w:jc w:val="center"/>
              <w:rPr>
                <w:spacing w:val="-5"/>
              </w:rPr>
            </w:pPr>
            <w:r>
              <w:rPr>
                <w:spacing w:val="-5"/>
              </w:rPr>
              <w:t>I64</w:t>
            </w:r>
          </w:p>
        </w:tc>
        <w:tc>
          <w:tcPr>
            <w:tcW w:w="4236" w:type="dxa"/>
            <w:tcBorders>
              <w:top w:val="single" w:color="auto" w:sz="4" w:space="0"/>
              <w:left w:val="single" w:color="auto" w:sz="4" w:space="0"/>
              <w:bottom w:val="single" w:color="auto" w:sz="4" w:space="0"/>
              <w:right w:val="single" w:color="auto" w:sz="4" w:space="0"/>
            </w:tcBorders>
          </w:tcPr>
          <w:p>
            <w:pPr>
              <w:pStyle w:val="21"/>
              <w:spacing w:before="89" w:line="360" w:lineRule="auto"/>
              <w:ind w:left="0"/>
              <w:jc w:val="center"/>
              <w:rPr>
                <w:spacing w:val="-5"/>
                <w:lang w:eastAsia="zh-CN"/>
              </w:rPr>
            </w:pPr>
            <w:r>
              <w:rPr>
                <w:spacing w:val="-5"/>
                <w:lang w:eastAsia="zh-CN"/>
              </w:rPr>
              <w:t>脑卒中，未特指为出血或梗死</w:t>
            </w:r>
          </w:p>
        </w:tc>
        <w:tc>
          <w:tcPr>
            <w:tcW w:w="1635" w:type="dxa"/>
            <w:tcBorders>
              <w:top w:val="single" w:color="auto" w:sz="4" w:space="0"/>
              <w:left w:val="single" w:color="auto" w:sz="4" w:space="0"/>
              <w:bottom w:val="single" w:color="auto" w:sz="4" w:space="0"/>
              <w:right w:val="single" w:color="auto" w:sz="4" w:space="0"/>
            </w:tcBorders>
          </w:tcPr>
          <w:p>
            <w:pPr>
              <w:pStyle w:val="21"/>
              <w:spacing w:before="89" w:line="360" w:lineRule="auto"/>
              <w:ind w:left="0"/>
              <w:jc w:val="center"/>
              <w:rPr>
                <w:spacing w:val="-5"/>
              </w:rPr>
            </w:pPr>
            <w:r>
              <w:rPr>
                <w:spacing w:val="-5"/>
              </w:rPr>
              <w:t>3</w:t>
            </w:r>
          </w:p>
        </w:tc>
      </w:tr>
    </w:tbl>
    <w:p>
      <w:pPr>
        <w:snapToGrid w:val="0"/>
        <w:spacing w:before="156" w:beforeLines="50" w:after="156" w:afterLines="50" w:line="360" w:lineRule="auto"/>
        <w:ind w:firstLine="422" w:firstLineChars="200"/>
        <w:outlineLvl w:val="0"/>
        <w:rPr>
          <w:rFonts w:asciiTheme="minorEastAsia" w:hAnsiTheme="minorEastAsia" w:eastAsiaTheme="minorEastAsia" w:cstheme="minorEastAsia"/>
          <w:b/>
        </w:rPr>
      </w:pPr>
      <w:r>
        <w:rPr>
          <w:rFonts w:hint="eastAsia" w:asciiTheme="minorEastAsia" w:hAnsiTheme="minorEastAsia" w:eastAsiaTheme="minorEastAsia" w:cstheme="minorEastAsia"/>
          <w:b/>
        </w:rPr>
        <w:t>短暂性脑缺血发作（TIA）、腔隙性脑梗塞、陈旧性脑梗塞不在保障范围内。</w:t>
      </w:r>
    </w:p>
    <w:p>
      <w:pPr>
        <w:pStyle w:val="2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textAlignment w:val="auto"/>
        <w:outlineLvl w:val="0"/>
        <w:rPr>
          <w:rFonts w:asciiTheme="minorEastAsia" w:hAnsiTheme="minorEastAsia" w:eastAsiaTheme="minorEastAsia" w:cstheme="minorEastAsia"/>
          <w:b/>
        </w:rPr>
      </w:pPr>
      <w:r>
        <w:rPr>
          <w:rFonts w:hint="eastAsia" w:asciiTheme="minorEastAsia" w:hAnsiTheme="minorEastAsia" w:eastAsiaTheme="minorEastAsia" w:cstheme="minorEastAsia"/>
          <w:b/>
          <w:lang w:val="en-US" w:eastAsia="zh-CN"/>
        </w:rPr>
        <w:t>四、</w:t>
      </w:r>
      <w:r>
        <w:rPr>
          <w:rFonts w:hint="eastAsia" w:asciiTheme="minorEastAsia" w:hAnsiTheme="minorEastAsia" w:eastAsiaTheme="minorEastAsia" w:cstheme="minorEastAsia"/>
          <w:b/>
        </w:rPr>
        <w:t>急性心肌梗死</w:t>
      </w:r>
    </w:p>
    <w:p>
      <w:pPr>
        <w:keepNext w:val="0"/>
        <w:keepLines w:val="0"/>
        <w:pageBreakBefore w:val="0"/>
        <w:widowControl w:val="0"/>
        <w:kinsoku/>
        <w:wordWrap/>
        <w:overflowPunct/>
        <w:topLinePunct w:val="0"/>
        <w:autoSpaceDE/>
        <w:autoSpaceDN/>
        <w:bidi w:val="0"/>
        <w:adjustRightInd/>
        <w:snapToGrid w:val="0"/>
        <w:spacing w:line="360" w:lineRule="auto"/>
        <w:ind w:left="0" w:firstLine="420" w:firstLineChars="200"/>
        <w:textAlignment w:val="auto"/>
        <w:outlineLvl w:val="0"/>
        <w:rPr>
          <w:rFonts w:hint="eastAsia" w:asciiTheme="minorEastAsia" w:hAnsiTheme="minorEastAsia" w:eastAsiaTheme="minorEastAsia" w:cstheme="minorEastAsia"/>
          <w:bCs/>
        </w:rPr>
      </w:pPr>
      <w:r>
        <w:rPr>
          <w:rFonts w:hint="eastAsia" w:asciiTheme="minorEastAsia" w:hAnsiTheme="minorEastAsia" w:eastAsiaTheme="minorEastAsia" w:cstheme="minorEastAsia"/>
          <w:bCs/>
        </w:rPr>
        <w:t>急性心肌梗死，指冠状动脉急性、持续性缺血缺氧所引起的严重心肌损伤和坏死。须发生急性心肌损伤且存在急性心肌缺血的临床证据；并检测到肌酸激酶同功酶（CK-MB）或肌钙蛋白（cTn）的升高或回落并至少一次检测值变化达到或超过心肌梗死的诊断标准，且伴有以下至少1项情形：1）新发生的缺血性心电图改变、2）出现病理性Q波；3）影像学检查发现与缺血相一致的新发生的存活心肌丧失或局部室壁运动异常；4）血管造影证实冠状动脉存在血栓。并且其参照世界卫生组织颁布的《疾病和有关健康问题的国际统计分类（ICD-10）》出院疾病诊断编码为：I21-I22。</w:t>
      </w:r>
    </w:p>
    <w:tbl>
      <w:tblPr>
        <w:tblStyle w:val="20"/>
        <w:tblpPr w:leftFromText="180" w:rightFromText="180" w:vertAnchor="text" w:horzAnchor="page" w:tblpX="1853" w:tblpY="153"/>
        <w:tblOverlap w:val="never"/>
        <w:tblW w:w="8237"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142"/>
        <w:gridCol w:w="4236"/>
        <w:gridCol w:w="185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2142" w:type="dxa"/>
            <w:tcBorders>
              <w:top w:val="single" w:color="auto" w:sz="4" w:space="0"/>
              <w:left w:val="single" w:color="auto" w:sz="4" w:space="0"/>
              <w:bottom w:val="single" w:color="auto" w:sz="4" w:space="0"/>
              <w:right w:val="single" w:color="auto" w:sz="4" w:space="0"/>
            </w:tcBorders>
          </w:tcPr>
          <w:p>
            <w:pPr>
              <w:pStyle w:val="21"/>
              <w:spacing w:line="360" w:lineRule="auto"/>
              <w:ind w:left="0"/>
              <w:jc w:val="center"/>
              <w:rPr>
                <w:rFonts w:hint="eastAsia"/>
                <w:b/>
                <w:bCs/>
                <w:lang w:eastAsia="zh-CN"/>
              </w:rPr>
            </w:pPr>
            <w:r>
              <w:rPr>
                <w:rFonts w:hint="eastAsia"/>
                <w:b/>
                <w:bCs/>
                <w:lang w:eastAsia="zh-CN"/>
              </w:rPr>
              <w:t>诊断编码（ICD-10）</w:t>
            </w:r>
          </w:p>
        </w:tc>
        <w:tc>
          <w:tcPr>
            <w:tcW w:w="4236" w:type="dxa"/>
            <w:tcBorders>
              <w:top w:val="single" w:color="auto" w:sz="4" w:space="0"/>
              <w:left w:val="single" w:color="auto" w:sz="4" w:space="0"/>
              <w:bottom w:val="single" w:color="auto" w:sz="4" w:space="0"/>
              <w:right w:val="single" w:color="auto" w:sz="4" w:space="0"/>
            </w:tcBorders>
          </w:tcPr>
          <w:p>
            <w:pPr>
              <w:pStyle w:val="21"/>
              <w:spacing w:line="360" w:lineRule="auto"/>
              <w:ind w:left="0"/>
              <w:jc w:val="center"/>
              <w:rPr>
                <w:rFonts w:hint="eastAsia"/>
                <w:b/>
                <w:bCs/>
                <w:lang w:eastAsia="zh-CN"/>
              </w:rPr>
            </w:pPr>
            <w:r>
              <w:rPr>
                <w:rFonts w:hint="eastAsia"/>
                <w:b/>
                <w:bCs/>
                <w:lang w:eastAsia="zh-CN"/>
              </w:rPr>
              <w:t>疾病名称</w:t>
            </w:r>
          </w:p>
        </w:tc>
        <w:tc>
          <w:tcPr>
            <w:tcW w:w="1859" w:type="dxa"/>
            <w:tcBorders>
              <w:top w:val="single" w:color="auto" w:sz="4" w:space="0"/>
              <w:left w:val="single" w:color="auto" w:sz="4" w:space="0"/>
              <w:bottom w:val="single" w:color="auto" w:sz="4" w:space="0"/>
              <w:right w:val="single" w:color="auto" w:sz="4" w:space="0"/>
            </w:tcBorders>
          </w:tcPr>
          <w:p>
            <w:pPr>
              <w:pStyle w:val="21"/>
              <w:spacing w:line="360" w:lineRule="auto"/>
              <w:ind w:left="0"/>
              <w:jc w:val="center"/>
              <w:rPr>
                <w:rFonts w:hint="eastAsia"/>
                <w:b/>
                <w:bCs/>
                <w:lang w:eastAsia="zh-CN"/>
              </w:rPr>
            </w:pPr>
            <w:r>
              <w:rPr>
                <w:rFonts w:hint="eastAsia"/>
                <w:b/>
                <w:bCs/>
                <w:lang w:eastAsia="zh-CN"/>
              </w:rPr>
              <w:t>编码层级</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5" w:hRule="atLeast"/>
        </w:trPr>
        <w:tc>
          <w:tcPr>
            <w:tcW w:w="2142" w:type="dxa"/>
            <w:tcBorders>
              <w:top w:val="single" w:color="auto" w:sz="4" w:space="0"/>
              <w:left w:val="single" w:color="auto" w:sz="4" w:space="0"/>
              <w:bottom w:val="single" w:color="auto" w:sz="4" w:space="0"/>
              <w:right w:val="single" w:color="auto" w:sz="4" w:space="0"/>
            </w:tcBorders>
          </w:tcPr>
          <w:p>
            <w:pPr>
              <w:pStyle w:val="21"/>
              <w:spacing w:before="87" w:line="360" w:lineRule="auto"/>
              <w:ind w:left="0"/>
              <w:jc w:val="center"/>
            </w:pPr>
            <w:r>
              <w:rPr>
                <w:spacing w:val="-7"/>
              </w:rPr>
              <w:t>I21</w:t>
            </w:r>
          </w:p>
        </w:tc>
        <w:tc>
          <w:tcPr>
            <w:tcW w:w="4236" w:type="dxa"/>
            <w:tcBorders>
              <w:top w:val="single" w:color="auto" w:sz="4" w:space="0"/>
              <w:left w:val="single" w:color="auto" w:sz="4" w:space="0"/>
              <w:bottom w:val="single" w:color="auto" w:sz="4" w:space="0"/>
              <w:right w:val="single" w:color="auto" w:sz="4" w:space="0"/>
            </w:tcBorders>
          </w:tcPr>
          <w:p>
            <w:pPr>
              <w:pStyle w:val="21"/>
              <w:spacing w:before="89" w:line="360" w:lineRule="auto"/>
              <w:ind w:left="0"/>
              <w:jc w:val="center"/>
              <w:rPr>
                <w:spacing w:val="-5"/>
                <w:lang w:eastAsia="zh-CN"/>
              </w:rPr>
            </w:pPr>
            <w:r>
              <w:rPr>
                <w:spacing w:val="-5"/>
                <w:lang w:eastAsia="zh-CN"/>
              </w:rPr>
              <w:t>急性心肌梗死</w:t>
            </w:r>
          </w:p>
        </w:tc>
        <w:tc>
          <w:tcPr>
            <w:tcW w:w="1859" w:type="dxa"/>
            <w:tcBorders>
              <w:top w:val="single" w:color="auto" w:sz="4" w:space="0"/>
              <w:left w:val="single" w:color="auto" w:sz="4" w:space="0"/>
              <w:bottom w:val="single" w:color="auto" w:sz="4" w:space="0"/>
              <w:right w:val="single" w:color="auto" w:sz="4" w:space="0"/>
            </w:tcBorders>
          </w:tcPr>
          <w:p>
            <w:pPr>
              <w:pStyle w:val="21"/>
              <w:spacing w:before="88" w:line="360" w:lineRule="auto"/>
              <w:ind w:left="0" w:leftChars="0" w:firstLine="0" w:firstLineChars="0"/>
              <w:jc w:val="center"/>
            </w:pPr>
            <w: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4" w:hRule="atLeast"/>
        </w:trPr>
        <w:tc>
          <w:tcPr>
            <w:tcW w:w="2142" w:type="dxa"/>
            <w:tcBorders>
              <w:top w:val="single" w:color="auto" w:sz="4" w:space="0"/>
              <w:left w:val="single" w:color="auto" w:sz="4" w:space="0"/>
              <w:bottom w:val="single" w:color="auto" w:sz="4" w:space="0"/>
              <w:right w:val="single" w:color="auto" w:sz="4" w:space="0"/>
            </w:tcBorders>
          </w:tcPr>
          <w:p>
            <w:pPr>
              <w:pStyle w:val="21"/>
              <w:spacing w:before="89" w:line="360" w:lineRule="auto"/>
              <w:ind w:left="0"/>
              <w:jc w:val="center"/>
            </w:pPr>
            <w:r>
              <w:rPr>
                <w:spacing w:val="-4"/>
              </w:rPr>
              <w:t>I21.0</w:t>
            </w:r>
          </w:p>
        </w:tc>
        <w:tc>
          <w:tcPr>
            <w:tcW w:w="4236" w:type="dxa"/>
            <w:tcBorders>
              <w:top w:val="single" w:color="auto" w:sz="4" w:space="0"/>
              <w:left w:val="single" w:color="auto" w:sz="4" w:space="0"/>
              <w:bottom w:val="single" w:color="auto" w:sz="4" w:space="0"/>
              <w:right w:val="single" w:color="auto" w:sz="4" w:space="0"/>
            </w:tcBorders>
          </w:tcPr>
          <w:p>
            <w:pPr>
              <w:pStyle w:val="21"/>
              <w:spacing w:before="89" w:line="360" w:lineRule="auto"/>
              <w:ind w:left="0"/>
              <w:jc w:val="center"/>
              <w:rPr>
                <w:spacing w:val="-5"/>
                <w:lang w:eastAsia="zh-CN"/>
              </w:rPr>
            </w:pPr>
            <w:r>
              <w:rPr>
                <w:spacing w:val="-5"/>
                <w:lang w:eastAsia="zh-CN"/>
              </w:rPr>
              <w:t>前壁急性透壁性心肌梗死</w:t>
            </w:r>
          </w:p>
        </w:tc>
        <w:tc>
          <w:tcPr>
            <w:tcW w:w="1859" w:type="dxa"/>
            <w:tcBorders>
              <w:top w:val="single" w:color="auto" w:sz="4" w:space="0"/>
              <w:left w:val="single" w:color="auto" w:sz="4" w:space="0"/>
              <w:bottom w:val="single" w:color="auto" w:sz="4" w:space="0"/>
              <w:right w:val="single" w:color="auto" w:sz="4" w:space="0"/>
            </w:tcBorders>
          </w:tcPr>
          <w:p>
            <w:pPr>
              <w:pStyle w:val="21"/>
              <w:spacing w:before="90" w:line="360" w:lineRule="auto"/>
              <w:ind w:left="0" w:leftChars="0" w:firstLine="0" w:firstLineChars="0"/>
              <w:jc w:val="center"/>
            </w:pPr>
            <w: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5" w:hRule="atLeast"/>
        </w:trPr>
        <w:tc>
          <w:tcPr>
            <w:tcW w:w="2142" w:type="dxa"/>
            <w:tcBorders>
              <w:top w:val="single" w:color="auto" w:sz="4" w:space="0"/>
              <w:left w:val="single" w:color="auto" w:sz="4" w:space="0"/>
              <w:bottom w:val="single" w:color="auto" w:sz="4" w:space="0"/>
              <w:right w:val="single" w:color="auto" w:sz="4" w:space="0"/>
            </w:tcBorders>
          </w:tcPr>
          <w:p>
            <w:pPr>
              <w:pStyle w:val="21"/>
              <w:spacing w:before="91" w:line="360" w:lineRule="auto"/>
              <w:ind w:left="0"/>
              <w:jc w:val="center"/>
            </w:pPr>
            <w:r>
              <w:rPr>
                <w:spacing w:val="-4"/>
              </w:rPr>
              <w:t>I21.1</w:t>
            </w:r>
          </w:p>
        </w:tc>
        <w:tc>
          <w:tcPr>
            <w:tcW w:w="4236" w:type="dxa"/>
            <w:tcBorders>
              <w:top w:val="single" w:color="auto" w:sz="4" w:space="0"/>
              <w:left w:val="single" w:color="auto" w:sz="4" w:space="0"/>
              <w:bottom w:val="single" w:color="auto" w:sz="4" w:space="0"/>
              <w:right w:val="single" w:color="auto" w:sz="4" w:space="0"/>
            </w:tcBorders>
          </w:tcPr>
          <w:p>
            <w:pPr>
              <w:pStyle w:val="21"/>
              <w:spacing w:before="89" w:line="360" w:lineRule="auto"/>
              <w:ind w:left="0"/>
              <w:jc w:val="center"/>
              <w:rPr>
                <w:spacing w:val="-5"/>
                <w:lang w:eastAsia="zh-CN"/>
              </w:rPr>
            </w:pPr>
            <w:r>
              <w:rPr>
                <w:spacing w:val="-5"/>
                <w:lang w:eastAsia="zh-CN"/>
              </w:rPr>
              <w:t>下壁急性透壁性心肌梗死</w:t>
            </w:r>
          </w:p>
        </w:tc>
        <w:tc>
          <w:tcPr>
            <w:tcW w:w="1859" w:type="dxa"/>
            <w:tcBorders>
              <w:top w:val="single" w:color="auto" w:sz="4" w:space="0"/>
              <w:left w:val="single" w:color="auto" w:sz="4" w:space="0"/>
              <w:bottom w:val="single" w:color="auto" w:sz="4" w:space="0"/>
              <w:right w:val="single" w:color="auto" w:sz="4" w:space="0"/>
            </w:tcBorders>
          </w:tcPr>
          <w:p>
            <w:pPr>
              <w:pStyle w:val="21"/>
              <w:spacing w:before="92" w:line="360" w:lineRule="auto"/>
              <w:ind w:left="0"/>
              <w:jc w:val="center"/>
            </w:pPr>
            <w: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5" w:hRule="atLeast"/>
        </w:trPr>
        <w:tc>
          <w:tcPr>
            <w:tcW w:w="2142" w:type="dxa"/>
            <w:tcBorders>
              <w:top w:val="single" w:color="auto" w:sz="4" w:space="0"/>
              <w:left w:val="single" w:color="auto" w:sz="4" w:space="0"/>
              <w:bottom w:val="single" w:color="auto" w:sz="4" w:space="0"/>
              <w:right w:val="single" w:color="auto" w:sz="4" w:space="0"/>
            </w:tcBorders>
          </w:tcPr>
          <w:p>
            <w:pPr>
              <w:pStyle w:val="21"/>
              <w:spacing w:before="93" w:line="360" w:lineRule="auto"/>
              <w:ind w:left="0"/>
              <w:jc w:val="center"/>
            </w:pPr>
            <w:r>
              <w:rPr>
                <w:spacing w:val="-4"/>
              </w:rPr>
              <w:t>I21.2</w:t>
            </w:r>
          </w:p>
        </w:tc>
        <w:tc>
          <w:tcPr>
            <w:tcW w:w="4236" w:type="dxa"/>
            <w:tcBorders>
              <w:top w:val="single" w:color="auto" w:sz="4" w:space="0"/>
              <w:left w:val="single" w:color="auto" w:sz="4" w:space="0"/>
              <w:bottom w:val="single" w:color="auto" w:sz="4" w:space="0"/>
              <w:right w:val="single" w:color="auto" w:sz="4" w:space="0"/>
            </w:tcBorders>
          </w:tcPr>
          <w:p>
            <w:pPr>
              <w:pStyle w:val="21"/>
              <w:spacing w:before="89" w:line="360" w:lineRule="auto"/>
              <w:ind w:left="0"/>
              <w:jc w:val="center"/>
              <w:rPr>
                <w:spacing w:val="-5"/>
                <w:lang w:eastAsia="zh-CN"/>
              </w:rPr>
            </w:pPr>
            <w:r>
              <w:rPr>
                <w:spacing w:val="-5"/>
                <w:lang w:eastAsia="zh-CN"/>
              </w:rPr>
              <w:t>其他部位的急性透壁性心肌梗死</w:t>
            </w:r>
          </w:p>
        </w:tc>
        <w:tc>
          <w:tcPr>
            <w:tcW w:w="1859" w:type="dxa"/>
            <w:tcBorders>
              <w:top w:val="single" w:color="auto" w:sz="4" w:space="0"/>
              <w:left w:val="single" w:color="auto" w:sz="4" w:space="0"/>
              <w:bottom w:val="single" w:color="auto" w:sz="4" w:space="0"/>
              <w:right w:val="single" w:color="auto" w:sz="4" w:space="0"/>
            </w:tcBorders>
          </w:tcPr>
          <w:p>
            <w:pPr>
              <w:pStyle w:val="21"/>
              <w:spacing w:before="94" w:line="360" w:lineRule="auto"/>
              <w:ind w:left="0"/>
              <w:jc w:val="center"/>
            </w:pPr>
            <w: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4" w:hRule="atLeast"/>
        </w:trPr>
        <w:tc>
          <w:tcPr>
            <w:tcW w:w="2142" w:type="dxa"/>
            <w:tcBorders>
              <w:top w:val="single" w:color="auto" w:sz="4" w:space="0"/>
              <w:left w:val="single" w:color="auto" w:sz="4" w:space="0"/>
              <w:bottom w:val="single" w:color="auto" w:sz="4" w:space="0"/>
              <w:right w:val="single" w:color="auto" w:sz="4" w:space="0"/>
            </w:tcBorders>
          </w:tcPr>
          <w:p>
            <w:pPr>
              <w:pStyle w:val="21"/>
              <w:spacing w:before="94" w:line="360" w:lineRule="auto"/>
              <w:ind w:left="0"/>
              <w:jc w:val="center"/>
            </w:pPr>
            <w:r>
              <w:rPr>
                <w:spacing w:val="-4"/>
              </w:rPr>
              <w:t>I21.3</w:t>
            </w:r>
          </w:p>
        </w:tc>
        <w:tc>
          <w:tcPr>
            <w:tcW w:w="4236" w:type="dxa"/>
            <w:tcBorders>
              <w:top w:val="single" w:color="auto" w:sz="4" w:space="0"/>
              <w:left w:val="single" w:color="auto" w:sz="4" w:space="0"/>
              <w:bottom w:val="single" w:color="auto" w:sz="4" w:space="0"/>
              <w:right w:val="single" w:color="auto" w:sz="4" w:space="0"/>
            </w:tcBorders>
          </w:tcPr>
          <w:p>
            <w:pPr>
              <w:pStyle w:val="21"/>
              <w:spacing w:before="89" w:line="360" w:lineRule="auto"/>
              <w:ind w:left="0"/>
              <w:jc w:val="center"/>
              <w:rPr>
                <w:spacing w:val="-5"/>
                <w:lang w:eastAsia="zh-CN"/>
              </w:rPr>
            </w:pPr>
            <w:r>
              <w:rPr>
                <w:spacing w:val="-5"/>
                <w:lang w:eastAsia="zh-CN"/>
              </w:rPr>
              <w:t>未特指部位的急性透壁性心肌梗死</w:t>
            </w:r>
          </w:p>
        </w:tc>
        <w:tc>
          <w:tcPr>
            <w:tcW w:w="1859" w:type="dxa"/>
            <w:tcBorders>
              <w:top w:val="single" w:color="auto" w:sz="4" w:space="0"/>
              <w:left w:val="single" w:color="auto" w:sz="4" w:space="0"/>
              <w:bottom w:val="single" w:color="auto" w:sz="4" w:space="0"/>
              <w:right w:val="single" w:color="auto" w:sz="4" w:space="0"/>
            </w:tcBorders>
          </w:tcPr>
          <w:p>
            <w:pPr>
              <w:pStyle w:val="21"/>
              <w:spacing w:before="95" w:line="360" w:lineRule="auto"/>
              <w:ind w:left="0"/>
              <w:jc w:val="center"/>
            </w:pPr>
            <w: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142" w:type="dxa"/>
            <w:tcBorders>
              <w:top w:val="single" w:color="auto" w:sz="4" w:space="0"/>
              <w:left w:val="single" w:color="auto" w:sz="4" w:space="0"/>
              <w:bottom w:val="single" w:color="auto" w:sz="4" w:space="0"/>
              <w:right w:val="single" w:color="auto" w:sz="4" w:space="0"/>
            </w:tcBorders>
          </w:tcPr>
          <w:p>
            <w:pPr>
              <w:pStyle w:val="21"/>
              <w:spacing w:before="99" w:line="360" w:lineRule="auto"/>
              <w:ind w:left="0"/>
              <w:jc w:val="center"/>
            </w:pPr>
            <w:r>
              <w:rPr>
                <w:spacing w:val="-4"/>
              </w:rPr>
              <w:t>I21.4</w:t>
            </w:r>
          </w:p>
        </w:tc>
        <w:tc>
          <w:tcPr>
            <w:tcW w:w="4236" w:type="dxa"/>
            <w:tcBorders>
              <w:top w:val="single" w:color="auto" w:sz="4" w:space="0"/>
              <w:left w:val="single" w:color="auto" w:sz="4" w:space="0"/>
              <w:bottom w:val="single" w:color="auto" w:sz="4" w:space="0"/>
              <w:right w:val="single" w:color="auto" w:sz="4" w:space="0"/>
            </w:tcBorders>
          </w:tcPr>
          <w:p>
            <w:pPr>
              <w:pStyle w:val="21"/>
              <w:spacing w:before="89" w:line="360" w:lineRule="auto"/>
              <w:ind w:left="0"/>
              <w:jc w:val="center"/>
              <w:rPr>
                <w:spacing w:val="-5"/>
                <w:lang w:eastAsia="zh-CN"/>
              </w:rPr>
            </w:pPr>
            <w:r>
              <w:rPr>
                <w:spacing w:val="-5"/>
                <w:lang w:eastAsia="zh-CN"/>
              </w:rPr>
              <w:t>急性心内膜下心肌梗死</w:t>
            </w:r>
          </w:p>
        </w:tc>
        <w:tc>
          <w:tcPr>
            <w:tcW w:w="1859" w:type="dxa"/>
            <w:tcBorders>
              <w:top w:val="single" w:color="auto" w:sz="4" w:space="0"/>
              <w:left w:val="single" w:color="auto" w:sz="4" w:space="0"/>
              <w:bottom w:val="single" w:color="auto" w:sz="4" w:space="0"/>
              <w:right w:val="single" w:color="auto" w:sz="4" w:space="0"/>
            </w:tcBorders>
          </w:tcPr>
          <w:p>
            <w:pPr>
              <w:pStyle w:val="21"/>
              <w:spacing w:before="101" w:line="360" w:lineRule="auto"/>
              <w:ind w:left="0"/>
              <w:jc w:val="center"/>
            </w:pPr>
            <w: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5" w:hRule="atLeast"/>
        </w:trPr>
        <w:tc>
          <w:tcPr>
            <w:tcW w:w="2142" w:type="dxa"/>
            <w:tcBorders>
              <w:top w:val="single" w:color="auto" w:sz="4" w:space="0"/>
              <w:left w:val="single" w:color="auto" w:sz="4" w:space="0"/>
              <w:bottom w:val="single" w:color="auto" w:sz="4" w:space="0"/>
              <w:right w:val="single" w:color="auto" w:sz="4" w:space="0"/>
            </w:tcBorders>
          </w:tcPr>
          <w:p>
            <w:pPr>
              <w:pStyle w:val="21"/>
              <w:spacing w:before="100" w:line="360" w:lineRule="auto"/>
              <w:ind w:left="0"/>
              <w:jc w:val="center"/>
            </w:pPr>
            <w:r>
              <w:rPr>
                <w:spacing w:val="-4"/>
              </w:rPr>
              <w:t>I21.9</w:t>
            </w:r>
          </w:p>
        </w:tc>
        <w:tc>
          <w:tcPr>
            <w:tcW w:w="4236" w:type="dxa"/>
            <w:tcBorders>
              <w:top w:val="single" w:color="auto" w:sz="4" w:space="0"/>
              <w:left w:val="single" w:color="auto" w:sz="4" w:space="0"/>
              <w:bottom w:val="single" w:color="auto" w:sz="4" w:space="0"/>
              <w:right w:val="single" w:color="auto" w:sz="4" w:space="0"/>
            </w:tcBorders>
          </w:tcPr>
          <w:p>
            <w:pPr>
              <w:pStyle w:val="21"/>
              <w:spacing w:before="89" w:line="360" w:lineRule="auto"/>
              <w:ind w:left="0"/>
              <w:jc w:val="center"/>
              <w:rPr>
                <w:spacing w:val="-5"/>
                <w:lang w:eastAsia="zh-CN"/>
              </w:rPr>
            </w:pPr>
            <w:r>
              <w:rPr>
                <w:spacing w:val="-5"/>
                <w:lang w:eastAsia="zh-CN"/>
              </w:rPr>
              <w:t>未特指的急性心肌梗死</w:t>
            </w:r>
          </w:p>
        </w:tc>
        <w:tc>
          <w:tcPr>
            <w:tcW w:w="1859" w:type="dxa"/>
            <w:tcBorders>
              <w:top w:val="single" w:color="auto" w:sz="4" w:space="0"/>
              <w:left w:val="single" w:color="auto" w:sz="4" w:space="0"/>
              <w:bottom w:val="single" w:color="auto" w:sz="4" w:space="0"/>
              <w:right w:val="single" w:color="auto" w:sz="4" w:space="0"/>
            </w:tcBorders>
          </w:tcPr>
          <w:p>
            <w:pPr>
              <w:pStyle w:val="21"/>
              <w:spacing w:before="100" w:line="360" w:lineRule="auto"/>
              <w:ind w:left="0"/>
              <w:jc w:val="center"/>
            </w:pPr>
            <w: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5" w:hRule="atLeast"/>
        </w:trPr>
        <w:tc>
          <w:tcPr>
            <w:tcW w:w="2142" w:type="dxa"/>
            <w:tcBorders>
              <w:top w:val="single" w:color="auto" w:sz="4" w:space="0"/>
              <w:left w:val="single" w:color="auto" w:sz="4" w:space="0"/>
              <w:bottom w:val="single" w:color="auto" w:sz="4" w:space="0"/>
              <w:right w:val="single" w:color="auto" w:sz="4" w:space="0"/>
            </w:tcBorders>
          </w:tcPr>
          <w:p>
            <w:pPr>
              <w:pStyle w:val="21"/>
              <w:spacing w:before="102" w:line="360" w:lineRule="auto"/>
              <w:ind w:left="0"/>
              <w:jc w:val="center"/>
            </w:pPr>
            <w:r>
              <w:rPr>
                <w:spacing w:val="-7"/>
              </w:rPr>
              <w:t>I22</w:t>
            </w:r>
          </w:p>
        </w:tc>
        <w:tc>
          <w:tcPr>
            <w:tcW w:w="4236" w:type="dxa"/>
            <w:tcBorders>
              <w:top w:val="single" w:color="auto" w:sz="4" w:space="0"/>
              <w:left w:val="single" w:color="auto" w:sz="4" w:space="0"/>
              <w:bottom w:val="single" w:color="auto" w:sz="4" w:space="0"/>
              <w:right w:val="single" w:color="auto" w:sz="4" w:space="0"/>
            </w:tcBorders>
          </w:tcPr>
          <w:p>
            <w:pPr>
              <w:pStyle w:val="21"/>
              <w:spacing w:before="89" w:line="360" w:lineRule="auto"/>
              <w:ind w:left="0"/>
              <w:jc w:val="center"/>
              <w:rPr>
                <w:spacing w:val="-5"/>
                <w:lang w:eastAsia="zh-CN"/>
              </w:rPr>
            </w:pPr>
            <w:r>
              <w:rPr>
                <w:spacing w:val="-5"/>
                <w:lang w:eastAsia="zh-CN"/>
              </w:rPr>
              <w:t>随后性心肌梗死</w:t>
            </w:r>
          </w:p>
        </w:tc>
        <w:tc>
          <w:tcPr>
            <w:tcW w:w="1859" w:type="dxa"/>
            <w:tcBorders>
              <w:top w:val="single" w:color="auto" w:sz="4" w:space="0"/>
              <w:left w:val="single" w:color="auto" w:sz="4" w:space="0"/>
              <w:bottom w:val="single" w:color="auto" w:sz="4" w:space="0"/>
              <w:right w:val="single" w:color="auto" w:sz="4" w:space="0"/>
            </w:tcBorders>
          </w:tcPr>
          <w:p>
            <w:pPr>
              <w:pStyle w:val="21"/>
              <w:spacing w:before="102" w:line="360" w:lineRule="auto"/>
              <w:ind w:left="0"/>
              <w:jc w:val="center"/>
            </w:pPr>
            <w: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5" w:hRule="atLeast"/>
        </w:trPr>
        <w:tc>
          <w:tcPr>
            <w:tcW w:w="2142" w:type="dxa"/>
            <w:tcBorders>
              <w:top w:val="single" w:color="auto" w:sz="4" w:space="0"/>
              <w:left w:val="single" w:color="auto" w:sz="4" w:space="0"/>
              <w:bottom w:val="single" w:color="auto" w:sz="4" w:space="0"/>
              <w:right w:val="single" w:color="auto" w:sz="4" w:space="0"/>
            </w:tcBorders>
          </w:tcPr>
          <w:p>
            <w:pPr>
              <w:pStyle w:val="21"/>
              <w:spacing w:before="104" w:line="360" w:lineRule="auto"/>
              <w:ind w:left="0"/>
              <w:jc w:val="center"/>
            </w:pPr>
            <w:r>
              <w:rPr>
                <w:spacing w:val="-4"/>
              </w:rPr>
              <w:t>I22.0</w:t>
            </w:r>
          </w:p>
        </w:tc>
        <w:tc>
          <w:tcPr>
            <w:tcW w:w="4236" w:type="dxa"/>
            <w:tcBorders>
              <w:top w:val="single" w:color="auto" w:sz="4" w:space="0"/>
              <w:left w:val="single" w:color="auto" w:sz="4" w:space="0"/>
              <w:bottom w:val="single" w:color="auto" w:sz="4" w:space="0"/>
              <w:right w:val="single" w:color="auto" w:sz="4" w:space="0"/>
            </w:tcBorders>
          </w:tcPr>
          <w:p>
            <w:pPr>
              <w:pStyle w:val="21"/>
              <w:spacing w:before="89" w:line="360" w:lineRule="auto"/>
              <w:ind w:left="0"/>
              <w:jc w:val="center"/>
              <w:rPr>
                <w:spacing w:val="-5"/>
                <w:lang w:eastAsia="zh-CN"/>
              </w:rPr>
            </w:pPr>
            <w:r>
              <w:rPr>
                <w:spacing w:val="-5"/>
                <w:lang w:eastAsia="zh-CN"/>
              </w:rPr>
              <w:t>前壁的随后性心肌梗死</w:t>
            </w:r>
          </w:p>
        </w:tc>
        <w:tc>
          <w:tcPr>
            <w:tcW w:w="1859" w:type="dxa"/>
            <w:tcBorders>
              <w:top w:val="single" w:color="auto" w:sz="4" w:space="0"/>
              <w:left w:val="single" w:color="auto" w:sz="4" w:space="0"/>
              <w:bottom w:val="single" w:color="auto" w:sz="4" w:space="0"/>
              <w:right w:val="single" w:color="auto" w:sz="4" w:space="0"/>
            </w:tcBorders>
          </w:tcPr>
          <w:p>
            <w:pPr>
              <w:pStyle w:val="21"/>
              <w:spacing w:before="104" w:line="360" w:lineRule="auto"/>
              <w:ind w:left="0"/>
              <w:jc w:val="center"/>
            </w:pPr>
            <w: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5" w:hRule="atLeast"/>
        </w:trPr>
        <w:tc>
          <w:tcPr>
            <w:tcW w:w="2142" w:type="dxa"/>
            <w:tcBorders>
              <w:top w:val="single" w:color="auto" w:sz="4" w:space="0"/>
              <w:left w:val="single" w:color="auto" w:sz="4" w:space="0"/>
              <w:bottom w:val="single" w:color="auto" w:sz="4" w:space="0"/>
              <w:right w:val="single" w:color="auto" w:sz="4" w:space="0"/>
            </w:tcBorders>
          </w:tcPr>
          <w:p>
            <w:pPr>
              <w:pStyle w:val="21"/>
              <w:spacing w:before="104" w:line="360" w:lineRule="auto"/>
              <w:ind w:left="0"/>
              <w:jc w:val="center"/>
            </w:pPr>
            <w:r>
              <w:rPr>
                <w:spacing w:val="-4"/>
              </w:rPr>
              <w:t>I22.1</w:t>
            </w:r>
          </w:p>
        </w:tc>
        <w:tc>
          <w:tcPr>
            <w:tcW w:w="4236" w:type="dxa"/>
            <w:tcBorders>
              <w:top w:val="single" w:color="auto" w:sz="4" w:space="0"/>
              <w:left w:val="single" w:color="auto" w:sz="4" w:space="0"/>
              <w:bottom w:val="single" w:color="auto" w:sz="4" w:space="0"/>
              <w:right w:val="single" w:color="auto" w:sz="4" w:space="0"/>
            </w:tcBorders>
          </w:tcPr>
          <w:p>
            <w:pPr>
              <w:pStyle w:val="21"/>
              <w:spacing w:before="89" w:line="360" w:lineRule="auto"/>
              <w:ind w:left="0"/>
              <w:jc w:val="center"/>
              <w:rPr>
                <w:spacing w:val="-5"/>
                <w:lang w:eastAsia="zh-CN"/>
              </w:rPr>
            </w:pPr>
            <w:r>
              <w:rPr>
                <w:spacing w:val="-5"/>
                <w:lang w:eastAsia="zh-CN"/>
              </w:rPr>
              <w:t>下壁的随后性心肌梗死</w:t>
            </w:r>
          </w:p>
        </w:tc>
        <w:tc>
          <w:tcPr>
            <w:tcW w:w="1859" w:type="dxa"/>
            <w:tcBorders>
              <w:top w:val="single" w:color="auto" w:sz="4" w:space="0"/>
              <w:left w:val="single" w:color="auto" w:sz="4" w:space="0"/>
              <w:bottom w:val="single" w:color="auto" w:sz="4" w:space="0"/>
              <w:right w:val="single" w:color="auto" w:sz="4" w:space="0"/>
            </w:tcBorders>
          </w:tcPr>
          <w:p>
            <w:pPr>
              <w:pStyle w:val="21"/>
              <w:spacing w:before="105" w:line="360" w:lineRule="auto"/>
              <w:ind w:left="0"/>
              <w:jc w:val="center"/>
            </w:pPr>
            <w: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5" w:hRule="atLeast"/>
        </w:trPr>
        <w:tc>
          <w:tcPr>
            <w:tcW w:w="2142" w:type="dxa"/>
            <w:tcBorders>
              <w:top w:val="single" w:color="auto" w:sz="4" w:space="0"/>
              <w:left w:val="single" w:color="auto" w:sz="4" w:space="0"/>
              <w:bottom w:val="single" w:color="auto" w:sz="4" w:space="0"/>
              <w:right w:val="single" w:color="auto" w:sz="4" w:space="0"/>
            </w:tcBorders>
          </w:tcPr>
          <w:p>
            <w:pPr>
              <w:pStyle w:val="21"/>
              <w:spacing w:before="108" w:line="360" w:lineRule="auto"/>
              <w:ind w:left="0"/>
              <w:jc w:val="center"/>
            </w:pPr>
            <w:r>
              <w:rPr>
                <w:spacing w:val="-4"/>
              </w:rPr>
              <w:t>I22.8</w:t>
            </w:r>
          </w:p>
        </w:tc>
        <w:tc>
          <w:tcPr>
            <w:tcW w:w="4236" w:type="dxa"/>
            <w:tcBorders>
              <w:top w:val="single" w:color="auto" w:sz="4" w:space="0"/>
              <w:left w:val="single" w:color="auto" w:sz="4" w:space="0"/>
              <w:bottom w:val="single" w:color="auto" w:sz="4" w:space="0"/>
              <w:right w:val="single" w:color="auto" w:sz="4" w:space="0"/>
            </w:tcBorders>
          </w:tcPr>
          <w:p>
            <w:pPr>
              <w:pStyle w:val="21"/>
              <w:spacing w:before="89" w:line="360" w:lineRule="auto"/>
              <w:ind w:left="0"/>
              <w:jc w:val="center"/>
              <w:rPr>
                <w:spacing w:val="-5"/>
                <w:lang w:eastAsia="zh-CN"/>
              </w:rPr>
            </w:pPr>
            <w:r>
              <w:rPr>
                <w:spacing w:val="-5"/>
                <w:lang w:eastAsia="zh-CN"/>
              </w:rPr>
              <w:t>其他部位的随后性心肌梗死</w:t>
            </w:r>
          </w:p>
        </w:tc>
        <w:tc>
          <w:tcPr>
            <w:tcW w:w="1859" w:type="dxa"/>
            <w:tcBorders>
              <w:top w:val="single" w:color="auto" w:sz="4" w:space="0"/>
              <w:left w:val="single" w:color="auto" w:sz="4" w:space="0"/>
              <w:bottom w:val="single" w:color="auto" w:sz="4" w:space="0"/>
              <w:right w:val="single" w:color="auto" w:sz="4" w:space="0"/>
            </w:tcBorders>
          </w:tcPr>
          <w:p>
            <w:pPr>
              <w:pStyle w:val="21"/>
              <w:spacing w:before="108" w:line="360" w:lineRule="auto"/>
              <w:ind w:left="0"/>
              <w:jc w:val="center"/>
            </w:pPr>
            <w: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8" w:hRule="atLeast"/>
        </w:trPr>
        <w:tc>
          <w:tcPr>
            <w:tcW w:w="2142" w:type="dxa"/>
            <w:tcBorders>
              <w:top w:val="single" w:color="auto" w:sz="4" w:space="0"/>
              <w:left w:val="single" w:color="auto" w:sz="4" w:space="0"/>
              <w:bottom w:val="single" w:color="auto" w:sz="4" w:space="0"/>
              <w:right w:val="single" w:color="auto" w:sz="4" w:space="0"/>
            </w:tcBorders>
          </w:tcPr>
          <w:p>
            <w:pPr>
              <w:pStyle w:val="21"/>
              <w:spacing w:before="111" w:line="360" w:lineRule="auto"/>
              <w:ind w:left="0"/>
              <w:jc w:val="center"/>
            </w:pPr>
            <w:r>
              <w:rPr>
                <w:spacing w:val="-4"/>
              </w:rPr>
              <w:t>I22.9</w:t>
            </w:r>
          </w:p>
        </w:tc>
        <w:tc>
          <w:tcPr>
            <w:tcW w:w="4236" w:type="dxa"/>
            <w:tcBorders>
              <w:top w:val="single" w:color="auto" w:sz="4" w:space="0"/>
              <w:left w:val="single" w:color="auto" w:sz="4" w:space="0"/>
              <w:bottom w:val="single" w:color="auto" w:sz="4" w:space="0"/>
              <w:right w:val="single" w:color="auto" w:sz="4" w:space="0"/>
            </w:tcBorders>
          </w:tcPr>
          <w:p>
            <w:pPr>
              <w:pStyle w:val="21"/>
              <w:spacing w:before="89" w:line="360" w:lineRule="auto"/>
              <w:ind w:left="0"/>
              <w:jc w:val="center"/>
              <w:rPr>
                <w:spacing w:val="-5"/>
                <w:lang w:eastAsia="zh-CN"/>
              </w:rPr>
            </w:pPr>
            <w:r>
              <w:rPr>
                <w:spacing w:val="-5"/>
                <w:lang w:eastAsia="zh-CN"/>
              </w:rPr>
              <w:t>未特指部位的随后性心肌梗死</w:t>
            </w:r>
          </w:p>
        </w:tc>
        <w:tc>
          <w:tcPr>
            <w:tcW w:w="1859" w:type="dxa"/>
            <w:tcBorders>
              <w:top w:val="single" w:color="auto" w:sz="4" w:space="0"/>
              <w:left w:val="single" w:color="auto" w:sz="4" w:space="0"/>
              <w:bottom w:val="single" w:color="auto" w:sz="4" w:space="0"/>
              <w:right w:val="single" w:color="auto" w:sz="4" w:space="0"/>
            </w:tcBorders>
          </w:tcPr>
          <w:p>
            <w:pPr>
              <w:pStyle w:val="21"/>
              <w:spacing w:before="111" w:line="360" w:lineRule="auto"/>
              <w:ind w:left="0"/>
              <w:jc w:val="center"/>
            </w:pPr>
            <w:r>
              <w:t>4</w:t>
            </w:r>
          </w:p>
        </w:tc>
      </w:tr>
    </w:tbl>
    <w:p>
      <w:pPr>
        <w:pStyle w:val="23"/>
        <w:keepNext w:val="0"/>
        <w:keepLines w:val="0"/>
        <w:pageBreakBefore w:val="0"/>
        <w:widowControl/>
        <w:numPr>
          <w:ilvl w:val="0"/>
          <w:numId w:val="0"/>
        </w:numPr>
        <w:kinsoku/>
        <w:wordWrap/>
        <w:overflowPunct/>
        <w:topLinePunct w:val="0"/>
        <w:autoSpaceDE/>
        <w:autoSpaceDN/>
        <w:bidi w:val="0"/>
        <w:adjustRightInd w:val="0"/>
        <w:snapToGrid w:val="0"/>
        <w:spacing w:beforeAutospacing="0" w:afterAutospacing="0" w:line="360" w:lineRule="auto"/>
        <w:ind w:leftChars="200"/>
        <w:textAlignment w:val="auto"/>
        <w:rPr>
          <w:rFonts w:eastAsiaTheme="minorEastAsia"/>
        </w:rPr>
      </w:pPr>
      <w:r>
        <w:rPr>
          <w:rFonts w:hint="eastAsia" w:asciiTheme="minorEastAsia" w:hAnsiTheme="minorEastAsia" w:eastAsiaTheme="minorEastAsia" w:cstheme="minorEastAsia"/>
          <w:b/>
          <w:bCs/>
          <w:szCs w:val="21"/>
          <w:lang w:val="en-US" w:eastAsia="zh-CN"/>
        </w:rPr>
        <w:t>五、</w:t>
      </w:r>
      <w:r>
        <w:rPr>
          <w:rFonts w:hint="eastAsia" w:asciiTheme="minorEastAsia" w:hAnsiTheme="minorEastAsia" w:eastAsiaTheme="minorEastAsia" w:cstheme="minorEastAsia"/>
          <w:b/>
          <w:bCs/>
          <w:szCs w:val="21"/>
        </w:rPr>
        <w:t>等待期</w:t>
      </w:r>
    </w:p>
    <w:p>
      <w:pPr>
        <w:keepNext w:val="0"/>
        <w:keepLines w:val="0"/>
        <w:pageBreakBefore w:val="0"/>
        <w:kinsoku/>
        <w:wordWrap/>
        <w:overflowPunct/>
        <w:topLinePunct w:val="0"/>
        <w:autoSpaceDE/>
        <w:autoSpaceDN/>
        <w:bidi w:val="0"/>
        <w:snapToGrid w:val="0"/>
        <w:spacing w:beforeAutospacing="0" w:afterAutospacing="0" w:line="360" w:lineRule="auto"/>
        <w:ind w:left="0" w:firstLine="420" w:firstLineChars="200"/>
        <w:textAlignment w:val="auto"/>
        <w:rPr>
          <w:rFonts w:ascii="宋体" w:hAnsi="宋体" w:cstheme="minorEastAsia"/>
          <w:szCs w:val="21"/>
        </w:rPr>
      </w:pPr>
      <w:r>
        <w:rPr>
          <w:rFonts w:hint="eastAsia" w:ascii="宋体" w:hAnsi="宋体" w:cstheme="minorEastAsia"/>
          <w:szCs w:val="21"/>
        </w:rPr>
        <w:t>是指自被保险人获得被保资格之日起计算的一段时间，</w:t>
      </w:r>
      <w:r>
        <w:rPr>
          <w:rFonts w:ascii="宋体" w:hAnsi="宋体" w:cstheme="minorEastAsia"/>
          <w:sz w:val="21"/>
          <w:szCs w:val="21"/>
        </w:rPr>
        <w:t>具体天数由保险人和投保人在投保时约定并在本合同上载明</w:t>
      </w:r>
      <w:r>
        <w:rPr>
          <w:rFonts w:hint="eastAsia" w:ascii="宋体" w:hAnsi="宋体" w:cstheme="minorEastAsia"/>
          <w:sz w:val="21"/>
          <w:szCs w:val="21"/>
        </w:rPr>
        <w:t>，</w:t>
      </w:r>
      <w:r>
        <w:rPr>
          <w:rFonts w:ascii="宋体" w:hAnsi="宋体" w:cstheme="minorEastAsia"/>
          <w:sz w:val="21"/>
          <w:szCs w:val="21"/>
        </w:rPr>
        <w:t>最长不超过180天。</w:t>
      </w:r>
      <w:r>
        <w:rPr>
          <w:rFonts w:hint="eastAsia" w:ascii="宋体" w:hAnsi="宋体" w:cs="宋体"/>
          <w:b/>
          <w:szCs w:val="21"/>
        </w:rPr>
        <w:t>等待期内发生疾病，无论等待期内治疗还是等待期外治疗，保险人均不承担给付保险金责任。</w:t>
      </w:r>
    </w:p>
    <w:p>
      <w:pPr>
        <w:pStyle w:val="23"/>
        <w:keepNext w:val="0"/>
        <w:keepLines w:val="0"/>
        <w:pageBreakBefore w:val="0"/>
        <w:numPr>
          <w:ilvl w:val="0"/>
          <w:numId w:val="0"/>
        </w:numPr>
        <w:kinsoku/>
        <w:wordWrap/>
        <w:overflowPunct/>
        <w:topLinePunct w:val="0"/>
        <w:autoSpaceDE/>
        <w:autoSpaceDN/>
        <w:bidi w:val="0"/>
        <w:snapToGrid w:val="0"/>
        <w:spacing w:beforeAutospacing="0" w:afterAutospacing="0" w:line="360" w:lineRule="auto"/>
        <w:ind w:leftChars="200"/>
        <w:textAlignment w:val="auto"/>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lang w:val="en-US" w:eastAsia="zh-CN"/>
        </w:rPr>
        <w:t>六、</w:t>
      </w:r>
      <w:r>
        <w:rPr>
          <w:rFonts w:hint="eastAsia" w:asciiTheme="minorEastAsia" w:hAnsiTheme="minorEastAsia" w:eastAsiaTheme="minorEastAsia" w:cstheme="minorEastAsia"/>
          <w:b/>
          <w:bCs/>
          <w:szCs w:val="21"/>
        </w:rPr>
        <w:t>专科医生</w:t>
      </w:r>
    </w:p>
    <w:p>
      <w:pPr>
        <w:keepNext w:val="0"/>
        <w:keepLines w:val="0"/>
        <w:pageBreakBefore w:val="0"/>
        <w:kinsoku/>
        <w:wordWrap/>
        <w:overflowPunct/>
        <w:topLinePunct w:val="0"/>
        <w:autoSpaceDE/>
        <w:autoSpaceDN/>
        <w:bidi w:val="0"/>
        <w:snapToGrid w:val="0"/>
        <w:spacing w:beforeAutospacing="0" w:afterAutospacing="0" w:line="360" w:lineRule="auto"/>
        <w:ind w:left="0" w:firstLine="420" w:firstLineChars="200"/>
        <w:textAlignment w:val="auto"/>
        <w:outlineLvl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专科医生应当同时满足以下四项资格条件：</w:t>
      </w:r>
    </w:p>
    <w:p>
      <w:pPr>
        <w:keepNext w:val="0"/>
        <w:keepLines w:val="0"/>
        <w:pageBreakBefore w:val="0"/>
        <w:kinsoku/>
        <w:wordWrap/>
        <w:overflowPunct/>
        <w:topLinePunct w:val="0"/>
        <w:autoSpaceDE/>
        <w:autoSpaceDN/>
        <w:bidi w:val="0"/>
        <w:snapToGrid w:val="0"/>
        <w:spacing w:beforeAutospacing="0" w:afterAutospacing="0" w:line="360" w:lineRule="auto"/>
        <w:ind w:left="0" w:firstLine="420" w:firstLineChars="200"/>
        <w:textAlignment w:val="auto"/>
        <w:outlineLvl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（1）具有有效的中华人民共和国《医师资格证书》；</w:t>
      </w:r>
    </w:p>
    <w:p>
      <w:pPr>
        <w:keepNext w:val="0"/>
        <w:keepLines w:val="0"/>
        <w:pageBreakBefore w:val="0"/>
        <w:kinsoku/>
        <w:wordWrap/>
        <w:overflowPunct/>
        <w:topLinePunct w:val="0"/>
        <w:autoSpaceDE/>
        <w:autoSpaceDN/>
        <w:bidi w:val="0"/>
        <w:snapToGrid w:val="0"/>
        <w:spacing w:beforeAutospacing="0" w:afterAutospacing="0" w:line="360" w:lineRule="auto"/>
        <w:ind w:left="0" w:firstLine="420" w:firstLineChars="200"/>
        <w:textAlignment w:val="auto"/>
        <w:outlineLvl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（2）具有有效的中华人民共和国《医师执业证书》，并按期到相关部门登记注册；</w:t>
      </w:r>
    </w:p>
    <w:p>
      <w:pPr>
        <w:keepNext w:val="0"/>
        <w:keepLines w:val="0"/>
        <w:pageBreakBefore w:val="0"/>
        <w:kinsoku/>
        <w:wordWrap/>
        <w:overflowPunct/>
        <w:topLinePunct w:val="0"/>
        <w:autoSpaceDE/>
        <w:autoSpaceDN/>
        <w:bidi w:val="0"/>
        <w:snapToGrid w:val="0"/>
        <w:spacing w:beforeAutospacing="0" w:afterAutospacing="0" w:line="360" w:lineRule="auto"/>
        <w:ind w:left="0" w:firstLine="420" w:firstLineChars="200"/>
        <w:textAlignment w:val="auto"/>
        <w:outlineLvl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（3）具有有效的中华人民共和国主治医师或主治医师以上职称的《医师职称证书》；</w:t>
      </w:r>
    </w:p>
    <w:p>
      <w:pPr>
        <w:keepNext w:val="0"/>
        <w:keepLines w:val="0"/>
        <w:pageBreakBefore w:val="0"/>
        <w:kinsoku/>
        <w:wordWrap/>
        <w:overflowPunct/>
        <w:topLinePunct w:val="0"/>
        <w:autoSpaceDE/>
        <w:autoSpaceDN/>
        <w:bidi w:val="0"/>
        <w:snapToGrid w:val="0"/>
        <w:spacing w:beforeAutospacing="0" w:afterAutospacing="0" w:line="360" w:lineRule="auto"/>
        <w:ind w:left="0" w:firstLine="420" w:firstLineChars="200"/>
        <w:textAlignment w:val="auto"/>
        <w:outlineLvl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（4）在二级或二级以上医院的相应科室从事临床工作三年以上。</w:t>
      </w:r>
    </w:p>
    <w:p>
      <w:pPr>
        <w:pStyle w:val="23"/>
        <w:keepNext w:val="0"/>
        <w:keepLines w:val="0"/>
        <w:pageBreakBefore w:val="0"/>
        <w:numPr>
          <w:ilvl w:val="0"/>
          <w:numId w:val="0"/>
        </w:numPr>
        <w:kinsoku/>
        <w:wordWrap/>
        <w:overflowPunct/>
        <w:topLinePunct w:val="0"/>
        <w:autoSpaceDE/>
        <w:autoSpaceDN/>
        <w:bidi w:val="0"/>
        <w:snapToGrid w:val="0"/>
        <w:spacing w:beforeAutospacing="0" w:afterAutospacing="0" w:line="360" w:lineRule="auto"/>
        <w:ind w:leftChars="200"/>
        <w:textAlignment w:val="auto"/>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lang w:val="en-US" w:eastAsia="zh-CN"/>
        </w:rPr>
        <w:t>七、</w:t>
      </w:r>
      <w:r>
        <w:rPr>
          <w:rFonts w:hint="eastAsia" w:asciiTheme="minorEastAsia" w:hAnsiTheme="minorEastAsia" w:eastAsiaTheme="minorEastAsia" w:cstheme="minorEastAsia"/>
          <w:b/>
          <w:bCs/>
          <w:szCs w:val="21"/>
        </w:rPr>
        <w:t>初次诊断</w:t>
      </w:r>
    </w:p>
    <w:p>
      <w:pPr>
        <w:keepNext w:val="0"/>
        <w:keepLines w:val="0"/>
        <w:pageBreakBefore w:val="0"/>
        <w:kinsoku/>
        <w:wordWrap/>
        <w:overflowPunct/>
        <w:topLinePunct w:val="0"/>
        <w:autoSpaceDE/>
        <w:autoSpaceDN/>
        <w:bidi w:val="0"/>
        <w:snapToGrid w:val="0"/>
        <w:spacing w:beforeAutospacing="0" w:afterAutospacing="0" w:line="360" w:lineRule="auto"/>
        <w:ind w:left="0" w:firstLine="420" w:firstLineChars="200"/>
        <w:textAlignment w:val="auto"/>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指自被保险人出生之日起第一次经医院的专科医生确诊患有某种疾病，</w:t>
      </w:r>
      <w:r>
        <w:rPr>
          <w:rFonts w:hint="eastAsia" w:asciiTheme="minorEastAsia" w:hAnsiTheme="minorEastAsia" w:eastAsiaTheme="minorEastAsia" w:cstheme="minorEastAsia"/>
          <w:b/>
          <w:bCs/>
          <w:szCs w:val="21"/>
        </w:rPr>
        <w:t>而不是指自本合同生效之后第一次经医院的专科医生确诊患有某种疾病。</w:t>
      </w:r>
    </w:p>
    <w:p>
      <w:pPr>
        <w:pStyle w:val="23"/>
        <w:keepNext w:val="0"/>
        <w:keepLines w:val="0"/>
        <w:pageBreakBefore w:val="0"/>
        <w:numPr>
          <w:ilvl w:val="0"/>
          <w:numId w:val="0"/>
        </w:numPr>
        <w:kinsoku/>
        <w:wordWrap/>
        <w:overflowPunct/>
        <w:topLinePunct w:val="0"/>
        <w:autoSpaceDE/>
        <w:autoSpaceDN/>
        <w:bidi w:val="0"/>
        <w:snapToGrid w:val="0"/>
        <w:spacing w:beforeAutospacing="0" w:afterAutospacing="0" w:line="360" w:lineRule="auto"/>
        <w:ind w:leftChars="200"/>
        <w:textAlignment w:val="auto"/>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lang w:val="en-US" w:eastAsia="zh-CN"/>
        </w:rPr>
        <w:t>八、</w:t>
      </w:r>
      <w:r>
        <w:rPr>
          <w:rFonts w:hint="eastAsia" w:asciiTheme="minorEastAsia" w:hAnsiTheme="minorEastAsia" w:eastAsiaTheme="minorEastAsia" w:cstheme="minorEastAsia"/>
          <w:b/>
          <w:bCs/>
          <w:szCs w:val="21"/>
        </w:rPr>
        <w:t>指定医疗机构</w:t>
      </w:r>
    </w:p>
    <w:p>
      <w:pPr>
        <w:keepNext w:val="0"/>
        <w:keepLines w:val="0"/>
        <w:pageBreakBefore w:val="0"/>
        <w:kinsoku/>
        <w:wordWrap/>
        <w:overflowPunct/>
        <w:topLinePunct w:val="0"/>
        <w:autoSpaceDE/>
        <w:autoSpaceDN/>
        <w:bidi w:val="0"/>
        <w:spacing w:beforeAutospacing="0" w:afterAutospacing="0" w:line="360" w:lineRule="auto"/>
        <w:ind w:left="0" w:firstLine="420" w:firstLineChars="200"/>
        <w:textAlignment w:val="auto"/>
        <w:rPr>
          <w:rFonts w:ascii="宋体" w:hAnsi="宋体" w:cs="宋体"/>
          <w:b/>
          <w:bCs/>
          <w:szCs w:val="21"/>
        </w:rPr>
      </w:pPr>
      <w:r>
        <w:rPr>
          <w:rFonts w:hint="eastAsia" w:ascii="宋体" w:hAnsi="宋体" w:cs="宋体"/>
          <w:szCs w:val="21"/>
        </w:rPr>
        <w:t>指经中华人民共和国卫生部门审核的</w:t>
      </w:r>
      <w:r>
        <w:rPr>
          <w:rFonts w:hint="eastAsia" w:ascii="宋体" w:hAnsi="宋体" w:cs="宋体"/>
          <w:b/>
          <w:bCs/>
          <w:szCs w:val="21"/>
        </w:rPr>
        <w:t>二级及二级以上的公立医院普通部</w:t>
      </w:r>
      <w:r>
        <w:rPr>
          <w:rFonts w:hint="eastAsia" w:ascii="宋体" w:hAnsi="宋体" w:cs="宋体"/>
          <w:szCs w:val="21"/>
        </w:rPr>
        <w:t>或保险人扩展承保的医疗机构，但不包括主要作为诊所、康复、护理、休养、静养、戒酒、戒毒等或类似的医疗机构，及保险人不予理赔的医疗机构。</w:t>
      </w:r>
      <w:r>
        <w:rPr>
          <w:rFonts w:hint="eastAsia" w:ascii="宋体" w:hAnsi="宋体" w:cs="宋体"/>
          <w:b/>
          <w:bCs/>
          <w:szCs w:val="21"/>
        </w:rPr>
        <w:t>该医院必须具有符合国家有关医院管理规则设置标准的医疗设备，且全天二十四小时有合格医师及护士驻院提供医疗及护理服务。</w:t>
      </w:r>
    </w:p>
    <w:p>
      <w:pPr>
        <w:keepNext w:val="0"/>
        <w:keepLines w:val="0"/>
        <w:pageBreakBefore w:val="0"/>
        <w:kinsoku/>
        <w:wordWrap/>
        <w:overflowPunct/>
        <w:topLinePunct w:val="0"/>
        <w:autoSpaceDE/>
        <w:autoSpaceDN/>
        <w:bidi w:val="0"/>
        <w:spacing w:beforeAutospacing="0" w:afterAutospacing="0" w:line="360" w:lineRule="auto"/>
        <w:ind w:left="0" w:firstLine="422" w:firstLineChars="200"/>
        <w:textAlignment w:val="auto"/>
        <w:rPr>
          <w:rFonts w:ascii="宋体" w:hAnsi="宋体" w:cs="宋体"/>
          <w:b/>
          <w:bCs/>
          <w:szCs w:val="21"/>
        </w:rPr>
      </w:pPr>
      <w:r>
        <w:rPr>
          <w:rFonts w:hint="eastAsia" w:ascii="宋体" w:hAnsi="宋体" w:cs="宋体"/>
          <w:b/>
          <w:bCs/>
          <w:szCs w:val="21"/>
        </w:rPr>
        <w:t>保险人扩展承保的医疗机构清单及不予理赔的医疗机构清单将在保险单中载明，保险 人保留对清单进行变更的权利，具体以保险人在官方正式渠道（包括但不限于官网、官微）</w:t>
      </w:r>
    </w:p>
    <w:p>
      <w:pPr>
        <w:keepNext w:val="0"/>
        <w:keepLines w:val="0"/>
        <w:pageBreakBefore w:val="0"/>
        <w:numPr>
          <w:ilvl w:val="255"/>
          <w:numId w:val="0"/>
        </w:numPr>
        <w:kinsoku/>
        <w:wordWrap/>
        <w:overflowPunct/>
        <w:topLinePunct w:val="0"/>
        <w:autoSpaceDE/>
        <w:autoSpaceDN/>
        <w:bidi w:val="0"/>
        <w:spacing w:beforeAutospacing="0" w:afterAutospacing="0" w:line="360" w:lineRule="auto"/>
        <w:textAlignment w:val="auto"/>
        <w:rPr>
          <w:rFonts w:hint="eastAsia" w:ascii="宋体" w:hAnsi="宋体" w:cs="宋体"/>
          <w:b/>
          <w:bCs/>
          <w:szCs w:val="21"/>
        </w:rPr>
      </w:pPr>
      <w:r>
        <w:rPr>
          <w:rFonts w:hint="eastAsia" w:ascii="宋体" w:hAnsi="宋体" w:cs="宋体"/>
          <w:b/>
          <w:bCs/>
          <w:szCs w:val="21"/>
        </w:rPr>
        <w:t>公布或通知为准。</w:t>
      </w:r>
    </w:p>
    <w:p>
      <w:pPr>
        <w:pStyle w:val="23"/>
        <w:keepNext w:val="0"/>
        <w:keepLines w:val="0"/>
        <w:pageBreakBefore w:val="0"/>
        <w:numPr>
          <w:ilvl w:val="0"/>
          <w:numId w:val="0"/>
        </w:numPr>
        <w:kinsoku/>
        <w:wordWrap/>
        <w:overflowPunct/>
        <w:topLinePunct w:val="0"/>
        <w:autoSpaceDE/>
        <w:autoSpaceDN/>
        <w:bidi w:val="0"/>
        <w:snapToGrid w:val="0"/>
        <w:spacing w:beforeAutospacing="0" w:afterAutospacing="0" w:line="360" w:lineRule="auto"/>
        <w:ind w:leftChars="200"/>
        <w:textAlignment w:val="auto"/>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lang w:val="en-US" w:eastAsia="zh-CN"/>
        </w:rPr>
        <w:t>九、</w:t>
      </w:r>
      <w:r>
        <w:rPr>
          <w:rFonts w:hint="eastAsia" w:asciiTheme="minorEastAsia" w:hAnsiTheme="minorEastAsia" w:eastAsiaTheme="minorEastAsia" w:cstheme="minorEastAsia"/>
          <w:b/>
          <w:bCs/>
          <w:szCs w:val="21"/>
        </w:rPr>
        <w:t>住院</w:t>
      </w:r>
    </w:p>
    <w:p>
      <w:pPr>
        <w:keepNext w:val="0"/>
        <w:keepLines w:val="0"/>
        <w:pageBreakBefore w:val="0"/>
        <w:kinsoku/>
        <w:wordWrap/>
        <w:overflowPunct/>
        <w:topLinePunct w:val="0"/>
        <w:autoSpaceDE/>
        <w:autoSpaceDN/>
        <w:bidi w:val="0"/>
        <w:snapToGrid w:val="0"/>
        <w:spacing w:beforeAutospacing="0" w:afterAutospacing="0" w:line="360" w:lineRule="auto"/>
        <w:ind w:left="0" w:firstLine="420" w:firstLineChars="200"/>
        <w:textAlignment w:val="auto"/>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是指被保险人因疾病而入住医院之正式病房接受全日24小时监护治疗的过程，并正式办理入出院手续。</w:t>
      </w:r>
      <w:r>
        <w:rPr>
          <w:rFonts w:hint="eastAsia" w:asciiTheme="minorEastAsia" w:hAnsiTheme="minorEastAsia" w:eastAsiaTheme="minorEastAsia" w:cstheme="minorEastAsia"/>
          <w:b/>
          <w:bCs/>
          <w:szCs w:val="21"/>
        </w:rPr>
        <w:t>但不包括下列情况：</w:t>
      </w:r>
    </w:p>
    <w:p>
      <w:pPr>
        <w:keepNext w:val="0"/>
        <w:keepLines w:val="0"/>
        <w:pageBreakBefore w:val="0"/>
        <w:numPr>
          <w:ilvl w:val="0"/>
          <w:numId w:val="4"/>
        </w:numPr>
        <w:kinsoku/>
        <w:wordWrap/>
        <w:overflowPunct/>
        <w:topLinePunct w:val="0"/>
        <w:autoSpaceDE/>
        <w:autoSpaceDN/>
        <w:bidi w:val="0"/>
        <w:snapToGrid w:val="0"/>
        <w:spacing w:beforeAutospacing="0" w:afterAutospacing="0" w:line="360" w:lineRule="auto"/>
        <w:ind w:left="0" w:firstLine="422" w:firstLineChars="200"/>
        <w:textAlignment w:val="auto"/>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被保险人在医院的（门）急诊观察室、家庭病床（房）入住；</w:t>
      </w:r>
    </w:p>
    <w:p>
      <w:pPr>
        <w:keepNext w:val="0"/>
        <w:keepLines w:val="0"/>
        <w:pageBreakBefore w:val="0"/>
        <w:numPr>
          <w:ilvl w:val="0"/>
          <w:numId w:val="4"/>
        </w:numPr>
        <w:kinsoku/>
        <w:wordWrap/>
        <w:overflowPunct/>
        <w:topLinePunct w:val="0"/>
        <w:autoSpaceDE/>
        <w:autoSpaceDN/>
        <w:bidi w:val="0"/>
        <w:snapToGrid w:val="0"/>
        <w:spacing w:beforeAutospacing="0" w:afterAutospacing="0" w:line="360" w:lineRule="auto"/>
        <w:ind w:left="0" w:firstLine="422" w:firstLineChars="200"/>
        <w:textAlignment w:val="auto"/>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被保险人在特需病房、外宾病房或其他不属于基本医疗保险范畴的高等级病房入住；</w:t>
      </w:r>
    </w:p>
    <w:p>
      <w:pPr>
        <w:keepNext w:val="0"/>
        <w:keepLines w:val="0"/>
        <w:pageBreakBefore w:val="0"/>
        <w:numPr>
          <w:ilvl w:val="0"/>
          <w:numId w:val="4"/>
        </w:numPr>
        <w:kinsoku/>
        <w:wordWrap/>
        <w:overflowPunct/>
        <w:topLinePunct w:val="0"/>
        <w:autoSpaceDE/>
        <w:autoSpaceDN/>
        <w:bidi w:val="0"/>
        <w:snapToGrid w:val="0"/>
        <w:spacing w:beforeAutospacing="0" w:afterAutospacing="0" w:line="360" w:lineRule="auto"/>
        <w:ind w:left="0" w:firstLine="422" w:firstLineChars="200"/>
        <w:textAlignment w:val="auto"/>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被保险人入住康复科、康复病床或接受康复治疗；</w:t>
      </w:r>
    </w:p>
    <w:p>
      <w:pPr>
        <w:keepNext w:val="0"/>
        <w:keepLines w:val="0"/>
        <w:pageBreakBefore w:val="0"/>
        <w:numPr>
          <w:ilvl w:val="0"/>
          <w:numId w:val="4"/>
        </w:numPr>
        <w:kinsoku/>
        <w:wordWrap/>
        <w:overflowPunct/>
        <w:topLinePunct w:val="0"/>
        <w:autoSpaceDE/>
        <w:autoSpaceDN/>
        <w:bidi w:val="0"/>
        <w:snapToGrid w:val="0"/>
        <w:spacing w:beforeAutospacing="0" w:afterAutospacing="0" w:line="360" w:lineRule="auto"/>
        <w:ind w:left="0" w:firstLine="422" w:firstLineChars="200"/>
        <w:textAlignment w:val="auto"/>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被保险人住院期间一天内未接受与入院诊断相关的检查和治疗，或一天内住院不满二十四小时；但遵医嘱到外院接受临时治疗的除外；</w:t>
      </w:r>
    </w:p>
    <w:p>
      <w:pPr>
        <w:keepNext w:val="0"/>
        <w:keepLines w:val="0"/>
        <w:pageBreakBefore w:val="0"/>
        <w:numPr>
          <w:ilvl w:val="0"/>
          <w:numId w:val="4"/>
        </w:numPr>
        <w:kinsoku/>
        <w:wordWrap/>
        <w:overflowPunct/>
        <w:topLinePunct w:val="0"/>
        <w:autoSpaceDE/>
        <w:autoSpaceDN/>
        <w:bidi w:val="0"/>
        <w:snapToGrid w:val="0"/>
        <w:spacing w:beforeAutospacing="0" w:afterAutospacing="0" w:line="360" w:lineRule="auto"/>
        <w:ind w:left="0" w:firstLine="422" w:firstLineChars="200"/>
        <w:textAlignment w:val="auto"/>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被保险人住院体检；</w:t>
      </w:r>
    </w:p>
    <w:p>
      <w:pPr>
        <w:keepNext w:val="0"/>
        <w:keepLines w:val="0"/>
        <w:pageBreakBefore w:val="0"/>
        <w:numPr>
          <w:ilvl w:val="-1"/>
          <w:numId w:val="0"/>
        </w:numPr>
        <w:kinsoku/>
        <w:wordWrap/>
        <w:overflowPunct/>
        <w:topLinePunct w:val="0"/>
        <w:autoSpaceDE/>
        <w:autoSpaceDN/>
        <w:bidi w:val="0"/>
        <w:snapToGrid w:val="0"/>
        <w:spacing w:beforeAutospacing="0" w:afterAutospacing="0" w:line="360" w:lineRule="auto"/>
        <w:ind w:left="0" w:firstLine="422" w:firstLineChars="200"/>
        <w:textAlignment w:val="auto"/>
        <w:outlineLvl w:val="0"/>
        <w:rPr>
          <w:rFonts w:hint="eastAsia" w:ascii="宋体" w:hAnsi="宋体" w:cs="宋体"/>
          <w:b/>
          <w:bCs/>
          <w:szCs w:val="21"/>
        </w:rPr>
      </w:pPr>
      <w:r>
        <w:rPr>
          <w:rFonts w:hint="eastAsia" w:asciiTheme="minorEastAsia" w:hAnsiTheme="minorEastAsia" w:eastAsiaTheme="minorEastAsia" w:cstheme="minorEastAsia"/>
          <w:b/>
          <w:bCs/>
          <w:szCs w:val="21"/>
        </w:rPr>
        <w:t>挂床住院及其他不合理的住院。挂床住院指办理正式住院手续的被保险人，在住院期间每日非24小时在床、在院。具体表现包括在住院期间连续若干日无任何治疗，只发生护理费、诊疗费、床位费等情况。</w:t>
      </w:r>
    </w:p>
    <w:p>
      <w:pPr>
        <w:pStyle w:val="23"/>
        <w:keepNext w:val="0"/>
        <w:keepLines w:val="0"/>
        <w:pageBreakBefore w:val="0"/>
        <w:numPr>
          <w:ilvl w:val="0"/>
          <w:numId w:val="0"/>
        </w:numPr>
        <w:kinsoku/>
        <w:wordWrap/>
        <w:overflowPunct/>
        <w:topLinePunct w:val="0"/>
        <w:autoSpaceDE/>
        <w:autoSpaceDN/>
        <w:bidi w:val="0"/>
        <w:snapToGrid w:val="0"/>
        <w:spacing w:beforeAutospacing="0" w:afterAutospacing="0" w:line="360" w:lineRule="auto"/>
        <w:ind w:leftChars="200"/>
        <w:textAlignment w:val="auto"/>
        <w:outlineLvl w:val="0"/>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lang w:val="en-US" w:eastAsia="zh-CN"/>
        </w:rPr>
        <w:t>十、</w:t>
      </w:r>
      <w:r>
        <w:rPr>
          <w:rFonts w:hint="eastAsia" w:asciiTheme="minorEastAsia" w:hAnsiTheme="minorEastAsia" w:eastAsiaTheme="minorEastAsia" w:cstheme="minorEastAsia"/>
          <w:b/>
          <w:bCs/>
          <w:szCs w:val="21"/>
        </w:rPr>
        <w:t>必需且合理</w:t>
      </w:r>
    </w:p>
    <w:p>
      <w:pPr>
        <w:keepNext w:val="0"/>
        <w:keepLines w:val="0"/>
        <w:pageBreakBefore w:val="0"/>
        <w:kinsoku/>
        <w:wordWrap/>
        <w:overflowPunct/>
        <w:topLinePunct w:val="0"/>
        <w:autoSpaceDE/>
        <w:autoSpaceDN/>
        <w:bidi w:val="0"/>
        <w:snapToGrid w:val="0"/>
        <w:spacing w:beforeAutospacing="0" w:afterAutospacing="0" w:line="360" w:lineRule="auto"/>
        <w:ind w:left="0" w:firstLine="422" w:firstLineChars="200"/>
        <w:textAlignment w:val="auto"/>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1.符合通常惯例：指与接受医疗服务所在地通行治疗规范、通行治疗方法、平均医疗费用价格水平一致的费用。</w:t>
      </w:r>
    </w:p>
    <w:p>
      <w:pPr>
        <w:keepNext w:val="0"/>
        <w:keepLines w:val="0"/>
        <w:pageBreakBefore w:val="0"/>
        <w:kinsoku/>
        <w:wordWrap/>
        <w:overflowPunct/>
        <w:topLinePunct w:val="0"/>
        <w:autoSpaceDE/>
        <w:autoSpaceDN/>
        <w:bidi w:val="0"/>
        <w:snapToGrid w:val="0"/>
        <w:spacing w:beforeAutospacing="0" w:afterAutospacing="0" w:line="360" w:lineRule="auto"/>
        <w:ind w:left="0" w:firstLine="420" w:firstLineChars="200"/>
        <w:textAlignment w:val="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对是否符合通常惯例由保险人根据客观、审慎、合理的原则进行审核；如果被保险人对审核结果有不同意见，可由双方认同的权威医学机构或者权威医学专家进行审核鉴定。</w:t>
      </w:r>
    </w:p>
    <w:p>
      <w:pPr>
        <w:keepNext w:val="0"/>
        <w:keepLines w:val="0"/>
        <w:pageBreakBefore w:val="0"/>
        <w:numPr>
          <w:ilvl w:val="0"/>
          <w:numId w:val="5"/>
        </w:numPr>
        <w:kinsoku/>
        <w:wordWrap/>
        <w:overflowPunct/>
        <w:topLinePunct w:val="0"/>
        <w:autoSpaceDE/>
        <w:autoSpaceDN/>
        <w:bidi w:val="0"/>
        <w:snapToGrid w:val="0"/>
        <w:spacing w:beforeAutospacing="0" w:afterAutospacing="0" w:line="360" w:lineRule="auto"/>
        <w:ind w:left="0" w:firstLine="422" w:firstLineChars="200"/>
        <w:textAlignment w:val="auto"/>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医学必需：指医疗费用符合下列所有条件：</w:t>
      </w:r>
    </w:p>
    <w:p>
      <w:pPr>
        <w:keepNext w:val="0"/>
        <w:keepLines w:val="0"/>
        <w:pageBreakBefore w:val="0"/>
        <w:kinsoku/>
        <w:wordWrap/>
        <w:overflowPunct/>
        <w:topLinePunct w:val="0"/>
        <w:autoSpaceDE/>
        <w:autoSpaceDN/>
        <w:bidi w:val="0"/>
        <w:snapToGrid w:val="0"/>
        <w:spacing w:beforeAutospacing="0" w:afterAutospacing="0" w:line="360" w:lineRule="auto"/>
        <w:ind w:left="0" w:firstLine="420" w:firstLineChars="200"/>
        <w:textAlignment w:val="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（1）治疗意外伤害或者疾病所必需的项目；</w:t>
      </w:r>
    </w:p>
    <w:p>
      <w:pPr>
        <w:keepNext w:val="0"/>
        <w:keepLines w:val="0"/>
        <w:pageBreakBefore w:val="0"/>
        <w:kinsoku/>
        <w:wordWrap/>
        <w:overflowPunct/>
        <w:topLinePunct w:val="0"/>
        <w:autoSpaceDE/>
        <w:autoSpaceDN/>
        <w:bidi w:val="0"/>
        <w:snapToGrid w:val="0"/>
        <w:spacing w:beforeAutospacing="0" w:afterAutospacing="0" w:line="360" w:lineRule="auto"/>
        <w:ind w:left="0" w:firstLine="420" w:firstLineChars="200"/>
        <w:textAlignment w:val="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（2）不超过安全、足量治疗原则的项目；</w:t>
      </w:r>
    </w:p>
    <w:p>
      <w:pPr>
        <w:keepNext w:val="0"/>
        <w:keepLines w:val="0"/>
        <w:pageBreakBefore w:val="0"/>
        <w:kinsoku/>
        <w:wordWrap/>
        <w:overflowPunct/>
        <w:topLinePunct w:val="0"/>
        <w:autoSpaceDE/>
        <w:autoSpaceDN/>
        <w:bidi w:val="0"/>
        <w:snapToGrid w:val="0"/>
        <w:spacing w:beforeAutospacing="0" w:afterAutospacing="0" w:line="360" w:lineRule="auto"/>
        <w:ind w:left="0" w:firstLine="420" w:firstLineChars="200"/>
        <w:textAlignment w:val="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（3）由医生开具的处方药；</w:t>
      </w:r>
    </w:p>
    <w:p>
      <w:pPr>
        <w:keepNext w:val="0"/>
        <w:keepLines w:val="0"/>
        <w:pageBreakBefore w:val="0"/>
        <w:kinsoku/>
        <w:wordWrap/>
        <w:overflowPunct/>
        <w:topLinePunct w:val="0"/>
        <w:autoSpaceDE/>
        <w:autoSpaceDN/>
        <w:bidi w:val="0"/>
        <w:snapToGrid w:val="0"/>
        <w:spacing w:beforeAutospacing="0" w:afterAutospacing="0" w:line="360" w:lineRule="auto"/>
        <w:ind w:left="0" w:firstLine="420" w:firstLineChars="200"/>
        <w:textAlignment w:val="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（4）非试验性的、非研究性的项目；</w:t>
      </w:r>
    </w:p>
    <w:p>
      <w:pPr>
        <w:keepNext w:val="0"/>
        <w:keepLines w:val="0"/>
        <w:pageBreakBefore w:val="0"/>
        <w:kinsoku/>
        <w:wordWrap/>
        <w:overflowPunct/>
        <w:topLinePunct w:val="0"/>
        <w:autoSpaceDE/>
        <w:autoSpaceDN/>
        <w:bidi w:val="0"/>
        <w:snapToGrid w:val="0"/>
        <w:spacing w:beforeAutospacing="0" w:afterAutospacing="0" w:line="360" w:lineRule="auto"/>
        <w:ind w:left="0" w:firstLine="420" w:firstLineChars="200"/>
        <w:textAlignment w:val="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（5）与接受治疗当地普遍接受的医疗专业实践标准一致的项目。</w:t>
      </w:r>
    </w:p>
    <w:p>
      <w:pPr>
        <w:keepNext w:val="0"/>
        <w:keepLines w:val="0"/>
        <w:pageBreakBefore w:val="0"/>
        <w:kinsoku/>
        <w:wordWrap/>
        <w:overflowPunct/>
        <w:topLinePunct w:val="0"/>
        <w:autoSpaceDE/>
        <w:autoSpaceDN/>
        <w:bidi w:val="0"/>
        <w:snapToGrid w:val="0"/>
        <w:spacing w:beforeAutospacing="0" w:afterAutospacing="0" w:line="360" w:lineRule="auto"/>
        <w:ind w:left="0" w:firstLine="420" w:firstLineChars="200"/>
        <w:textAlignment w:val="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对是否医学必需由保险人根据客观、审慎、合理的原则进行审核；如果被保险人对审核结果有不同意见，可由双方认同的权威医学机构或者权威医学专家进行审核鉴定。</w:t>
      </w:r>
    </w:p>
    <w:p>
      <w:pPr>
        <w:pStyle w:val="23"/>
        <w:keepNext w:val="0"/>
        <w:keepLines w:val="0"/>
        <w:pageBreakBefore w:val="0"/>
        <w:numPr>
          <w:ilvl w:val="255"/>
          <w:numId w:val="0"/>
        </w:numPr>
        <w:kinsoku/>
        <w:wordWrap/>
        <w:overflowPunct/>
        <w:topLinePunct w:val="0"/>
        <w:autoSpaceDE/>
        <w:autoSpaceDN/>
        <w:bidi w:val="0"/>
        <w:snapToGrid w:val="0"/>
        <w:spacing w:beforeAutospacing="0" w:afterAutospacing="0" w:line="360" w:lineRule="auto"/>
        <w:ind w:left="0" w:firstLine="422" w:firstLineChars="200"/>
        <w:textAlignment w:val="auto"/>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十一、住院医疗费用</w:t>
      </w:r>
    </w:p>
    <w:p>
      <w:pPr>
        <w:keepNext w:val="0"/>
        <w:keepLines w:val="0"/>
        <w:pageBreakBefore w:val="0"/>
        <w:kinsoku/>
        <w:wordWrap/>
        <w:overflowPunct/>
        <w:topLinePunct w:val="0"/>
        <w:autoSpaceDE/>
        <w:autoSpaceDN/>
        <w:bidi w:val="0"/>
        <w:snapToGrid w:val="0"/>
        <w:spacing w:beforeAutospacing="0" w:afterAutospacing="0" w:line="360" w:lineRule="auto"/>
        <w:ind w:left="0" w:firstLine="420" w:firstLineChars="200"/>
        <w:textAlignment w:val="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除另有约定外，住院医疗费用是指被保险人接受住院治疗期间支付的必需且合理的、符合本合同签发地政府颁布的社会基本医疗保险报销范围的项目，包括但不限于床位费、重症监护室床位费、检查检验费、治疗费、药品费、医生费、手术费、护理费、救护车使用费、膳食费、陪床费、中医治疗费用等费用类型。</w:t>
      </w:r>
    </w:p>
    <w:p>
      <w:pPr>
        <w:pStyle w:val="23"/>
        <w:keepNext w:val="0"/>
        <w:keepLines w:val="0"/>
        <w:pageBreakBefore w:val="0"/>
        <w:numPr>
          <w:ilvl w:val="255"/>
          <w:numId w:val="0"/>
        </w:numPr>
        <w:kinsoku/>
        <w:wordWrap/>
        <w:overflowPunct/>
        <w:topLinePunct w:val="0"/>
        <w:autoSpaceDE/>
        <w:autoSpaceDN/>
        <w:bidi w:val="0"/>
        <w:snapToGrid w:val="0"/>
        <w:spacing w:beforeAutospacing="0" w:afterAutospacing="0" w:line="360" w:lineRule="auto"/>
        <w:ind w:left="0" w:firstLine="422" w:firstLineChars="200"/>
        <w:textAlignment w:val="auto"/>
        <w:outlineLvl w:val="0"/>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十二、住院前后门诊/急诊医疗费用</w:t>
      </w:r>
    </w:p>
    <w:p>
      <w:pPr>
        <w:keepNext w:val="0"/>
        <w:keepLines w:val="0"/>
        <w:pageBreakBefore w:val="0"/>
        <w:numPr>
          <w:ilvl w:val="255"/>
          <w:numId w:val="0"/>
        </w:numPr>
        <w:kinsoku/>
        <w:wordWrap/>
        <w:overflowPunct/>
        <w:topLinePunct w:val="0"/>
        <w:autoSpaceDE/>
        <w:autoSpaceDN/>
        <w:bidi w:val="0"/>
        <w:snapToGrid w:val="0"/>
        <w:spacing w:beforeAutospacing="0" w:afterAutospacing="0" w:line="360" w:lineRule="auto"/>
        <w:ind w:left="0" w:firstLine="420" w:firstLineChars="200"/>
        <w:textAlignment w:val="auto"/>
        <w:outlineLvl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指被保险人住院治疗前（含住院当日）7日（含）和出院后（含出院当日）7日（含）内，因与本次住院相同病因接受门诊/急诊治疗的，应当由被保险人支付的必需且合理的门急诊医疗费用。</w:t>
      </w:r>
    </w:p>
    <w:p>
      <w:pPr>
        <w:pStyle w:val="7"/>
        <w:keepNext w:val="0"/>
        <w:keepLines w:val="0"/>
        <w:pageBreakBefore w:val="0"/>
        <w:widowControl/>
        <w:numPr>
          <w:ilvl w:val="255"/>
          <w:numId w:val="0"/>
        </w:numPr>
        <w:kinsoku/>
        <w:wordWrap/>
        <w:overflowPunct/>
        <w:topLinePunct w:val="0"/>
        <w:autoSpaceDE/>
        <w:autoSpaceDN/>
        <w:bidi w:val="0"/>
        <w:adjustRightInd w:val="0"/>
        <w:snapToGrid w:val="0"/>
        <w:spacing w:before="0" w:beforeAutospacing="0" w:after="0" w:afterAutospacing="0" w:line="360" w:lineRule="auto"/>
        <w:ind w:left="0" w:firstLine="422" w:firstLineChars="200"/>
        <w:textAlignment w:val="auto"/>
        <w:rPr>
          <w:rFonts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十三、基本医疗保险</w:t>
      </w:r>
    </w:p>
    <w:p>
      <w:pPr>
        <w:keepNext w:val="0"/>
        <w:keepLines w:val="0"/>
        <w:pageBreakBefore w:val="0"/>
        <w:kinsoku/>
        <w:wordWrap/>
        <w:overflowPunct/>
        <w:topLinePunct w:val="0"/>
        <w:autoSpaceDE/>
        <w:autoSpaceDN/>
        <w:bidi w:val="0"/>
        <w:spacing w:beforeAutospacing="0" w:afterAutospacing="0" w:line="360" w:lineRule="auto"/>
        <w:ind w:left="0" w:firstLine="420" w:firstLineChars="200"/>
        <w:textAlignment w:val="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指城镇职工基本医疗保险、城镇/乡居民基本医疗保险、新型农村合作医疗等政府举办的基本医疗保险保障项目。</w:t>
      </w:r>
    </w:p>
    <w:p>
      <w:pPr>
        <w:pStyle w:val="23"/>
        <w:keepNext w:val="0"/>
        <w:keepLines w:val="0"/>
        <w:pageBreakBefore w:val="0"/>
        <w:numPr>
          <w:ilvl w:val="255"/>
          <w:numId w:val="0"/>
        </w:numPr>
        <w:kinsoku/>
        <w:wordWrap/>
        <w:overflowPunct/>
        <w:topLinePunct w:val="0"/>
        <w:autoSpaceDE/>
        <w:autoSpaceDN/>
        <w:bidi w:val="0"/>
        <w:spacing w:beforeAutospacing="0" w:afterAutospacing="0" w:line="360" w:lineRule="auto"/>
        <w:ind w:left="0" w:firstLine="422" w:firstLineChars="200"/>
        <w:textAlignment w:val="auto"/>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十四、意外伤害</w:t>
      </w:r>
    </w:p>
    <w:p>
      <w:pPr>
        <w:keepNext w:val="0"/>
        <w:keepLines w:val="0"/>
        <w:pageBreakBefore w:val="0"/>
        <w:kinsoku/>
        <w:wordWrap/>
        <w:overflowPunct/>
        <w:topLinePunct w:val="0"/>
        <w:autoSpaceDE/>
        <w:autoSpaceDN/>
        <w:bidi w:val="0"/>
        <w:spacing w:beforeAutospacing="0" w:afterAutospacing="0" w:line="360" w:lineRule="auto"/>
        <w:ind w:left="0" w:firstLine="420" w:firstLineChars="200"/>
        <w:textAlignment w:val="auto"/>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指以外来的、突发的、非本意的和非疾病的客观事件为直接原因致使身体受到的伤害。</w:t>
      </w:r>
      <w:r>
        <w:rPr>
          <w:rFonts w:hint="eastAsia" w:asciiTheme="minorEastAsia" w:hAnsiTheme="minorEastAsia" w:eastAsiaTheme="minorEastAsia" w:cstheme="minorEastAsia"/>
          <w:b/>
          <w:bCs/>
          <w:szCs w:val="21"/>
        </w:rPr>
        <w:t>自然死亡、疾病身故、猝死、自杀以及自伤均不属于意外伤害。</w:t>
      </w:r>
    </w:p>
    <w:p>
      <w:pPr>
        <w:pStyle w:val="23"/>
        <w:keepNext w:val="0"/>
        <w:keepLines w:val="0"/>
        <w:pageBreakBefore w:val="0"/>
        <w:numPr>
          <w:ilvl w:val="255"/>
          <w:numId w:val="0"/>
        </w:numPr>
        <w:kinsoku/>
        <w:wordWrap/>
        <w:overflowPunct/>
        <w:topLinePunct w:val="0"/>
        <w:autoSpaceDE/>
        <w:autoSpaceDN/>
        <w:bidi w:val="0"/>
        <w:spacing w:beforeAutospacing="0" w:afterAutospacing="0" w:line="360" w:lineRule="auto"/>
        <w:ind w:left="0" w:firstLine="422" w:firstLineChars="200"/>
        <w:textAlignment w:val="auto"/>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十五、既往症</w:t>
      </w:r>
    </w:p>
    <w:p>
      <w:pPr>
        <w:keepNext w:val="0"/>
        <w:keepLines w:val="0"/>
        <w:pageBreakBefore w:val="0"/>
        <w:kinsoku/>
        <w:wordWrap/>
        <w:overflowPunct/>
        <w:topLinePunct w:val="0"/>
        <w:autoSpaceDE/>
        <w:autoSpaceDN/>
        <w:bidi w:val="0"/>
        <w:spacing w:beforeAutospacing="0" w:afterAutospacing="0" w:line="360" w:lineRule="auto"/>
        <w:ind w:left="0" w:firstLine="420" w:firstLineChars="200"/>
        <w:textAlignment w:val="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指在本合同生效前罹患的被保险人已知或应该知道的有关疾病。通常有以下情况：</w:t>
      </w:r>
    </w:p>
    <w:p>
      <w:pPr>
        <w:keepNext w:val="0"/>
        <w:keepLines w:val="0"/>
        <w:pageBreakBefore w:val="0"/>
        <w:numPr>
          <w:ilvl w:val="0"/>
          <w:numId w:val="6"/>
        </w:numPr>
        <w:kinsoku/>
        <w:wordWrap/>
        <w:overflowPunct/>
        <w:topLinePunct w:val="0"/>
        <w:autoSpaceDE/>
        <w:autoSpaceDN/>
        <w:bidi w:val="0"/>
        <w:spacing w:beforeAutospacing="0" w:afterAutospacing="0" w:line="360" w:lineRule="auto"/>
        <w:ind w:left="0" w:firstLine="420" w:firstLineChars="200"/>
        <w:textAlignment w:val="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本合同生效前，医生已有明确诊断，长期治疗未间断；</w:t>
      </w:r>
    </w:p>
    <w:p>
      <w:pPr>
        <w:keepNext w:val="0"/>
        <w:keepLines w:val="0"/>
        <w:pageBreakBefore w:val="0"/>
        <w:numPr>
          <w:ilvl w:val="0"/>
          <w:numId w:val="6"/>
        </w:numPr>
        <w:kinsoku/>
        <w:wordWrap/>
        <w:overflowPunct/>
        <w:topLinePunct w:val="0"/>
        <w:autoSpaceDE/>
        <w:autoSpaceDN/>
        <w:bidi w:val="0"/>
        <w:spacing w:beforeAutospacing="0" w:afterAutospacing="0" w:line="360" w:lineRule="auto"/>
        <w:ind w:left="0" w:firstLine="420" w:firstLineChars="200"/>
        <w:textAlignment w:val="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本合同生效前，医生已有明确诊断，治疗后症状未完全消失，有间断用药情况；</w:t>
      </w:r>
    </w:p>
    <w:p>
      <w:pPr>
        <w:keepNext w:val="0"/>
        <w:keepLines w:val="0"/>
        <w:pageBreakBefore w:val="0"/>
        <w:numPr>
          <w:ilvl w:val="0"/>
          <w:numId w:val="6"/>
        </w:numPr>
        <w:kinsoku/>
        <w:wordWrap/>
        <w:overflowPunct/>
        <w:topLinePunct w:val="0"/>
        <w:autoSpaceDE/>
        <w:autoSpaceDN/>
        <w:bidi w:val="0"/>
        <w:spacing w:beforeAutospacing="0" w:afterAutospacing="0" w:line="360" w:lineRule="auto"/>
        <w:ind w:left="0" w:firstLine="420" w:firstLineChars="200"/>
        <w:textAlignment w:val="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本合同生效前，</w:t>
      </w:r>
      <w:r>
        <w:rPr>
          <w:rFonts w:hint="eastAsia" w:hAnsi="宋体"/>
        </w:rPr>
        <w:t>医生已有明确诊断，但未予治疗。</w:t>
      </w:r>
    </w:p>
    <w:p>
      <w:pPr>
        <w:keepNext w:val="0"/>
        <w:keepLines w:val="0"/>
        <w:pageBreakBefore w:val="0"/>
        <w:numPr>
          <w:ilvl w:val="255"/>
          <w:numId w:val="0"/>
        </w:numPr>
        <w:kinsoku/>
        <w:wordWrap/>
        <w:overflowPunct/>
        <w:topLinePunct w:val="0"/>
        <w:autoSpaceDE/>
        <w:autoSpaceDN/>
        <w:bidi w:val="0"/>
        <w:spacing w:beforeAutospacing="0" w:afterAutospacing="0" w:line="360" w:lineRule="auto"/>
        <w:ind w:left="0" w:firstLine="422" w:firstLineChars="200"/>
        <w:textAlignment w:val="auto"/>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投保人在投保时告知保险人，经保险人审核同意并在保险单中单独载明不属于既往症的疾病或病症，不属于本合同约定的既往症。</w:t>
      </w:r>
    </w:p>
    <w:p>
      <w:pPr>
        <w:pStyle w:val="23"/>
        <w:keepNext w:val="0"/>
        <w:keepLines w:val="0"/>
        <w:pageBreakBefore w:val="0"/>
        <w:numPr>
          <w:ilvl w:val="255"/>
          <w:numId w:val="0"/>
        </w:numPr>
        <w:kinsoku/>
        <w:wordWrap/>
        <w:overflowPunct/>
        <w:topLinePunct w:val="0"/>
        <w:autoSpaceDE/>
        <w:autoSpaceDN/>
        <w:bidi w:val="0"/>
        <w:spacing w:beforeAutospacing="0" w:afterAutospacing="0" w:line="360" w:lineRule="auto"/>
        <w:ind w:left="0" w:firstLine="422" w:firstLineChars="200"/>
        <w:textAlignment w:val="auto"/>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十六、医疗事故</w:t>
      </w:r>
    </w:p>
    <w:p>
      <w:pPr>
        <w:keepNext w:val="0"/>
        <w:keepLines w:val="0"/>
        <w:pageBreakBefore w:val="0"/>
        <w:kinsoku/>
        <w:wordWrap/>
        <w:overflowPunct/>
        <w:topLinePunct w:val="0"/>
        <w:autoSpaceDE/>
        <w:autoSpaceDN/>
        <w:bidi w:val="0"/>
        <w:snapToGrid w:val="0"/>
        <w:spacing w:beforeAutospacing="0" w:afterAutospacing="0" w:line="360" w:lineRule="auto"/>
        <w:ind w:left="0" w:firstLine="420" w:firstLineChars="200"/>
        <w:textAlignment w:val="auto"/>
        <w:outlineLvl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构及其医务人员在医疗活动中，违反医疗卫生管理法律、行政法规、部门规章和诊疗护理规范及常规，过失造成患者人身损害的事故。</w:t>
      </w:r>
    </w:p>
    <w:p>
      <w:pPr>
        <w:pStyle w:val="23"/>
        <w:keepNext w:val="0"/>
        <w:keepLines w:val="0"/>
        <w:pageBreakBefore w:val="0"/>
        <w:numPr>
          <w:ilvl w:val="255"/>
          <w:numId w:val="0"/>
        </w:numPr>
        <w:kinsoku/>
        <w:wordWrap/>
        <w:overflowPunct/>
        <w:topLinePunct w:val="0"/>
        <w:autoSpaceDE/>
        <w:autoSpaceDN/>
        <w:bidi w:val="0"/>
        <w:snapToGrid w:val="0"/>
        <w:spacing w:beforeAutospacing="0" w:afterAutospacing="0" w:line="360" w:lineRule="auto"/>
        <w:ind w:left="0" w:firstLine="422" w:firstLineChars="200"/>
        <w:textAlignment w:val="auto"/>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十七、挂床住院</w:t>
      </w:r>
    </w:p>
    <w:p>
      <w:pPr>
        <w:keepNext w:val="0"/>
        <w:keepLines w:val="0"/>
        <w:pageBreakBefore w:val="0"/>
        <w:kinsoku/>
        <w:wordWrap/>
        <w:overflowPunct/>
        <w:topLinePunct w:val="0"/>
        <w:autoSpaceDE/>
        <w:autoSpaceDN/>
        <w:bidi w:val="0"/>
        <w:snapToGrid w:val="0"/>
        <w:spacing w:beforeAutospacing="0" w:afterAutospacing="0" w:line="360" w:lineRule="auto"/>
        <w:ind w:left="0" w:firstLine="420" w:firstLineChars="200"/>
        <w:textAlignment w:val="auto"/>
        <w:outlineLvl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挂床住院指办理正式住院手续的被保险人，在住院期间每日非24小时在床、在院，包括在住院期间连续若干日无任何治疗，只发生护理费、诊疗费、床位费的情况。</w:t>
      </w:r>
    </w:p>
    <w:p>
      <w:pPr>
        <w:pStyle w:val="23"/>
        <w:keepNext w:val="0"/>
        <w:keepLines w:val="0"/>
        <w:pageBreakBefore w:val="0"/>
        <w:numPr>
          <w:ilvl w:val="255"/>
          <w:numId w:val="0"/>
        </w:numPr>
        <w:kinsoku/>
        <w:wordWrap/>
        <w:overflowPunct/>
        <w:topLinePunct w:val="0"/>
        <w:autoSpaceDE/>
        <w:autoSpaceDN/>
        <w:bidi w:val="0"/>
        <w:spacing w:beforeAutospacing="0" w:afterAutospacing="0" w:line="360" w:lineRule="auto"/>
        <w:ind w:left="0" w:firstLine="422" w:firstLineChars="200"/>
        <w:textAlignment w:val="auto"/>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十八、保险金申请人</w:t>
      </w:r>
    </w:p>
    <w:p>
      <w:pPr>
        <w:keepNext w:val="0"/>
        <w:keepLines w:val="0"/>
        <w:pageBreakBefore w:val="0"/>
        <w:kinsoku/>
        <w:wordWrap/>
        <w:overflowPunct/>
        <w:topLinePunct w:val="0"/>
        <w:autoSpaceDE/>
        <w:autoSpaceDN/>
        <w:bidi w:val="0"/>
        <w:spacing w:beforeAutospacing="0" w:afterAutospacing="0" w:line="360" w:lineRule="auto"/>
        <w:ind w:left="0" w:firstLine="420" w:firstLineChars="200"/>
        <w:textAlignment w:val="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指受益人或被保险人的继承人或依法享有保险金请求权的其他自然人。</w:t>
      </w:r>
    </w:p>
    <w:p>
      <w:pPr>
        <w:pStyle w:val="23"/>
        <w:keepNext w:val="0"/>
        <w:keepLines w:val="0"/>
        <w:pageBreakBefore w:val="0"/>
        <w:numPr>
          <w:ilvl w:val="255"/>
          <w:numId w:val="0"/>
        </w:numPr>
        <w:kinsoku/>
        <w:wordWrap/>
        <w:overflowPunct/>
        <w:topLinePunct w:val="0"/>
        <w:autoSpaceDE/>
        <w:autoSpaceDN/>
        <w:bidi w:val="0"/>
        <w:spacing w:beforeAutospacing="0" w:afterAutospacing="0" w:line="360" w:lineRule="auto"/>
        <w:ind w:left="0" w:firstLine="422" w:firstLineChars="200"/>
        <w:textAlignment w:val="auto"/>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十九、未满期保险费</w:t>
      </w:r>
    </w:p>
    <w:p>
      <w:pPr>
        <w:keepNext w:val="0"/>
        <w:keepLines w:val="0"/>
        <w:pageBreakBefore w:val="0"/>
        <w:kinsoku/>
        <w:wordWrap/>
        <w:overflowPunct/>
        <w:topLinePunct w:val="0"/>
        <w:autoSpaceDE/>
        <w:autoSpaceDN/>
        <w:bidi w:val="0"/>
        <w:spacing w:beforeAutospacing="0" w:afterAutospacing="0" w:line="360" w:lineRule="auto"/>
        <w:ind w:left="0" w:firstLine="420" w:firstLineChars="200"/>
        <w:textAlignment w:val="auto"/>
        <w:rPr>
          <w:rFonts w:ascii="宋体" w:hAnsi="宋体" w:cs="宋体"/>
          <w:szCs w:val="21"/>
        </w:rPr>
      </w:pPr>
      <w:r>
        <w:rPr>
          <w:rFonts w:hint="eastAsia" w:ascii="宋体" w:hAnsi="宋体" w:cs="宋体"/>
          <w:szCs w:val="21"/>
        </w:rPr>
        <w:t>除另有约定外，按下述公式计算未满期保险费：</w:t>
      </w:r>
    </w:p>
    <w:p>
      <w:pPr>
        <w:keepNext w:val="0"/>
        <w:keepLines w:val="0"/>
        <w:pageBreakBefore w:val="0"/>
        <w:kinsoku/>
        <w:wordWrap/>
        <w:overflowPunct/>
        <w:topLinePunct w:val="0"/>
        <w:autoSpaceDE/>
        <w:autoSpaceDN/>
        <w:bidi w:val="0"/>
        <w:spacing w:beforeAutospacing="0" w:afterAutospacing="0" w:line="360" w:lineRule="auto"/>
        <w:ind w:left="0" w:firstLine="420" w:firstLineChars="200"/>
        <w:textAlignment w:val="auto"/>
        <w:rPr>
          <w:rFonts w:ascii="宋体" w:hAnsi="宋体" w:cs="宋体"/>
          <w:szCs w:val="21"/>
        </w:rPr>
      </w:pPr>
      <w:r>
        <w:rPr>
          <w:rFonts w:hint="eastAsia" w:ascii="宋体" w:hAnsi="宋体" w:cs="宋体"/>
          <w:szCs w:val="21"/>
        </w:rPr>
        <w:t>若选择一次性缴付保险费，未满期保费</w:t>
      </w:r>
      <w:r>
        <w:rPr>
          <w:rFonts w:ascii="宋体" w:hAnsi="宋体" w:cs="宋体"/>
          <w:szCs w:val="21"/>
        </w:rPr>
        <w:t>=保费×（1-m/n），其中，m为已生效天数，n为保险期间的天数，经过日期不足一日的按一日计算。</w:t>
      </w:r>
    </w:p>
    <w:p>
      <w:pPr>
        <w:keepNext w:val="0"/>
        <w:keepLines w:val="0"/>
        <w:pageBreakBefore w:val="0"/>
        <w:kinsoku/>
        <w:wordWrap/>
        <w:overflowPunct/>
        <w:topLinePunct w:val="0"/>
        <w:autoSpaceDE/>
        <w:autoSpaceDN/>
        <w:bidi w:val="0"/>
        <w:snapToGrid w:val="0"/>
        <w:spacing w:beforeAutospacing="0" w:afterAutospacing="0" w:line="360" w:lineRule="auto"/>
        <w:ind w:left="0" w:firstLine="420" w:firstLineChars="200"/>
        <w:textAlignment w:val="auto"/>
        <w:outlineLvl w:val="0"/>
        <w:rPr>
          <w:rFonts w:ascii="宋体" w:hAnsi="宋体" w:cs="宋体"/>
          <w:szCs w:val="21"/>
        </w:rPr>
      </w:pPr>
      <w:r>
        <w:rPr>
          <w:rFonts w:hint="eastAsia" w:ascii="宋体" w:hAnsi="宋体" w:cs="宋体"/>
          <w:szCs w:val="21"/>
        </w:rPr>
        <w:t>若选择分期缴付保险费，未满期保费</w:t>
      </w:r>
      <w:r>
        <w:rPr>
          <w:rFonts w:ascii="宋体" w:hAnsi="宋体" w:cs="宋体"/>
          <w:szCs w:val="21"/>
        </w:rPr>
        <w:t>=当期保费×（1-m/n）,其中，m为当期已生效天数，n为当期天数，经过日期不足一日的按一日计算。</w:t>
      </w:r>
    </w:p>
    <w:p>
      <w:pPr>
        <w:pStyle w:val="23"/>
        <w:keepNext w:val="0"/>
        <w:keepLines w:val="0"/>
        <w:pageBreakBefore w:val="0"/>
        <w:numPr>
          <w:ilvl w:val="255"/>
          <w:numId w:val="0"/>
        </w:numPr>
        <w:kinsoku/>
        <w:wordWrap/>
        <w:overflowPunct/>
        <w:topLinePunct w:val="0"/>
        <w:autoSpaceDE/>
        <w:autoSpaceDN/>
        <w:bidi w:val="0"/>
        <w:spacing w:beforeAutospacing="0" w:afterAutospacing="0" w:line="360" w:lineRule="auto"/>
        <w:ind w:left="0" w:firstLine="422" w:firstLineChars="200"/>
        <w:textAlignment w:val="auto"/>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二十、</w:t>
      </w:r>
      <w:r>
        <w:rPr>
          <w:rFonts w:asciiTheme="minorEastAsia" w:hAnsiTheme="minorEastAsia" w:eastAsiaTheme="minorEastAsia" w:cstheme="minorEastAsia"/>
          <w:b/>
          <w:szCs w:val="21"/>
        </w:rPr>
        <w:t>职业分类</w:t>
      </w:r>
    </w:p>
    <w:p>
      <w:pPr>
        <w:keepNext w:val="0"/>
        <w:keepLines w:val="0"/>
        <w:pageBreakBefore w:val="0"/>
        <w:kinsoku/>
        <w:wordWrap/>
        <w:overflowPunct/>
        <w:topLinePunct w:val="0"/>
        <w:autoSpaceDE/>
        <w:autoSpaceDN/>
        <w:bidi w:val="0"/>
        <w:spacing w:beforeAutospacing="0" w:afterAutospacing="0" w:line="360" w:lineRule="auto"/>
        <w:ind w:left="0" w:firstLine="420" w:firstLineChars="200"/>
        <w:textAlignment w:val="auto"/>
        <w:rPr>
          <w:rFonts w:asciiTheme="minorEastAsia" w:hAnsiTheme="minorEastAsia" w:eastAsiaTheme="minorEastAsia" w:cstheme="minorEastAsia"/>
          <w:szCs w:val="21"/>
        </w:rPr>
      </w:pPr>
      <w:r>
        <w:rPr>
          <w:rFonts w:hint="eastAsia" w:ascii="宋体" w:hAnsi="宋体" w:cs="宋体"/>
          <w:szCs w:val="21"/>
        </w:rPr>
        <w:t>按照工作性质同一性的基本原则，对被保险人所从事的工作进行职业分类。具体分类以华农财产保险股份有限公司官方网站公开信息披露的发布为准。</w:t>
      </w:r>
    </w:p>
    <w:p>
      <w:pPr>
        <w:pStyle w:val="23"/>
        <w:keepNext w:val="0"/>
        <w:keepLines w:val="0"/>
        <w:pageBreakBefore w:val="0"/>
        <w:numPr>
          <w:ilvl w:val="255"/>
          <w:numId w:val="0"/>
        </w:numPr>
        <w:kinsoku/>
        <w:wordWrap/>
        <w:overflowPunct/>
        <w:topLinePunct w:val="0"/>
        <w:autoSpaceDE/>
        <w:autoSpaceDN/>
        <w:bidi w:val="0"/>
        <w:spacing w:beforeAutospacing="0" w:afterAutospacing="0" w:line="360" w:lineRule="auto"/>
        <w:ind w:left="0" w:firstLine="422" w:firstLineChars="200"/>
        <w:textAlignment w:val="auto"/>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二十一、不可抗力</w:t>
      </w:r>
    </w:p>
    <w:p>
      <w:pPr>
        <w:keepNext w:val="0"/>
        <w:keepLines w:val="0"/>
        <w:pageBreakBefore w:val="0"/>
        <w:kinsoku/>
        <w:wordWrap/>
        <w:overflowPunct/>
        <w:topLinePunct w:val="0"/>
        <w:autoSpaceDE/>
        <w:autoSpaceDN/>
        <w:bidi w:val="0"/>
        <w:spacing w:beforeAutospacing="0" w:afterAutospacing="0" w:line="360" w:lineRule="auto"/>
        <w:ind w:left="0" w:firstLine="420" w:firstLineChars="200"/>
        <w:textAlignment w:val="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指不能预见、不能避免并不能克服的客观情况。</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BAEAF9"/>
    <w:multiLevelType w:val="singleLevel"/>
    <w:tmpl w:val="58BAEAF9"/>
    <w:lvl w:ilvl="0" w:tentative="0">
      <w:start w:val="1"/>
      <w:numFmt w:val="chineseCounting"/>
      <w:suff w:val="space"/>
      <w:lvlText w:val="第%1条"/>
      <w:lvlJc w:val="left"/>
      <w:rPr>
        <w:b/>
      </w:rPr>
    </w:lvl>
  </w:abstractNum>
  <w:abstractNum w:abstractNumId="1">
    <w:nsid w:val="58BCAF0E"/>
    <w:multiLevelType w:val="singleLevel"/>
    <w:tmpl w:val="58BCAF0E"/>
    <w:lvl w:ilvl="0" w:tentative="0">
      <w:start w:val="1"/>
      <w:numFmt w:val="chineseCounting"/>
      <w:suff w:val="nothing"/>
      <w:lvlText w:val="（%1）"/>
      <w:lvlJc w:val="left"/>
    </w:lvl>
  </w:abstractNum>
  <w:abstractNum w:abstractNumId="2">
    <w:nsid w:val="58BCAF52"/>
    <w:multiLevelType w:val="singleLevel"/>
    <w:tmpl w:val="58BCAF52"/>
    <w:lvl w:ilvl="0" w:tentative="0">
      <w:start w:val="1"/>
      <w:numFmt w:val="decimal"/>
      <w:suff w:val="nothing"/>
      <w:lvlText w:val="%1."/>
      <w:lvlJc w:val="left"/>
    </w:lvl>
  </w:abstractNum>
  <w:abstractNum w:abstractNumId="3">
    <w:nsid w:val="58BCAF84"/>
    <w:multiLevelType w:val="singleLevel"/>
    <w:tmpl w:val="58BCAF84"/>
    <w:lvl w:ilvl="0" w:tentative="0">
      <w:start w:val="2"/>
      <w:numFmt w:val="decimal"/>
      <w:suff w:val="nothing"/>
      <w:lvlText w:val="%1."/>
      <w:lvlJc w:val="left"/>
    </w:lvl>
  </w:abstractNum>
  <w:abstractNum w:abstractNumId="4">
    <w:nsid w:val="58BCB072"/>
    <w:multiLevelType w:val="singleLevel"/>
    <w:tmpl w:val="58BCB072"/>
    <w:lvl w:ilvl="0" w:tentative="0">
      <w:start w:val="1"/>
      <w:numFmt w:val="decimal"/>
      <w:suff w:val="nothing"/>
      <w:lvlText w:val="%1."/>
      <w:lvlJc w:val="left"/>
    </w:lvl>
  </w:abstractNum>
  <w:abstractNum w:abstractNumId="5">
    <w:nsid w:val="5E4A5081"/>
    <w:multiLevelType w:val="singleLevel"/>
    <w:tmpl w:val="5E4A5081"/>
    <w:lvl w:ilvl="0" w:tentative="0">
      <w:start w:val="1"/>
      <w:numFmt w:val="chineseCounting"/>
      <w:suff w:val="nothing"/>
      <w:lvlText w:val="（%1）"/>
      <w:lvlJc w:val="left"/>
    </w:lvl>
  </w:abstractNum>
  <w:num w:numId="1">
    <w:abstractNumId w:val="0"/>
  </w:num>
  <w:num w:numId="2">
    <w:abstractNumId w:val="5"/>
  </w:num>
  <w:num w:numId="3">
    <w:abstractNumId w:val="1"/>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xOTg0ZTg2NjA3ZGU0MTY2MmU0Yjk5YzMyNzRlOGMifQ=="/>
  </w:docVars>
  <w:rsids>
    <w:rsidRoot w:val="006C2A44"/>
    <w:rsid w:val="0003210D"/>
    <w:rsid w:val="00050BFC"/>
    <w:rsid w:val="00061DE5"/>
    <w:rsid w:val="000A5551"/>
    <w:rsid w:val="000B489B"/>
    <w:rsid w:val="000C57BC"/>
    <w:rsid w:val="000D200B"/>
    <w:rsid w:val="000E012B"/>
    <w:rsid w:val="000F40DF"/>
    <w:rsid w:val="0010091F"/>
    <w:rsid w:val="00131F04"/>
    <w:rsid w:val="00132F21"/>
    <w:rsid w:val="00155865"/>
    <w:rsid w:val="00156CFA"/>
    <w:rsid w:val="001701D4"/>
    <w:rsid w:val="001A1A10"/>
    <w:rsid w:val="001A2D31"/>
    <w:rsid w:val="001B1006"/>
    <w:rsid w:val="001C6685"/>
    <w:rsid w:val="001E6102"/>
    <w:rsid w:val="001F78C8"/>
    <w:rsid w:val="00217028"/>
    <w:rsid w:val="00220BCB"/>
    <w:rsid w:val="00227718"/>
    <w:rsid w:val="00227AD4"/>
    <w:rsid w:val="00235DF3"/>
    <w:rsid w:val="00251A1B"/>
    <w:rsid w:val="002536D6"/>
    <w:rsid w:val="0025729E"/>
    <w:rsid w:val="0026527B"/>
    <w:rsid w:val="00266FCB"/>
    <w:rsid w:val="00280E08"/>
    <w:rsid w:val="00286FE9"/>
    <w:rsid w:val="002963A6"/>
    <w:rsid w:val="002A542F"/>
    <w:rsid w:val="002D31B7"/>
    <w:rsid w:val="002D6DF4"/>
    <w:rsid w:val="002F39CB"/>
    <w:rsid w:val="002F603D"/>
    <w:rsid w:val="003078C3"/>
    <w:rsid w:val="00343204"/>
    <w:rsid w:val="00350730"/>
    <w:rsid w:val="003522E5"/>
    <w:rsid w:val="0036086F"/>
    <w:rsid w:val="003722DF"/>
    <w:rsid w:val="00375750"/>
    <w:rsid w:val="0039696C"/>
    <w:rsid w:val="003F2DCD"/>
    <w:rsid w:val="00417442"/>
    <w:rsid w:val="00437671"/>
    <w:rsid w:val="0044485B"/>
    <w:rsid w:val="00450804"/>
    <w:rsid w:val="00461A4E"/>
    <w:rsid w:val="00475EC9"/>
    <w:rsid w:val="00497315"/>
    <w:rsid w:val="004A1346"/>
    <w:rsid w:val="004D6E52"/>
    <w:rsid w:val="00565CE7"/>
    <w:rsid w:val="0057424B"/>
    <w:rsid w:val="00576715"/>
    <w:rsid w:val="00596518"/>
    <w:rsid w:val="005A5417"/>
    <w:rsid w:val="005B0BDF"/>
    <w:rsid w:val="005B7909"/>
    <w:rsid w:val="005D506E"/>
    <w:rsid w:val="005E5D30"/>
    <w:rsid w:val="0060417F"/>
    <w:rsid w:val="00611FA8"/>
    <w:rsid w:val="00637682"/>
    <w:rsid w:val="0064433B"/>
    <w:rsid w:val="00663B51"/>
    <w:rsid w:val="00674568"/>
    <w:rsid w:val="00675AF1"/>
    <w:rsid w:val="00682E64"/>
    <w:rsid w:val="00683930"/>
    <w:rsid w:val="00690287"/>
    <w:rsid w:val="006951F2"/>
    <w:rsid w:val="006A6599"/>
    <w:rsid w:val="006B24BF"/>
    <w:rsid w:val="006B25DC"/>
    <w:rsid w:val="006C2A44"/>
    <w:rsid w:val="006E18DA"/>
    <w:rsid w:val="00701678"/>
    <w:rsid w:val="00710603"/>
    <w:rsid w:val="00712BC7"/>
    <w:rsid w:val="007151C3"/>
    <w:rsid w:val="00732B56"/>
    <w:rsid w:val="007550AB"/>
    <w:rsid w:val="00756B94"/>
    <w:rsid w:val="00797EEA"/>
    <w:rsid w:val="007B4B30"/>
    <w:rsid w:val="008213E1"/>
    <w:rsid w:val="00834D7C"/>
    <w:rsid w:val="00846F7E"/>
    <w:rsid w:val="00853FF8"/>
    <w:rsid w:val="00882A4B"/>
    <w:rsid w:val="008A5E52"/>
    <w:rsid w:val="008E2224"/>
    <w:rsid w:val="008E737F"/>
    <w:rsid w:val="008F25BA"/>
    <w:rsid w:val="00903707"/>
    <w:rsid w:val="00915CA0"/>
    <w:rsid w:val="00915F8C"/>
    <w:rsid w:val="00924BE6"/>
    <w:rsid w:val="009264BA"/>
    <w:rsid w:val="009619A4"/>
    <w:rsid w:val="00975B5B"/>
    <w:rsid w:val="00982B0B"/>
    <w:rsid w:val="0098631C"/>
    <w:rsid w:val="009B6BEE"/>
    <w:rsid w:val="009D7EF0"/>
    <w:rsid w:val="009F595D"/>
    <w:rsid w:val="00A02550"/>
    <w:rsid w:val="00A026EE"/>
    <w:rsid w:val="00A13788"/>
    <w:rsid w:val="00A16D9A"/>
    <w:rsid w:val="00A4740D"/>
    <w:rsid w:val="00A56A93"/>
    <w:rsid w:val="00A849E8"/>
    <w:rsid w:val="00AC6612"/>
    <w:rsid w:val="00AD5EBA"/>
    <w:rsid w:val="00AE0FAE"/>
    <w:rsid w:val="00AE3FE2"/>
    <w:rsid w:val="00AF033E"/>
    <w:rsid w:val="00B23202"/>
    <w:rsid w:val="00B401BA"/>
    <w:rsid w:val="00B40738"/>
    <w:rsid w:val="00BA10EC"/>
    <w:rsid w:val="00BD125C"/>
    <w:rsid w:val="00C060DA"/>
    <w:rsid w:val="00C14D10"/>
    <w:rsid w:val="00C221AE"/>
    <w:rsid w:val="00C24C9D"/>
    <w:rsid w:val="00C277D4"/>
    <w:rsid w:val="00C303A9"/>
    <w:rsid w:val="00C424D8"/>
    <w:rsid w:val="00C56259"/>
    <w:rsid w:val="00C75162"/>
    <w:rsid w:val="00C82A7D"/>
    <w:rsid w:val="00C9057C"/>
    <w:rsid w:val="00CA0605"/>
    <w:rsid w:val="00CB0FB1"/>
    <w:rsid w:val="00CB5D62"/>
    <w:rsid w:val="00CD1E0D"/>
    <w:rsid w:val="00CD3D0C"/>
    <w:rsid w:val="00CD4591"/>
    <w:rsid w:val="00CE5A5D"/>
    <w:rsid w:val="00CF53DD"/>
    <w:rsid w:val="00CF6231"/>
    <w:rsid w:val="00D247DB"/>
    <w:rsid w:val="00D3615E"/>
    <w:rsid w:val="00D43044"/>
    <w:rsid w:val="00D4362A"/>
    <w:rsid w:val="00D45E24"/>
    <w:rsid w:val="00D552D9"/>
    <w:rsid w:val="00D6034E"/>
    <w:rsid w:val="00D636CA"/>
    <w:rsid w:val="00DA4514"/>
    <w:rsid w:val="00DE039B"/>
    <w:rsid w:val="00DF3E4E"/>
    <w:rsid w:val="00E04CBC"/>
    <w:rsid w:val="00E054E2"/>
    <w:rsid w:val="00E15A71"/>
    <w:rsid w:val="00E2488E"/>
    <w:rsid w:val="00E30002"/>
    <w:rsid w:val="00E34D51"/>
    <w:rsid w:val="00E44415"/>
    <w:rsid w:val="00ED7413"/>
    <w:rsid w:val="00ED76D4"/>
    <w:rsid w:val="00EE03F1"/>
    <w:rsid w:val="00EE0C5E"/>
    <w:rsid w:val="00EE3A9A"/>
    <w:rsid w:val="00F109BF"/>
    <w:rsid w:val="00F15E08"/>
    <w:rsid w:val="00F31882"/>
    <w:rsid w:val="00F45C72"/>
    <w:rsid w:val="00F50978"/>
    <w:rsid w:val="00F51AF6"/>
    <w:rsid w:val="00F52780"/>
    <w:rsid w:val="00F5601E"/>
    <w:rsid w:val="00F601B7"/>
    <w:rsid w:val="00F60DC7"/>
    <w:rsid w:val="00F8566B"/>
    <w:rsid w:val="00FA301B"/>
    <w:rsid w:val="00FB689A"/>
    <w:rsid w:val="00FB6D34"/>
    <w:rsid w:val="00FC02E5"/>
    <w:rsid w:val="00FE7DAF"/>
    <w:rsid w:val="00FF2F88"/>
    <w:rsid w:val="037A0355"/>
    <w:rsid w:val="04763EE5"/>
    <w:rsid w:val="04794ED6"/>
    <w:rsid w:val="04876D6D"/>
    <w:rsid w:val="052A3623"/>
    <w:rsid w:val="0591547A"/>
    <w:rsid w:val="068B03FD"/>
    <w:rsid w:val="068E3C0C"/>
    <w:rsid w:val="087F38CE"/>
    <w:rsid w:val="08C8535B"/>
    <w:rsid w:val="0A8D0832"/>
    <w:rsid w:val="0B0D588E"/>
    <w:rsid w:val="0B611B34"/>
    <w:rsid w:val="0BC2067F"/>
    <w:rsid w:val="0C8842A8"/>
    <w:rsid w:val="0DFB300C"/>
    <w:rsid w:val="0F3B1FB3"/>
    <w:rsid w:val="0F712C3A"/>
    <w:rsid w:val="118B3F23"/>
    <w:rsid w:val="13480E7A"/>
    <w:rsid w:val="13826BCB"/>
    <w:rsid w:val="147741C8"/>
    <w:rsid w:val="178F0968"/>
    <w:rsid w:val="17D551C6"/>
    <w:rsid w:val="17EB4195"/>
    <w:rsid w:val="181F4656"/>
    <w:rsid w:val="18671101"/>
    <w:rsid w:val="18FA0A6E"/>
    <w:rsid w:val="19526877"/>
    <w:rsid w:val="19704F4F"/>
    <w:rsid w:val="1A1E22F4"/>
    <w:rsid w:val="1B0F04E0"/>
    <w:rsid w:val="1B7C22F9"/>
    <w:rsid w:val="1C5E5533"/>
    <w:rsid w:val="1CCE3AF0"/>
    <w:rsid w:val="1E8160BE"/>
    <w:rsid w:val="1F723259"/>
    <w:rsid w:val="2105019B"/>
    <w:rsid w:val="22161A60"/>
    <w:rsid w:val="2351194D"/>
    <w:rsid w:val="241760DB"/>
    <w:rsid w:val="27673E35"/>
    <w:rsid w:val="29627E21"/>
    <w:rsid w:val="2AFB6D6E"/>
    <w:rsid w:val="2C1B07F6"/>
    <w:rsid w:val="2CEA58FF"/>
    <w:rsid w:val="2D865C8A"/>
    <w:rsid w:val="2DB26A83"/>
    <w:rsid w:val="2DC86CB0"/>
    <w:rsid w:val="2EA2477F"/>
    <w:rsid w:val="2F1A4962"/>
    <w:rsid w:val="2F91075F"/>
    <w:rsid w:val="302D08F0"/>
    <w:rsid w:val="31740A39"/>
    <w:rsid w:val="31C948A1"/>
    <w:rsid w:val="31D56037"/>
    <w:rsid w:val="32AE5FFD"/>
    <w:rsid w:val="337D37DD"/>
    <w:rsid w:val="3445189F"/>
    <w:rsid w:val="360629F3"/>
    <w:rsid w:val="376156CD"/>
    <w:rsid w:val="381721D9"/>
    <w:rsid w:val="392A0F07"/>
    <w:rsid w:val="39955162"/>
    <w:rsid w:val="39B67B89"/>
    <w:rsid w:val="3AEE40CB"/>
    <w:rsid w:val="3BE40F41"/>
    <w:rsid w:val="3BE668A3"/>
    <w:rsid w:val="3D6942D0"/>
    <w:rsid w:val="4169039F"/>
    <w:rsid w:val="41D4693E"/>
    <w:rsid w:val="41D7751B"/>
    <w:rsid w:val="42E134ED"/>
    <w:rsid w:val="442946FC"/>
    <w:rsid w:val="44373FB7"/>
    <w:rsid w:val="445C245C"/>
    <w:rsid w:val="45A06DE9"/>
    <w:rsid w:val="461C4D98"/>
    <w:rsid w:val="4650749D"/>
    <w:rsid w:val="479E7F51"/>
    <w:rsid w:val="48587156"/>
    <w:rsid w:val="4B2947AA"/>
    <w:rsid w:val="4BAC7DF0"/>
    <w:rsid w:val="4C714C8A"/>
    <w:rsid w:val="4CAE24A3"/>
    <w:rsid w:val="4CDC6A17"/>
    <w:rsid w:val="4E872543"/>
    <w:rsid w:val="4F077817"/>
    <w:rsid w:val="4F1B2C8C"/>
    <w:rsid w:val="4FEE214E"/>
    <w:rsid w:val="5030285C"/>
    <w:rsid w:val="50535933"/>
    <w:rsid w:val="518E12F2"/>
    <w:rsid w:val="51A60CF0"/>
    <w:rsid w:val="51D96E59"/>
    <w:rsid w:val="51EC090F"/>
    <w:rsid w:val="52202F1D"/>
    <w:rsid w:val="52A74BF4"/>
    <w:rsid w:val="52B01BD7"/>
    <w:rsid w:val="536A0119"/>
    <w:rsid w:val="549F610D"/>
    <w:rsid w:val="5583517D"/>
    <w:rsid w:val="567C3E09"/>
    <w:rsid w:val="56800DB5"/>
    <w:rsid w:val="56B4614A"/>
    <w:rsid w:val="57056F72"/>
    <w:rsid w:val="589C07F4"/>
    <w:rsid w:val="58B75837"/>
    <w:rsid w:val="59BA117E"/>
    <w:rsid w:val="5B223BFE"/>
    <w:rsid w:val="5B955B74"/>
    <w:rsid w:val="5CEE7C31"/>
    <w:rsid w:val="5DDE167A"/>
    <w:rsid w:val="5ED9750A"/>
    <w:rsid w:val="5F016E44"/>
    <w:rsid w:val="602A13CE"/>
    <w:rsid w:val="60482928"/>
    <w:rsid w:val="607A5C61"/>
    <w:rsid w:val="60F9348F"/>
    <w:rsid w:val="624C0ACF"/>
    <w:rsid w:val="62AE7E19"/>
    <w:rsid w:val="6443386F"/>
    <w:rsid w:val="64826D3E"/>
    <w:rsid w:val="64B536A8"/>
    <w:rsid w:val="654A65B6"/>
    <w:rsid w:val="657E1DCF"/>
    <w:rsid w:val="66275894"/>
    <w:rsid w:val="66DD0157"/>
    <w:rsid w:val="68411E7F"/>
    <w:rsid w:val="69790B77"/>
    <w:rsid w:val="6B2455EC"/>
    <w:rsid w:val="6B7B1AB7"/>
    <w:rsid w:val="6BE156A8"/>
    <w:rsid w:val="6D56531E"/>
    <w:rsid w:val="6E5F5D8B"/>
    <w:rsid w:val="6F6A448D"/>
    <w:rsid w:val="70DA5D4D"/>
    <w:rsid w:val="7280026A"/>
    <w:rsid w:val="72E7492A"/>
    <w:rsid w:val="72F220B4"/>
    <w:rsid w:val="735711E7"/>
    <w:rsid w:val="74282F40"/>
    <w:rsid w:val="7500378B"/>
    <w:rsid w:val="756B0565"/>
    <w:rsid w:val="75F33E51"/>
    <w:rsid w:val="76CE03FF"/>
    <w:rsid w:val="781D25CB"/>
    <w:rsid w:val="78B94C9B"/>
    <w:rsid w:val="78F14330"/>
    <w:rsid w:val="79AB6A3C"/>
    <w:rsid w:val="7A08012D"/>
    <w:rsid w:val="7A9D521B"/>
    <w:rsid w:val="7AE83ABA"/>
    <w:rsid w:val="7B3E4723"/>
    <w:rsid w:val="7FD82E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semiHidden="0" w:name="Default Paragraph Font"/>
    <w:lsdException w:qFormat="1" w:unhideWhenUsed="0"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10">
    <w:name w:val="Default Paragraph Font"/>
    <w:unhideWhenUsed/>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2">
    <w:name w:val="annotation text"/>
    <w:basedOn w:val="1"/>
    <w:link w:val="17"/>
    <w:qFormat/>
    <w:uiPriority w:val="0"/>
    <w:pPr>
      <w:jc w:val="left"/>
    </w:pPr>
  </w:style>
  <w:style w:type="paragraph" w:styleId="3">
    <w:name w:val="Body Text"/>
    <w:basedOn w:val="1"/>
    <w:semiHidden/>
    <w:qFormat/>
    <w:uiPriority w:val="0"/>
    <w:rPr>
      <w:rFonts w:ascii="宋体" w:hAnsi="宋体" w:cs="宋体"/>
      <w:szCs w:val="21"/>
      <w:lang w:eastAsia="en-US"/>
    </w:rPr>
  </w:style>
  <w:style w:type="paragraph" w:styleId="4">
    <w:name w:val="Balloon Text"/>
    <w:basedOn w:val="1"/>
    <w:link w:val="19"/>
    <w:qFormat/>
    <w:uiPriority w:val="0"/>
    <w:rPr>
      <w:rFonts w:ascii="宋体"/>
      <w:sz w:val="18"/>
      <w:szCs w:val="18"/>
    </w:rPr>
  </w:style>
  <w:style w:type="paragraph" w:styleId="5">
    <w:name w:val="footer"/>
    <w:basedOn w:val="1"/>
    <w:link w:val="16"/>
    <w:qFormat/>
    <w:uiPriority w:val="0"/>
    <w:pPr>
      <w:tabs>
        <w:tab w:val="center" w:pos="4153"/>
        <w:tab w:val="right" w:pos="8306"/>
      </w:tabs>
      <w:snapToGrid w:val="0"/>
      <w:jc w:val="left"/>
    </w:pPr>
    <w:rPr>
      <w:sz w:val="18"/>
      <w:szCs w:val="18"/>
    </w:rPr>
  </w:style>
  <w:style w:type="paragraph" w:styleId="6">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100" w:beforeAutospacing="1" w:after="100" w:afterAutospacing="1"/>
      <w:jc w:val="left"/>
    </w:pPr>
    <w:rPr>
      <w:rFonts w:hAnsi="宋体" w:cs="宋体"/>
      <w:sz w:val="24"/>
    </w:rPr>
  </w:style>
  <w:style w:type="paragraph" w:styleId="8">
    <w:name w:val="annotation subject"/>
    <w:basedOn w:val="2"/>
    <w:next w:val="2"/>
    <w:link w:val="18"/>
    <w:qFormat/>
    <w:uiPriority w:val="0"/>
    <w:rPr>
      <w:b/>
      <w:bCs/>
    </w:rPr>
  </w:style>
  <w:style w:type="character" w:styleId="11">
    <w:name w:val="annotation reference"/>
    <w:basedOn w:val="10"/>
    <w:qFormat/>
    <w:uiPriority w:val="0"/>
    <w:rPr>
      <w:sz w:val="21"/>
      <w:szCs w:val="21"/>
    </w:rPr>
  </w:style>
  <w:style w:type="paragraph" w:customStyle="1" w:styleId="12">
    <w:name w:val="列出段落1"/>
    <w:basedOn w:val="1"/>
    <w:unhideWhenUsed/>
    <w:qFormat/>
    <w:uiPriority w:val="99"/>
    <w:pPr>
      <w:ind w:firstLine="420" w:firstLineChars="200"/>
    </w:pPr>
  </w:style>
  <w:style w:type="paragraph" w:customStyle="1" w:styleId="13">
    <w:name w:val="条款正文"/>
    <w:basedOn w:val="1"/>
    <w:qFormat/>
    <w:uiPriority w:val="0"/>
    <w:pPr>
      <w:adjustRightInd w:val="0"/>
      <w:snapToGrid w:val="0"/>
      <w:ind w:left="840" w:leftChars="400" w:firstLine="420" w:firstLineChars="200"/>
    </w:pPr>
    <w:rPr>
      <w:rFonts w:ascii="Times New Roman" w:hAnsi="Times New Roman" w:cs="Times New Roman"/>
    </w:rPr>
  </w:style>
  <w:style w:type="character" w:customStyle="1" w:styleId="14">
    <w:name w:val="apple-style-span"/>
    <w:basedOn w:val="10"/>
    <w:qFormat/>
    <w:uiPriority w:val="0"/>
  </w:style>
  <w:style w:type="character" w:customStyle="1" w:styleId="15">
    <w:name w:val="页眉 字符"/>
    <w:basedOn w:val="10"/>
    <w:link w:val="6"/>
    <w:qFormat/>
    <w:uiPriority w:val="0"/>
    <w:rPr>
      <w:rFonts w:ascii="Calibri" w:hAnsi="Calibri" w:cs="黑体"/>
      <w:kern w:val="2"/>
      <w:sz w:val="18"/>
      <w:szCs w:val="18"/>
    </w:rPr>
  </w:style>
  <w:style w:type="character" w:customStyle="1" w:styleId="16">
    <w:name w:val="页脚 字符"/>
    <w:basedOn w:val="10"/>
    <w:link w:val="5"/>
    <w:qFormat/>
    <w:uiPriority w:val="0"/>
    <w:rPr>
      <w:rFonts w:ascii="Calibri" w:hAnsi="Calibri" w:cs="黑体"/>
      <w:kern w:val="2"/>
      <w:sz w:val="18"/>
      <w:szCs w:val="18"/>
    </w:rPr>
  </w:style>
  <w:style w:type="character" w:customStyle="1" w:styleId="17">
    <w:name w:val="批注文字 字符"/>
    <w:basedOn w:val="10"/>
    <w:link w:val="2"/>
    <w:qFormat/>
    <w:uiPriority w:val="0"/>
    <w:rPr>
      <w:rFonts w:ascii="Calibri" w:hAnsi="Calibri" w:cs="黑体"/>
      <w:kern w:val="2"/>
      <w:sz w:val="21"/>
      <w:szCs w:val="22"/>
    </w:rPr>
  </w:style>
  <w:style w:type="character" w:customStyle="1" w:styleId="18">
    <w:name w:val="批注主题 字符"/>
    <w:basedOn w:val="17"/>
    <w:link w:val="8"/>
    <w:qFormat/>
    <w:uiPriority w:val="0"/>
    <w:rPr>
      <w:rFonts w:ascii="Calibri" w:hAnsi="Calibri" w:cs="黑体"/>
      <w:b/>
      <w:bCs/>
      <w:kern w:val="2"/>
      <w:sz w:val="21"/>
      <w:szCs w:val="22"/>
    </w:rPr>
  </w:style>
  <w:style w:type="character" w:customStyle="1" w:styleId="19">
    <w:name w:val="批注框文本 字符"/>
    <w:basedOn w:val="10"/>
    <w:link w:val="4"/>
    <w:qFormat/>
    <w:uiPriority w:val="0"/>
    <w:rPr>
      <w:rFonts w:ascii="宋体" w:hAnsi="Calibri" w:cs="黑体"/>
      <w:kern w:val="2"/>
      <w:sz w:val="18"/>
      <w:szCs w:val="18"/>
    </w:rPr>
  </w:style>
  <w:style w:type="table" w:customStyle="1" w:styleId="20">
    <w:name w:val="Table Normal"/>
    <w:unhideWhenUsed/>
    <w:qFormat/>
    <w:uiPriority w:val="0"/>
    <w:tblPr>
      <w:tblCellMar>
        <w:top w:w="0" w:type="dxa"/>
        <w:left w:w="0" w:type="dxa"/>
        <w:bottom w:w="0" w:type="dxa"/>
        <w:right w:w="0" w:type="dxa"/>
      </w:tblCellMar>
    </w:tblPr>
  </w:style>
  <w:style w:type="paragraph" w:customStyle="1" w:styleId="21">
    <w:name w:val="Table Text"/>
    <w:basedOn w:val="1"/>
    <w:semiHidden/>
    <w:qFormat/>
    <w:uiPriority w:val="0"/>
    <w:rPr>
      <w:rFonts w:ascii="宋体" w:hAnsi="宋体" w:cs="宋体"/>
      <w:szCs w:val="21"/>
      <w:lang w:eastAsia="en-US"/>
    </w:rPr>
  </w:style>
  <w:style w:type="paragraph" w:customStyle="1" w:styleId="22">
    <w:name w:val="修订1"/>
    <w:hidden/>
    <w:unhideWhenUsed/>
    <w:qFormat/>
    <w:uiPriority w:val="99"/>
    <w:rPr>
      <w:rFonts w:ascii="Calibri" w:hAnsi="Calibri" w:eastAsia="宋体" w:cs="黑体"/>
      <w:kern w:val="2"/>
      <w:sz w:val="21"/>
      <w:szCs w:val="22"/>
      <w:lang w:val="en-US" w:eastAsia="zh-CN" w:bidi="ar-SA"/>
    </w:rPr>
  </w:style>
  <w:style w:type="paragraph" w:customStyle="1" w:styleId="23">
    <w:name w:val="List Paragraph"/>
    <w:basedOn w:val="1"/>
    <w:unhideWhenUsed/>
    <w:qFormat/>
    <w:uiPriority w:val="99"/>
    <w:pPr>
      <w:ind w:firstLine="420" w:firstLineChars="200"/>
    </w:pPr>
  </w:style>
  <w:style w:type="paragraph" w:customStyle="1" w:styleId="24">
    <w:name w:val="Revision"/>
    <w:hidden/>
    <w:semiHidden/>
    <w:uiPriority w:val="99"/>
    <w:rPr>
      <w:rFonts w:ascii="Calibri" w:hAnsi="Calibri" w:eastAsia="宋体" w:cs="黑体"/>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01D9BE2-5A41-4B95-9DC8-DDD91729B83C}">
  <ds:schemaRefs/>
</ds:datastoreItem>
</file>

<file path=docProps/app.xml><?xml version="1.0" encoding="utf-8"?>
<Properties xmlns="http://schemas.openxmlformats.org/officeDocument/2006/extended-properties" xmlns:vt="http://schemas.openxmlformats.org/officeDocument/2006/docPropsVTypes">
  <Template>Normal.dotm</Template>
  <Pages>12</Pages>
  <Words>1638</Words>
  <Characters>9339</Characters>
  <Lines>77</Lines>
  <Paragraphs>21</Paragraphs>
  <TotalTime>9</TotalTime>
  <ScaleCrop>false</ScaleCrop>
  <LinksUpToDate>false</LinksUpToDate>
  <CharactersWithSpaces>10956</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2021-04-20T03:06:00Z</dcterms:created>
  <dc:creator>lenovo</dc:creator>
  <cp:lastModifiedBy>Zixuan Shen</cp:lastModifiedBy>
  <dcterms:modified xsi:type="dcterms:W3CDTF">2023-12-21T10:54:02Z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C5011255871E49D8A373080C77539B9A_13</vt:lpwstr>
  </property>
</Properties>
</file>