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12" w:lineRule="auto"/>
        <w:jc w:val="center"/>
        <w:rPr>
          <w:rFonts w:ascii="Times New Roman" w:cs="Arial"/>
          <w:b/>
          <w:kern w:val="2"/>
          <w:sz w:val="28"/>
          <w:szCs w:val="28"/>
        </w:rPr>
      </w:pPr>
      <w:r>
        <w:rPr>
          <w:rFonts w:hint="eastAsia" w:ascii="Times New Roman" w:cs="宋体"/>
          <w:b/>
          <w:kern w:val="2"/>
          <w:sz w:val="28"/>
          <w:szCs w:val="28"/>
          <w:lang w:bidi="ar"/>
        </w:rPr>
        <w:t>华农财产保险股份有限公司</w:t>
      </w:r>
    </w:p>
    <w:p>
      <w:pPr>
        <w:pStyle w:val="6"/>
        <w:adjustRightInd w:val="0"/>
        <w:snapToGrid w:val="0"/>
        <w:spacing w:before="0" w:beforeAutospacing="0" w:after="156" w:afterLines="50" w:afterAutospacing="0"/>
        <w:jc w:val="center"/>
        <w:outlineLvl w:val="1"/>
        <w:rPr>
          <w:rFonts w:hint="default" w:eastAsia="宋体" w:cs="Arial"/>
          <w:b/>
          <w:kern w:val="2"/>
          <w:sz w:val="28"/>
          <w:szCs w:val="28"/>
          <w:lang w:val="en-US" w:eastAsia="zh-CN"/>
        </w:rPr>
      </w:pPr>
      <w:r>
        <w:rPr>
          <w:rFonts w:hint="eastAsia" w:cs="Arial"/>
          <w:b/>
          <w:kern w:val="2"/>
          <w:sz w:val="28"/>
          <w:szCs w:val="28"/>
          <w:lang w:bidi="ar"/>
        </w:rPr>
        <w:t>附加恶性肿瘤特定药品费用补偿医疗保险</w:t>
      </w:r>
      <w:r>
        <w:rPr>
          <w:rFonts w:hint="eastAsia" w:ascii="宋体" w:hAnsi="宋体" w:cs="宋体"/>
          <w:b/>
          <w:sz w:val="28"/>
          <w:szCs w:val="28"/>
        </w:rPr>
        <w:t>A款</w:t>
      </w:r>
      <w:r>
        <w:rPr>
          <w:rFonts w:hint="eastAsia" w:cs="Arial"/>
          <w:b/>
          <w:kern w:val="2"/>
          <w:sz w:val="28"/>
          <w:szCs w:val="28"/>
          <w:lang w:bidi="ar"/>
        </w:rPr>
        <w:t>费率表</w:t>
      </w:r>
      <w:r>
        <w:rPr>
          <w:rFonts w:hint="eastAsia" w:cs="Arial"/>
          <w:b/>
          <w:kern w:val="2"/>
          <w:sz w:val="28"/>
          <w:szCs w:val="28"/>
          <w:lang w:eastAsia="zh-CN" w:bidi="ar"/>
        </w:rPr>
        <w:t>（</w:t>
      </w:r>
      <w:r>
        <w:rPr>
          <w:rFonts w:hint="eastAsia" w:cs="Arial"/>
          <w:b/>
          <w:kern w:val="2"/>
          <w:sz w:val="28"/>
          <w:szCs w:val="28"/>
          <w:lang w:val="en-US" w:eastAsia="zh-CN" w:bidi="ar"/>
        </w:rPr>
        <w:t>互联网专属）</w:t>
      </w:r>
    </w:p>
    <w:p>
      <w:pPr>
        <w:pStyle w:val="6"/>
        <w:adjustRightInd w:val="0"/>
        <w:snapToGrid w:val="0"/>
        <w:spacing w:after="156" w:afterLines="50" w:afterAutospacing="0"/>
        <w:jc w:val="center"/>
        <w:rPr>
          <w:rFonts w:cs="Arial"/>
          <w:b/>
          <w:kern w:val="2"/>
          <w:sz w:val="21"/>
          <w:szCs w:val="21"/>
        </w:rPr>
      </w:pPr>
      <w:r>
        <w:rPr>
          <w:rFonts w:hint="eastAsia" w:cs="Arial"/>
          <w:b/>
          <w:kern w:val="2"/>
          <w:sz w:val="21"/>
          <w:szCs w:val="21"/>
          <w:lang w:bidi="ar"/>
        </w:rPr>
        <w:t xml:space="preserve"> </w:t>
      </w:r>
    </w:p>
    <w:p>
      <w:pPr>
        <w:numPr>
          <w:ilvl w:val="255"/>
          <w:numId w:val="0"/>
        </w:numPr>
        <w:tabs>
          <w:tab w:val="left" w:pos="0"/>
        </w:tabs>
        <w:spacing w:line="312" w:lineRule="auto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ab/>
      </w:r>
      <w:r>
        <w:rPr>
          <w:rFonts w:hint="eastAsia" w:hAnsi="宋体" w:cs="宋体"/>
          <w:b/>
          <w:kern w:val="2"/>
          <w:sz w:val="21"/>
          <w:szCs w:val="21"/>
          <w:lang w:bidi="ar"/>
        </w:rPr>
        <w:t>一、年基准保险费</w:t>
      </w:r>
    </w:p>
    <w:p>
      <w:pPr>
        <w:spacing w:line="312" w:lineRule="auto"/>
        <w:ind w:firstLine="422" w:firstLineChars="200"/>
        <w:jc w:val="both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保险金额：100万元人民币</w:t>
      </w:r>
    </w:p>
    <w:p>
      <w:pPr>
        <w:numPr>
          <w:ilvl w:val="255"/>
          <w:numId w:val="0"/>
        </w:numPr>
        <w:spacing w:line="312" w:lineRule="auto"/>
        <w:rPr>
          <w:rFonts w:hAnsi="宋体" w:cs="宋体"/>
          <w:b/>
          <w:kern w:val="2"/>
          <w:sz w:val="21"/>
          <w:szCs w:val="21"/>
          <w:lang w:bidi="ar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 xml:space="preserve">                                                       单位：人民币元</w:t>
      </w:r>
      <w:r>
        <w:rPr>
          <w:rFonts w:hint="eastAsia" w:hAnsi="宋体" w:cs="宋体"/>
          <w:b/>
          <w:kern w:val="2"/>
          <w:sz w:val="21"/>
          <w:szCs w:val="21"/>
          <w:lang w:bidi="ar"/>
        </w:rPr>
        <w:tab/>
      </w:r>
    </w:p>
    <w:tbl>
      <w:tblPr>
        <w:tblStyle w:val="9"/>
        <w:tblW w:w="0" w:type="auto"/>
        <w:tblInd w:w="12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2055"/>
        <w:gridCol w:w="2160"/>
        <w:tblGridChange w:id="0">
          <w:tblGrid>
            <w:gridCol w:w="1203"/>
            <w:gridCol w:w="1637"/>
            <w:gridCol w:w="328"/>
            <w:gridCol w:w="2055"/>
            <w:gridCol w:w="2160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65" w:type="dxa"/>
          </w:tcPr>
          <w:p>
            <w:pPr>
              <w:numPr>
                <w:ilvl w:val="255"/>
                <w:numId w:val="0"/>
              </w:numPr>
              <w:tabs>
                <w:tab w:val="left" w:pos="0"/>
              </w:tabs>
              <w:spacing w:line="312" w:lineRule="auto"/>
              <w:jc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/>
                <w:kern w:val="2"/>
                <w:sz w:val="21"/>
                <w:szCs w:val="21"/>
                <w:lang w:bidi="ar"/>
              </w:rPr>
              <w:t>年龄段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bidi="ar"/>
              </w:rPr>
              <w:t>基础版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bidi="ar"/>
              </w:rPr>
              <w:t>尊享版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0-4周岁</w:t>
            </w:r>
            <w:bookmarkStart w:id="1" w:name="_GoBack"/>
            <w:bookmarkEnd w:id="1"/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22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5-10周岁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13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11-15周岁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11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16-20周岁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14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21-25周岁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26-30周岁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20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31-35周岁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33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70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36-40周岁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56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121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41-45周岁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94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46-50周岁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158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325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51-55周岁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246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480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56-60周岁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353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665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61-65周岁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484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901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66-70周岁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667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1258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71-75周岁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880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1658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76-80周岁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1134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2137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81-85周岁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1433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2701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86-90周岁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1782 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3358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91-95周岁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2183 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4115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96-100周岁</w:t>
            </w:r>
          </w:p>
        </w:tc>
        <w:tc>
          <w:tcPr>
            <w:tcW w:w="0" w:type="auto"/>
          </w:tcPr>
          <w:p>
            <w:pPr>
              <w:widowControl/>
              <w:numPr>
                <w:ilvl w:val="255"/>
                <w:numId w:val="0"/>
              </w:numPr>
              <w:spacing w:line="240" w:lineRule="auto"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2641 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4979 </w:t>
            </w:r>
          </w:p>
        </w:tc>
      </w:tr>
    </w:tbl>
    <w:p>
      <w:pPr>
        <w:numPr>
          <w:ilvl w:val="255"/>
          <w:numId w:val="0"/>
        </w:numPr>
        <w:tabs>
          <w:tab w:val="left" w:pos="0"/>
        </w:tabs>
        <w:spacing w:line="312" w:lineRule="auto"/>
        <w:rPr>
          <w:rFonts w:hAnsi="宋体" w:cs="宋体"/>
          <w:b w:val="0"/>
          <w:bCs/>
          <w:kern w:val="2"/>
          <w:sz w:val="21"/>
          <w:szCs w:val="21"/>
          <w:lang w:bidi="ar"/>
        </w:rPr>
      </w:pPr>
      <w:r>
        <w:rPr>
          <w:rFonts w:hint="eastAsia" w:hAnsi="宋体" w:cs="宋体"/>
          <w:b w:val="0"/>
          <w:bCs/>
          <w:kern w:val="2"/>
          <w:sz w:val="21"/>
          <w:szCs w:val="21"/>
          <w:lang w:bidi="ar"/>
        </w:rPr>
        <w:tab/>
      </w:r>
      <w:r>
        <w:rPr>
          <w:rFonts w:hint="eastAsia" w:hAnsi="宋体" w:cs="宋体"/>
          <w:b w:val="0"/>
          <w:bCs/>
          <w:kern w:val="2"/>
          <w:sz w:val="21"/>
          <w:szCs w:val="21"/>
          <w:lang w:bidi="ar"/>
        </w:rPr>
        <w:t>注：0周岁指出生满28天且健康出院。</w:t>
      </w:r>
    </w:p>
    <w:p>
      <w:pPr>
        <w:numPr>
          <w:ilvl w:val="255"/>
          <w:numId w:val="0"/>
        </w:numPr>
        <w:tabs>
          <w:tab w:val="left" w:pos="0"/>
        </w:tabs>
        <w:spacing w:line="312" w:lineRule="auto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二、调整系数</w:t>
      </w:r>
      <w:r>
        <w:rPr>
          <w:rFonts w:hint="eastAsia" w:hAnsi="宋体" w:cs="Arial"/>
          <w:sz w:val="21"/>
          <w:szCs w:val="21"/>
          <w:lang w:bidi="ar"/>
        </w:rPr>
        <w:t xml:space="preserve">  </w:t>
      </w:r>
    </w:p>
    <w:p>
      <w:pPr>
        <w:spacing w:line="312" w:lineRule="auto"/>
        <w:ind w:firstLine="420" w:firstLineChars="200"/>
        <w:rPr>
          <w:rFonts w:hAnsi="宋体" w:cs="Arial"/>
          <w:b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1、免赔额调整系数</w:t>
      </w:r>
    </w:p>
    <w:tbl>
      <w:tblPr>
        <w:tblStyle w:val="8"/>
        <w:tblW w:w="76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907"/>
        <w:gridCol w:w="907"/>
        <w:gridCol w:w="907"/>
        <w:gridCol w:w="907"/>
        <w:gridCol w:w="907"/>
        <w:gridCol w:w="907"/>
        <w:gridCol w:w="9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免赔额(元)</w:t>
            </w:r>
          </w:p>
        </w:tc>
        <w:tc>
          <w:tcPr>
            <w:tcW w:w="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5000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8000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10000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15000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20000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调整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系数</w:t>
            </w:r>
          </w:p>
        </w:tc>
        <w:tc>
          <w:tcPr>
            <w:tcW w:w="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1.0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0.9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0.8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0.7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0.6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0.5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0.4</w:t>
            </w:r>
          </w:p>
        </w:tc>
      </w:tr>
    </w:tbl>
    <w:p>
      <w:pPr>
        <w:spacing w:line="312" w:lineRule="auto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 xml:space="preserve"> </w:t>
      </w:r>
    </w:p>
    <w:p>
      <w:pPr>
        <w:numPr>
          <w:ilvl w:val="0"/>
          <w:numId w:val="1"/>
        </w:num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  <w:lang w:bidi="ar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给付比例调整系数</w:t>
      </w: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  <w:lang w:bidi="ar"/>
        </w:rPr>
      </w:pP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给付比例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（90%,100%]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0.9,1</w:t>
            </w:r>
            <w:r>
              <w:rPr>
                <w:rFonts w:hAnsi="宋体" w:cs="宋体"/>
                <w:sz w:val="21"/>
                <w:szCs w:val="21"/>
                <w:lang w:bidi="ar"/>
              </w:rPr>
              <w:t>.1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（80%,90%]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0.8,0.9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（70%,80%]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0.7,0.8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（60%,70%]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0.6,0.7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（50%,60%]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0.5,0.6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≤50%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0,0.5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</w:tbl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  <w:lang w:bidi="ar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 xml:space="preserve"> </w:t>
      </w: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3、规模调整系数：按渠道年度投保人数规模，进行划分。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年度投保人数（N）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N&gt;1200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800&lt;N≤1200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300&lt;N≤800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N≤300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[1.1,1.5]</w:t>
            </w:r>
          </w:p>
        </w:tc>
      </w:tr>
    </w:tbl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 xml:space="preserve"> </w:t>
      </w: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4、历史赔付率调整系数：按渠道近三年赔付率情况，进行划分。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[0.5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(0.7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(0.9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(1.1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1.0</w:t>
            </w:r>
          </w:p>
        </w:tc>
      </w:tr>
    </w:tbl>
    <w:p>
      <w:pPr>
        <w:spacing w:line="288" w:lineRule="auto"/>
        <w:rPr>
          <w:rFonts w:hAnsi="宋体" w:cs="宋体"/>
          <w:b/>
          <w:kern w:val="2"/>
          <w:sz w:val="21"/>
          <w:szCs w:val="21"/>
        </w:rPr>
      </w:pP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  <w:lang w:bidi="ar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5、等待期调整系数：按保单约定的等待期天数，进行划分。</w:t>
      </w:r>
    </w:p>
    <w:tbl>
      <w:tblPr>
        <w:tblStyle w:val="8"/>
        <w:tblW w:w="4577" w:type="dxa"/>
        <w:tblInd w:w="19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7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等待期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0天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30天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60天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90天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120天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180天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0.7</w:t>
            </w:r>
          </w:p>
        </w:tc>
      </w:tr>
    </w:tbl>
    <w:p>
      <w:pPr>
        <w:numPr>
          <w:ilvl w:val="255"/>
          <w:numId w:val="0"/>
        </w:numPr>
        <w:ind w:firstLine="420" w:firstLineChars="200"/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</w:pPr>
    </w:p>
    <w:p>
      <w:pPr>
        <w:numPr>
          <w:ilvl w:val="255"/>
          <w:numId w:val="0"/>
        </w:numPr>
        <w:ind w:firstLine="420" w:firstLineChars="200"/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6.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  <w:r>
        <w:rPr>
          <w:rFonts w:hint="eastAsia" w:hAnsi="宋体" w:cs="Arial"/>
          <w:bCs/>
          <w:color w:val="000000"/>
          <w:kern w:val="2"/>
          <w:sz w:val="21"/>
          <w:szCs w:val="21"/>
          <w:lang w:eastAsia="zh-CN"/>
        </w:rPr>
        <w:t>：</w:t>
      </w:r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按保单约定的缴费方式，进行划分。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</w:p>
    <w:tbl>
      <w:tblPr>
        <w:tblStyle w:val="8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bookmarkStart w:id="0" w:name="OLE_LINK3"/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  <w:bookmarkEnd w:id="0"/>
    </w:tbl>
    <w:p>
      <w:pPr>
        <w:spacing w:line="288" w:lineRule="auto"/>
        <w:ind w:firstLine="0" w:firstLineChars="0"/>
        <w:rPr>
          <w:rFonts w:hAnsi="宋体" w:cs="宋体"/>
          <w:b/>
          <w:kern w:val="2"/>
          <w:sz w:val="21"/>
          <w:szCs w:val="21"/>
        </w:rPr>
      </w:pPr>
    </w:p>
    <w:p>
      <w:pPr>
        <w:spacing w:line="288" w:lineRule="auto"/>
        <w:ind w:firstLine="422" w:firstLineChars="200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三、保险费计算</w:t>
      </w:r>
    </w:p>
    <w:p>
      <w:pPr>
        <w:spacing w:line="360" w:lineRule="auto"/>
        <w:ind w:firstLine="420" w:firstLineChars="200"/>
        <w:rPr>
          <w:rFonts w:hint="default" w:hAnsi="宋体" w:eastAsia="宋体" w:cs="Arial"/>
          <w:kern w:val="2"/>
          <w:sz w:val="21"/>
          <w:szCs w:val="21"/>
          <w:lang w:val="en-US" w:eastAsia="zh-CN" w:bidi="ar"/>
        </w:rPr>
      </w:pPr>
      <w:r>
        <w:rPr>
          <w:rFonts w:hint="eastAsia" w:hAnsi="宋体" w:cs="Arial"/>
          <w:kern w:val="2"/>
          <w:sz w:val="21"/>
          <w:szCs w:val="21"/>
          <w:lang w:bidi="ar"/>
        </w:rPr>
        <w:t>1、年保险费=年基准保险费×免赔额调整系数×</w:t>
      </w:r>
      <w:r>
        <w:rPr>
          <w:rFonts w:hint="eastAsia" w:hAnsi="宋体" w:cs="宋体"/>
          <w:kern w:val="2"/>
          <w:sz w:val="21"/>
          <w:szCs w:val="21"/>
          <w:lang w:bidi="ar"/>
        </w:rPr>
        <w:t>给付比例调整系数</w:t>
      </w:r>
      <w:r>
        <w:rPr>
          <w:rFonts w:hint="eastAsia" w:hAnsi="宋体" w:cs="Arial"/>
          <w:kern w:val="2"/>
          <w:sz w:val="21"/>
          <w:szCs w:val="21"/>
          <w:lang w:bidi="ar"/>
        </w:rPr>
        <w:t>×</w:t>
      </w:r>
      <w:r>
        <w:rPr>
          <w:rFonts w:hint="eastAsia" w:hAnsi="宋体" w:cs="宋体"/>
          <w:kern w:val="2"/>
          <w:sz w:val="21"/>
          <w:szCs w:val="21"/>
          <w:lang w:bidi="ar"/>
        </w:rPr>
        <w:t>规模调整系数</w:t>
      </w:r>
      <w:r>
        <w:rPr>
          <w:rFonts w:hint="eastAsia" w:hAnsi="宋体" w:cs="Arial"/>
          <w:kern w:val="2"/>
          <w:sz w:val="21"/>
          <w:szCs w:val="21"/>
          <w:lang w:bidi="ar"/>
        </w:rPr>
        <w:t>×历史赔付率调整系数×等待期调整系数×</w:t>
      </w:r>
      <w:r>
        <w:rPr>
          <w:rFonts w:hint="eastAsia" w:hAnsi="宋体" w:cs="Arial"/>
          <w:kern w:val="2"/>
          <w:sz w:val="21"/>
          <w:szCs w:val="21"/>
          <w:lang w:val="en-US" w:eastAsia="zh-CN" w:bidi="ar"/>
        </w:rPr>
        <w:t>缴费方式调整系数</w:t>
      </w:r>
    </w:p>
    <w:p>
      <w:pPr>
        <w:spacing w:line="360" w:lineRule="auto"/>
        <w:ind w:firstLine="420" w:firstLineChars="200"/>
        <w:jc w:val="left"/>
        <w:rPr>
          <w:rFonts w:hAnsi="宋体" w:cs="Arial"/>
          <w:kern w:val="2"/>
          <w:sz w:val="21"/>
          <w:szCs w:val="21"/>
          <w:lang w:bidi="ar"/>
        </w:rPr>
      </w:pPr>
      <w:r>
        <w:rPr>
          <w:rFonts w:hint="eastAsia" w:hAnsi="宋体" w:cs="Arial"/>
          <w:kern w:val="2"/>
          <w:sz w:val="21"/>
          <w:szCs w:val="21"/>
          <w:lang w:bidi="ar"/>
        </w:rPr>
        <w:t xml:space="preserve"> 2、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保险合同按分期缴付保险费，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根据保险费分期支付期数</w:t>
      </w:r>
      <w:r>
        <w:rPr>
          <w:rFonts w:hint="eastAsia" w:hAnsi="宋体" w:cs="Times New Roman"/>
          <w:color w:val="auto"/>
          <w:kern w:val="0"/>
          <w:sz w:val="21"/>
          <w:szCs w:val="22"/>
          <w:lang w:eastAsia="zh-CN"/>
        </w:rPr>
        <w:t>，</w:t>
      </w:r>
      <w:r>
        <w:rPr>
          <w:rFonts w:hint="eastAsia" w:hAnsi="宋体" w:cs="Times New Roman"/>
          <w:color w:val="auto"/>
          <w:kern w:val="0"/>
          <w:sz w:val="21"/>
          <w:szCs w:val="22"/>
          <w:lang w:val="en-US" w:eastAsia="zh-CN"/>
        </w:rPr>
        <w:t>使用如下</w:t>
      </w:r>
      <w:r>
        <w:rPr>
          <w:rFonts w:hint="eastAsia" w:hAnsi="宋体" w:cs="Times New Roman"/>
          <w:color w:val="auto"/>
          <w:kern w:val="0"/>
          <w:sz w:val="21"/>
          <w:szCs w:val="22"/>
        </w:rPr>
        <w:t>公式计收每期保险费：</w:t>
      </w:r>
    </w:p>
    <w:p>
      <w:pPr>
        <w:spacing w:line="360" w:lineRule="auto"/>
        <w:ind w:firstLine="420" w:firstLineChars="200"/>
        <w:rPr>
          <w:rFonts w:hAnsi="宋体" w:cs="Arial"/>
          <w:kern w:val="2"/>
          <w:sz w:val="21"/>
          <w:szCs w:val="21"/>
          <w:lang w:bidi="ar"/>
        </w:rPr>
      </w:pPr>
      <w:r>
        <w:rPr>
          <w:rFonts w:hint="eastAsia" w:hAnsi="宋体" w:cs="Arial"/>
          <w:kern w:val="2"/>
          <w:sz w:val="21"/>
          <w:szCs w:val="21"/>
          <w:lang w:bidi="ar"/>
        </w:rPr>
        <w:t>每期保险费（按四舍五入计算）=保险合同总保费÷分期缴费期数</w:t>
      </w:r>
    </w:p>
    <w:p>
      <w:pPr>
        <w:adjustRightInd w:val="0"/>
        <w:snapToGrid w:val="0"/>
        <w:spacing w:line="288" w:lineRule="auto"/>
        <w:rPr>
          <w:rFonts w:hAnsi="宋体" w:cs="宋体"/>
          <w:b/>
          <w:kern w:val="2"/>
          <w:sz w:val="21"/>
          <w:szCs w:val="21"/>
        </w:rPr>
      </w:pPr>
    </w:p>
    <w:p>
      <w:pPr>
        <w:adjustRightInd w:val="0"/>
        <w:snapToGrid w:val="0"/>
        <w:spacing w:line="288" w:lineRule="auto"/>
        <w:ind w:firstLine="422" w:firstLineChars="200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四、短期费率表</w:t>
      </w:r>
    </w:p>
    <w:p>
      <w:pPr>
        <w:adjustRightInd w:val="0"/>
        <w:snapToGrid w:val="0"/>
        <w:spacing w:line="288" w:lineRule="auto"/>
        <w:ind w:firstLine="482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保险期间不足一年的，按以下标准计算短期保险费（按年保险费的百分比计算，不足一个月的按一个月计算）：</w:t>
      </w:r>
    </w:p>
    <w:tbl>
      <w:tblPr>
        <w:tblStyle w:val="8"/>
        <w:tblW w:w="84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保险期间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一个月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二个月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三个月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四个月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五个月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六个月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七个月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八个月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九个月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十个月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十一个月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十</w:t>
            </w:r>
          </w:p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二</w:t>
            </w:r>
          </w:p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个</w:t>
            </w:r>
          </w:p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年保险费的百分比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10%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20%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30%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40%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50%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60%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70%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80%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85%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90%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100%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1E7B5"/>
    <w:multiLevelType w:val="singleLevel"/>
    <w:tmpl w:val="4FB1E7B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C1EAB"/>
    <w:rsid w:val="00146A7E"/>
    <w:rsid w:val="0021076F"/>
    <w:rsid w:val="0024773A"/>
    <w:rsid w:val="00263BAC"/>
    <w:rsid w:val="00557EB2"/>
    <w:rsid w:val="005B0550"/>
    <w:rsid w:val="005B07DB"/>
    <w:rsid w:val="006E0FCE"/>
    <w:rsid w:val="007422AA"/>
    <w:rsid w:val="008152AB"/>
    <w:rsid w:val="008347F6"/>
    <w:rsid w:val="008E2E99"/>
    <w:rsid w:val="0094710F"/>
    <w:rsid w:val="00977EEA"/>
    <w:rsid w:val="00BB4344"/>
    <w:rsid w:val="00BD0AAA"/>
    <w:rsid w:val="00C13EB0"/>
    <w:rsid w:val="00CF145A"/>
    <w:rsid w:val="00DE5163"/>
    <w:rsid w:val="00E03AF5"/>
    <w:rsid w:val="00E71077"/>
    <w:rsid w:val="00EB6F13"/>
    <w:rsid w:val="0254156E"/>
    <w:rsid w:val="02543527"/>
    <w:rsid w:val="02EE2C25"/>
    <w:rsid w:val="069D65A4"/>
    <w:rsid w:val="0A954EDA"/>
    <w:rsid w:val="0B531FDE"/>
    <w:rsid w:val="0C97580A"/>
    <w:rsid w:val="1803180F"/>
    <w:rsid w:val="1B767107"/>
    <w:rsid w:val="1E9E7ED8"/>
    <w:rsid w:val="260E4741"/>
    <w:rsid w:val="27FA4282"/>
    <w:rsid w:val="2BD90CA8"/>
    <w:rsid w:val="3222576C"/>
    <w:rsid w:val="39CA3A56"/>
    <w:rsid w:val="3CAE3E2B"/>
    <w:rsid w:val="3FEF10E6"/>
    <w:rsid w:val="44D1695D"/>
    <w:rsid w:val="48EC1EAB"/>
    <w:rsid w:val="4982430D"/>
    <w:rsid w:val="4A6E16C1"/>
    <w:rsid w:val="4F715BAC"/>
    <w:rsid w:val="541A7C29"/>
    <w:rsid w:val="5514642F"/>
    <w:rsid w:val="57117480"/>
    <w:rsid w:val="5990242D"/>
    <w:rsid w:val="5C307467"/>
    <w:rsid w:val="5DC55015"/>
    <w:rsid w:val="62A76BD5"/>
    <w:rsid w:val="62AA7E70"/>
    <w:rsid w:val="64A52432"/>
    <w:rsid w:val="6533069F"/>
    <w:rsid w:val="668C6EFE"/>
    <w:rsid w:val="670F43DE"/>
    <w:rsid w:val="69F30C0E"/>
    <w:rsid w:val="6A4D78BB"/>
    <w:rsid w:val="6BC816F0"/>
    <w:rsid w:val="6FC80B0E"/>
    <w:rsid w:val="706B4839"/>
    <w:rsid w:val="707E2F83"/>
    <w:rsid w:val="719F36ED"/>
    <w:rsid w:val="72861B52"/>
    <w:rsid w:val="76BD364D"/>
    <w:rsid w:val="76F6353C"/>
    <w:rsid w:val="78A716D3"/>
    <w:rsid w:val="7DA9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6"/>
    <w:uiPriority w:val="0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字符"/>
    <w:basedOn w:val="10"/>
    <w:link w:val="3"/>
    <w:qFormat/>
    <w:uiPriority w:val="0"/>
    <w:rPr>
      <w:rFonts w:ascii="宋体"/>
      <w:sz w:val="18"/>
      <w:szCs w:val="18"/>
    </w:rPr>
  </w:style>
  <w:style w:type="character" w:customStyle="1" w:styleId="13">
    <w:name w:val="页眉 字符"/>
    <w:basedOn w:val="10"/>
    <w:link w:val="5"/>
    <w:qFormat/>
    <w:uiPriority w:val="0"/>
    <w:rPr>
      <w:rFonts w:ascii="宋体"/>
      <w:sz w:val="18"/>
      <w:szCs w:val="18"/>
    </w:rPr>
  </w:style>
  <w:style w:type="character" w:customStyle="1" w:styleId="14">
    <w:name w:val="页脚 字符"/>
    <w:basedOn w:val="10"/>
    <w:link w:val="4"/>
    <w:qFormat/>
    <w:uiPriority w:val="0"/>
    <w:rPr>
      <w:rFonts w:ascii="宋体"/>
      <w:sz w:val="18"/>
      <w:szCs w:val="18"/>
    </w:rPr>
  </w:style>
  <w:style w:type="character" w:customStyle="1" w:styleId="15">
    <w:name w:val="批注文字 字符"/>
    <w:basedOn w:val="10"/>
    <w:link w:val="2"/>
    <w:qFormat/>
    <w:uiPriority w:val="0"/>
    <w:rPr>
      <w:rFonts w:ascii="宋体"/>
      <w:sz w:val="34"/>
      <w:szCs w:val="22"/>
    </w:rPr>
  </w:style>
  <w:style w:type="character" w:customStyle="1" w:styleId="16">
    <w:name w:val="批注主题 字符"/>
    <w:basedOn w:val="15"/>
    <w:link w:val="7"/>
    <w:qFormat/>
    <w:uiPriority w:val="0"/>
    <w:rPr>
      <w:rFonts w:ascii="宋体"/>
      <w:b/>
      <w:bCs/>
      <w:sz w:val="3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841</Words>
  <Characters>901</Characters>
  <Lines>75</Lines>
  <Paragraphs>52</Paragraphs>
  <TotalTime>0</TotalTime>
  <ScaleCrop>false</ScaleCrop>
  <LinksUpToDate>false</LinksUpToDate>
  <CharactersWithSpaces>1690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2019-08-11T07:53:00Z</dcterms:created>
  <dc:creator>Lenovo</dc:creator>
  <cp:lastModifiedBy>Zixuan Shen</cp:lastModifiedBy>
  <dcterms:modified xsi:type="dcterms:W3CDTF">2021-11-22T02:58:37Z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1A1D25E674094C7A846AA99AA7233AF1</vt:lpwstr>
  </property>
</Properties>
</file>