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73DBF" w14:textId="77777777" w:rsidR="005E6C3F" w:rsidRPr="00E61090" w:rsidRDefault="00000000" w:rsidP="00E61090">
      <w:pPr>
        <w:jc w:val="center"/>
        <w:rPr>
          <w:b/>
          <w:bCs/>
          <w:sz w:val="28"/>
          <w:szCs w:val="28"/>
        </w:rPr>
      </w:pPr>
      <w:r w:rsidRPr="00E61090">
        <w:rPr>
          <w:rFonts w:hint="eastAsia"/>
          <w:b/>
          <w:bCs/>
          <w:sz w:val="28"/>
          <w:szCs w:val="28"/>
        </w:rPr>
        <w:t>华</w:t>
      </w:r>
      <w:proofErr w:type="gramStart"/>
      <w:r w:rsidRPr="00E61090">
        <w:rPr>
          <w:rFonts w:hint="eastAsia"/>
          <w:b/>
          <w:bCs/>
          <w:sz w:val="28"/>
          <w:szCs w:val="28"/>
        </w:rPr>
        <w:t>农财产</w:t>
      </w:r>
      <w:proofErr w:type="gramEnd"/>
      <w:r w:rsidRPr="00E61090">
        <w:rPr>
          <w:rFonts w:hint="eastAsia"/>
          <w:b/>
          <w:bCs/>
          <w:sz w:val="28"/>
          <w:szCs w:val="28"/>
        </w:rPr>
        <w:t>保险股份有限公司</w:t>
      </w:r>
    </w:p>
    <w:p w14:paraId="4098AE97" w14:textId="77777777" w:rsidR="005E6C3F" w:rsidRPr="00E61090" w:rsidRDefault="00000000" w:rsidP="00E61090">
      <w:pPr>
        <w:jc w:val="center"/>
        <w:rPr>
          <w:b/>
          <w:bCs/>
          <w:sz w:val="28"/>
          <w:szCs w:val="28"/>
        </w:rPr>
      </w:pPr>
      <w:r w:rsidRPr="00E61090">
        <w:rPr>
          <w:rFonts w:hint="eastAsia"/>
          <w:b/>
          <w:bCs/>
          <w:sz w:val="28"/>
          <w:szCs w:val="28"/>
        </w:rPr>
        <w:t>个人意外伤害保险费率表（银</w:t>
      </w:r>
      <w:proofErr w:type="gramStart"/>
      <w:r w:rsidRPr="00E61090">
        <w:rPr>
          <w:rFonts w:hint="eastAsia"/>
          <w:b/>
          <w:bCs/>
          <w:sz w:val="28"/>
          <w:szCs w:val="28"/>
        </w:rPr>
        <w:t>保渠道专</w:t>
      </w:r>
      <w:proofErr w:type="gramEnd"/>
      <w:r w:rsidRPr="00E61090">
        <w:rPr>
          <w:rFonts w:hint="eastAsia"/>
          <w:b/>
          <w:bCs/>
          <w:sz w:val="28"/>
          <w:szCs w:val="28"/>
        </w:rPr>
        <w:t>属）</w:t>
      </w:r>
    </w:p>
    <w:p w14:paraId="3C6EA767" w14:textId="77777777" w:rsidR="005E6C3F" w:rsidRPr="00E915A6" w:rsidRDefault="00000000" w:rsidP="00E61090">
      <w:pPr>
        <w:rPr>
          <w:b/>
          <w:bCs/>
        </w:rPr>
      </w:pPr>
      <w:r w:rsidRPr="00E915A6">
        <w:rPr>
          <w:rFonts w:hint="eastAsia"/>
          <w:b/>
          <w:bCs/>
        </w:rPr>
        <w:t>一、年</w:t>
      </w:r>
      <w:r w:rsidRPr="00E915A6">
        <w:rPr>
          <w:rFonts w:asciiTheme="minorEastAsia" w:eastAsiaTheme="minorEastAsia" w:hAnsiTheme="minorEastAsia" w:cstheme="minorBidi" w:hint="eastAsia"/>
          <w:b/>
          <w:bCs/>
        </w:rPr>
        <w:t>基</w:t>
      </w:r>
      <w:r w:rsidRPr="00E915A6">
        <w:rPr>
          <w:rFonts w:asciiTheme="minorEastAsia" w:eastAsiaTheme="minorEastAsia" w:hAnsiTheme="minorEastAsia" w:cstheme="minorBidi" w:hint="eastAsia"/>
          <w:b/>
          <w:bCs/>
          <w:lang w:eastAsia="zh-Hans"/>
        </w:rPr>
        <w:t>准</w:t>
      </w:r>
      <w:r w:rsidRPr="00E915A6">
        <w:rPr>
          <w:rFonts w:hint="eastAsia"/>
          <w:b/>
          <w:bCs/>
        </w:rPr>
        <w:t>费率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3"/>
      </w:tblGrid>
      <w:tr w:rsidR="005E6C3F" w14:paraId="0BEC26AF" w14:textId="77777777">
        <w:trPr>
          <w:trHeight w:val="338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FE5E" w14:textId="77777777" w:rsidR="005E6C3F" w:rsidRDefault="00000000" w:rsidP="00E61090">
            <w:r>
              <w:t>职业类别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6830" w14:textId="77777777" w:rsidR="005E6C3F" w:rsidRDefault="00000000" w:rsidP="00E61090">
            <w:pPr>
              <w:rPr>
                <w:lang w:eastAsia="zh-Hans"/>
              </w:rPr>
            </w:pPr>
            <w:r>
              <w:t>意外伤害身故</w:t>
            </w:r>
          </w:p>
          <w:p w14:paraId="6020E602" w14:textId="77777777" w:rsidR="005E6C3F" w:rsidRDefault="00000000" w:rsidP="00E61090">
            <w:r>
              <w:rPr>
                <w:rFonts w:hint="eastAsia"/>
              </w:rPr>
              <w:t>（基本责任）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BC22" w14:textId="77777777" w:rsidR="005E6C3F" w:rsidRDefault="00000000" w:rsidP="00E61090">
            <w:r>
              <w:t>意外伤害</w:t>
            </w:r>
            <w:r>
              <w:rPr>
                <w:rFonts w:hint="eastAsia"/>
              </w:rPr>
              <w:t>伤残</w:t>
            </w:r>
          </w:p>
          <w:p w14:paraId="41524349" w14:textId="77777777" w:rsidR="005E6C3F" w:rsidRDefault="00000000" w:rsidP="00E61090">
            <w:r>
              <w:rPr>
                <w:rFonts w:hint="eastAsia"/>
              </w:rPr>
              <w:t>（可选责任）</w:t>
            </w:r>
          </w:p>
        </w:tc>
      </w:tr>
      <w:tr w:rsidR="005E6C3F" w14:paraId="2DA34A02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AEE8" w14:textId="77777777" w:rsidR="005E6C3F" w:rsidRDefault="00000000" w:rsidP="00E61090">
            <w:r>
              <w:t>一类职业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70858" w14:textId="77777777" w:rsidR="005E6C3F" w:rsidRDefault="00000000" w:rsidP="00E61090">
            <w:r>
              <w:rPr>
                <w:rFonts w:hint="eastAsia"/>
              </w:rPr>
              <w:t>0.22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00CB" w14:textId="77777777" w:rsidR="005E6C3F" w:rsidRDefault="00000000" w:rsidP="00E61090">
            <w:r>
              <w:rPr>
                <w:rFonts w:hint="eastAsia"/>
              </w:rPr>
              <w:t>0.17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  <w:tr w:rsidR="005E6C3F" w14:paraId="28711B02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F588" w14:textId="77777777" w:rsidR="005E6C3F" w:rsidRDefault="00000000" w:rsidP="00E61090">
            <w:r>
              <w:t>二类职业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A5531" w14:textId="77777777" w:rsidR="005E6C3F" w:rsidRDefault="00000000" w:rsidP="00E61090">
            <w:r>
              <w:rPr>
                <w:rFonts w:hint="eastAsia"/>
              </w:rPr>
              <w:t>0.33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3437E" w14:textId="77777777" w:rsidR="005E6C3F" w:rsidRDefault="00000000" w:rsidP="00E61090">
            <w:r>
              <w:rPr>
                <w:rFonts w:hint="eastAsia"/>
              </w:rPr>
              <w:t>0.26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  <w:tr w:rsidR="005E6C3F" w14:paraId="66EC3567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D44D" w14:textId="77777777" w:rsidR="005E6C3F" w:rsidRDefault="00000000" w:rsidP="00E61090">
            <w:r>
              <w:t>三类职业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E46C5" w14:textId="77777777" w:rsidR="005E6C3F" w:rsidRDefault="00000000" w:rsidP="00E61090">
            <w:r>
              <w:rPr>
                <w:rFonts w:hint="eastAsia"/>
              </w:rPr>
              <w:t>0.38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DC145" w14:textId="77777777" w:rsidR="005E6C3F" w:rsidRDefault="00000000" w:rsidP="00E61090">
            <w:r>
              <w:rPr>
                <w:rFonts w:hint="eastAsia"/>
              </w:rPr>
              <w:t>0.30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  <w:tr w:rsidR="005E6C3F" w14:paraId="34252772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993F" w14:textId="77777777" w:rsidR="005E6C3F" w:rsidRDefault="00000000" w:rsidP="00E61090">
            <w:r>
              <w:t>四类职业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8BDC8" w14:textId="77777777" w:rsidR="005E6C3F" w:rsidRDefault="00000000" w:rsidP="00E61090">
            <w:r>
              <w:rPr>
                <w:rFonts w:hint="eastAsia"/>
              </w:rPr>
              <w:t>0.43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58ED3" w14:textId="77777777" w:rsidR="005E6C3F" w:rsidRDefault="00000000" w:rsidP="00E61090">
            <w:r>
              <w:rPr>
                <w:rFonts w:hint="eastAsia"/>
              </w:rPr>
              <w:t>0.35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  <w:tr w:rsidR="005E6C3F" w14:paraId="1961FB71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FE62" w14:textId="77777777" w:rsidR="005E6C3F" w:rsidRDefault="00000000" w:rsidP="00E61090">
            <w:r>
              <w:t>五类职业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B165" w14:textId="77777777" w:rsidR="005E6C3F" w:rsidRDefault="00000000" w:rsidP="00E61090">
            <w:r>
              <w:rPr>
                <w:rFonts w:hint="eastAsia"/>
              </w:rPr>
              <w:t>0.54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74794" w14:textId="77777777" w:rsidR="005E6C3F" w:rsidRDefault="00000000" w:rsidP="00E61090">
            <w:r>
              <w:rPr>
                <w:rFonts w:hint="eastAsia"/>
              </w:rPr>
              <w:t>0.43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  <w:tr w:rsidR="005E6C3F" w14:paraId="7A381C57" w14:textId="7777777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EF7F" w14:textId="77777777" w:rsidR="005E6C3F" w:rsidRDefault="00000000" w:rsidP="00E61090">
            <w:r>
              <w:t>六类职业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BC5FB" w14:textId="77777777" w:rsidR="005E6C3F" w:rsidRDefault="00000000" w:rsidP="00E61090">
            <w:r>
              <w:rPr>
                <w:rFonts w:hint="eastAsia"/>
              </w:rPr>
              <w:t>0.81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2F23" w14:textId="77777777" w:rsidR="005E6C3F" w:rsidRDefault="00000000" w:rsidP="00E61090">
            <w:r>
              <w:rPr>
                <w:rFonts w:hint="eastAsia"/>
              </w:rPr>
              <w:t>0.65</w:t>
            </w:r>
            <w:r>
              <w:rPr>
                <w:rFonts w:hint="eastAsia"/>
              </w:rPr>
              <w:t>‰</w:t>
            </w:r>
            <w:r>
              <w:rPr>
                <w:rFonts w:hint="eastAsia"/>
              </w:rPr>
              <w:t xml:space="preserve">  </w:t>
            </w:r>
          </w:p>
        </w:tc>
      </w:tr>
    </w:tbl>
    <w:p w14:paraId="55A43283" w14:textId="77777777" w:rsidR="005E6C3F" w:rsidRDefault="00000000" w:rsidP="00E61090">
      <w:r>
        <w:rPr>
          <w:rFonts w:hint="eastAsia"/>
        </w:rPr>
        <w:t>注：</w:t>
      </w:r>
      <w:r>
        <w:rPr>
          <w:rFonts w:hint="eastAsia"/>
          <w:color w:val="000000"/>
        </w:rPr>
        <w:t>被保险人的职业类别依据保险人制定的《职业分类表》确定，</w:t>
      </w:r>
      <w:r>
        <w:rPr>
          <w:rFonts w:hint="eastAsia"/>
        </w:rPr>
        <w:t>18</w:t>
      </w:r>
      <w:r>
        <w:rPr>
          <w:rFonts w:hint="eastAsia"/>
        </w:rPr>
        <w:t>周岁（含）以下子女作为被保险人的按二类职业计算保险费。</w:t>
      </w:r>
    </w:p>
    <w:p w14:paraId="17329DA4" w14:textId="77777777" w:rsidR="005E6C3F" w:rsidRPr="00E915A6" w:rsidRDefault="00000000" w:rsidP="00E61090">
      <w:pPr>
        <w:rPr>
          <w:b/>
          <w:bCs/>
        </w:rPr>
      </w:pPr>
      <w:r w:rsidRPr="00E915A6">
        <w:rPr>
          <w:rFonts w:hint="eastAsia"/>
          <w:b/>
          <w:bCs/>
          <w:lang w:eastAsia="zh-Hans"/>
        </w:rPr>
        <w:t>二、</w:t>
      </w:r>
      <w:r w:rsidRPr="00E915A6">
        <w:rPr>
          <w:rFonts w:hint="eastAsia"/>
          <w:b/>
          <w:bCs/>
        </w:rPr>
        <w:t>费率</w:t>
      </w:r>
      <w:r w:rsidRPr="00E915A6">
        <w:rPr>
          <w:rFonts w:asciiTheme="minorEastAsia" w:eastAsiaTheme="minorEastAsia" w:hAnsiTheme="minorEastAsia" w:cstheme="minorBidi" w:hint="eastAsia"/>
          <w:b/>
          <w:bCs/>
        </w:rPr>
        <w:t>调整</w:t>
      </w:r>
      <w:r w:rsidRPr="00E915A6">
        <w:rPr>
          <w:rFonts w:hint="eastAsia"/>
          <w:b/>
          <w:bCs/>
        </w:rPr>
        <w:t>系数</w:t>
      </w:r>
    </w:p>
    <w:tbl>
      <w:tblPr>
        <w:tblW w:w="8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0"/>
        <w:gridCol w:w="1857"/>
        <w:gridCol w:w="2575"/>
        <w:gridCol w:w="2353"/>
      </w:tblGrid>
      <w:tr w:rsidR="005E6C3F" w14:paraId="7DF4B591" w14:textId="77777777">
        <w:trPr>
          <w:trHeight w:val="420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0BD64C16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3731A19D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核保要素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0611D1AA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标准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74A52120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调整系数</w:t>
            </w:r>
          </w:p>
        </w:tc>
      </w:tr>
      <w:tr w:rsidR="005E6C3F" w14:paraId="72726541" w14:textId="77777777">
        <w:trPr>
          <w:trHeight w:val="420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2FE68013" w14:textId="77777777" w:rsidR="005E6C3F" w:rsidRDefault="00000000" w:rsidP="00E61090">
            <w:r>
              <w:rPr>
                <w:rFonts w:hint="eastAsia"/>
              </w:rPr>
              <w:t>F1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14:paraId="38CC313E" w14:textId="77777777" w:rsidR="005E6C3F" w:rsidRDefault="00000000" w:rsidP="00E61090">
            <w:r>
              <w:rPr>
                <w:rFonts w:hint="eastAsia"/>
              </w:rPr>
              <w:t>缴费方式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0C89F749" w14:textId="77777777" w:rsidR="005E6C3F" w:rsidRDefault="00000000" w:rsidP="00E61090">
            <w:r>
              <w:rPr>
                <w:rFonts w:hint="eastAsia"/>
              </w:rPr>
              <w:t>一次性缴费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3E0643E" w14:textId="77777777" w:rsidR="005E6C3F" w:rsidRDefault="00000000" w:rsidP="00E61090">
            <w:r>
              <w:rPr>
                <w:rFonts w:hint="eastAsia"/>
              </w:rPr>
              <w:t>[0.8,1.2]</w:t>
            </w:r>
          </w:p>
        </w:tc>
      </w:tr>
      <w:tr w:rsidR="005E6C3F" w14:paraId="336519E8" w14:textId="77777777">
        <w:trPr>
          <w:trHeight w:val="420"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29A35A70" w14:textId="77777777" w:rsidR="005E6C3F" w:rsidRDefault="005E6C3F" w:rsidP="00E61090"/>
        </w:tc>
        <w:tc>
          <w:tcPr>
            <w:tcW w:w="1857" w:type="dxa"/>
            <w:vMerge/>
            <w:shd w:val="clear" w:color="auto" w:fill="auto"/>
            <w:vAlign w:val="center"/>
          </w:tcPr>
          <w:p w14:paraId="7AD13CD9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48183995" w14:textId="77777777" w:rsidR="005E6C3F" w:rsidRDefault="00000000" w:rsidP="00E61090">
            <w:r>
              <w:rPr>
                <w:rFonts w:hint="eastAsia"/>
              </w:rPr>
              <w:t>分期缴费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6465E091" w14:textId="77777777" w:rsidR="005E6C3F" w:rsidRDefault="00000000" w:rsidP="00E61090">
            <w:r>
              <w:rPr>
                <w:rFonts w:hint="eastAsia"/>
              </w:rPr>
              <w:t>[1.0,1.5]</w:t>
            </w:r>
          </w:p>
        </w:tc>
      </w:tr>
      <w:tr w:rsidR="005E6C3F" w14:paraId="6A6FAD85" w14:textId="77777777">
        <w:trPr>
          <w:trHeight w:val="420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489F9D17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F2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14:paraId="2E5A63F5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渠道预期投保人数规模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5CB9775B" w14:textId="77777777" w:rsidR="005E6C3F" w:rsidRPr="00891554" w:rsidRDefault="00000000" w:rsidP="00E61090">
            <w:pPr>
              <w:pStyle w:val="af4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891554">
              <w:rPr>
                <w:rFonts w:hAnsi="Times New Roman"/>
                <w:sz w:val="21"/>
                <w:szCs w:val="21"/>
              </w:rPr>
              <w:t>1</w:t>
            </w:r>
            <w:r w:rsidRPr="00891554">
              <w:rPr>
                <w:rFonts w:hint="eastAsia"/>
                <w:sz w:val="21"/>
                <w:szCs w:val="21"/>
              </w:rPr>
              <w:t>万人以上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5224D797" w14:textId="77777777" w:rsidR="005E6C3F" w:rsidRPr="00A24BF8" w:rsidRDefault="00000000" w:rsidP="00E61090">
            <w:pPr>
              <w:pStyle w:val="af4"/>
              <w:rPr>
                <w:rFonts w:ascii="Times New Roman" w:hAnsi="Times New Roman"/>
                <w:kern w:val="2"/>
                <w:sz w:val="21"/>
                <w:szCs w:val="22"/>
              </w:rPr>
            </w:pPr>
            <w:r w:rsidRPr="00A24BF8">
              <w:rPr>
                <w:rFonts w:ascii="Times New Roman" w:hAnsi="Times New Roman" w:hint="eastAsia"/>
                <w:kern w:val="2"/>
                <w:sz w:val="21"/>
                <w:szCs w:val="22"/>
              </w:rPr>
              <w:t>[0.4,0.6]</w:t>
            </w:r>
          </w:p>
        </w:tc>
      </w:tr>
      <w:tr w:rsidR="005E6C3F" w14:paraId="38A11EC9" w14:textId="77777777">
        <w:trPr>
          <w:trHeight w:val="420"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960B636" w14:textId="77777777" w:rsidR="005E6C3F" w:rsidRDefault="005E6C3F" w:rsidP="00E61090"/>
        </w:tc>
        <w:tc>
          <w:tcPr>
            <w:tcW w:w="1857" w:type="dxa"/>
            <w:vMerge/>
            <w:shd w:val="clear" w:color="auto" w:fill="auto"/>
            <w:vAlign w:val="center"/>
          </w:tcPr>
          <w:p w14:paraId="6E3B08DC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69CFD88E" w14:textId="77777777" w:rsidR="005E6C3F" w:rsidRPr="00891554" w:rsidRDefault="00000000" w:rsidP="00E61090">
            <w:pPr>
              <w:pStyle w:val="af4"/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</w:pPr>
            <w:r w:rsidRPr="00891554">
              <w:rPr>
                <w:sz w:val="21"/>
                <w:szCs w:val="21"/>
              </w:rPr>
              <w:t>500</w:t>
            </w:r>
            <w:r w:rsidRPr="00891554">
              <w:rPr>
                <w:rFonts w:hint="eastAsia"/>
                <w:sz w:val="21"/>
                <w:szCs w:val="21"/>
              </w:rPr>
              <w:t>1人</w:t>
            </w:r>
            <w:r w:rsidRPr="00891554">
              <w:rPr>
                <w:sz w:val="21"/>
                <w:szCs w:val="21"/>
              </w:rPr>
              <w:t>-1</w:t>
            </w:r>
            <w:r w:rsidRPr="00891554">
              <w:rPr>
                <w:rFonts w:hint="eastAsia"/>
                <w:sz w:val="21"/>
                <w:szCs w:val="21"/>
              </w:rPr>
              <w:t>万人（含）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65B3AA82" w14:textId="77777777" w:rsidR="005E6C3F" w:rsidRPr="00A24BF8" w:rsidRDefault="00000000" w:rsidP="00E61090">
            <w:pPr>
              <w:pStyle w:val="af4"/>
              <w:rPr>
                <w:rFonts w:ascii="Times New Roman" w:hAnsi="Times New Roman"/>
                <w:kern w:val="2"/>
                <w:sz w:val="21"/>
                <w:szCs w:val="22"/>
              </w:rPr>
            </w:pPr>
            <w:r w:rsidRPr="00A24BF8">
              <w:rPr>
                <w:rFonts w:ascii="Times New Roman" w:hAnsi="Times New Roman" w:hint="eastAsia"/>
                <w:kern w:val="2"/>
                <w:sz w:val="21"/>
                <w:szCs w:val="22"/>
              </w:rPr>
              <w:t>(0.6,0.8]</w:t>
            </w:r>
          </w:p>
        </w:tc>
      </w:tr>
      <w:tr w:rsidR="005E6C3F" w14:paraId="3721B742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1826CB88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235AD0F6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6E0F3BD1" w14:textId="77777777" w:rsidR="005E6C3F" w:rsidRPr="00891554" w:rsidRDefault="00000000" w:rsidP="00E61090">
            <w:pPr>
              <w:pStyle w:val="af4"/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</w:pPr>
            <w:r w:rsidRPr="00891554">
              <w:rPr>
                <w:sz w:val="21"/>
                <w:szCs w:val="21"/>
              </w:rPr>
              <w:t>2000</w:t>
            </w:r>
            <w:r w:rsidRPr="00891554">
              <w:rPr>
                <w:rFonts w:hint="eastAsia"/>
                <w:sz w:val="21"/>
                <w:szCs w:val="21"/>
              </w:rPr>
              <w:t>人（含）</w:t>
            </w:r>
            <w:r w:rsidRPr="00891554">
              <w:rPr>
                <w:sz w:val="21"/>
                <w:szCs w:val="21"/>
              </w:rPr>
              <w:t>-5000</w:t>
            </w:r>
            <w:r w:rsidRPr="00891554">
              <w:rPr>
                <w:rFonts w:hint="eastAsia"/>
                <w:sz w:val="21"/>
                <w:szCs w:val="21"/>
              </w:rPr>
              <w:t>人（含）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5976A195" w14:textId="77777777" w:rsidR="005E6C3F" w:rsidRPr="00A24BF8" w:rsidRDefault="00000000" w:rsidP="00E61090">
            <w:pPr>
              <w:pStyle w:val="af4"/>
              <w:rPr>
                <w:rFonts w:ascii="Times New Roman" w:hAnsi="Times New Roman"/>
                <w:kern w:val="2"/>
                <w:sz w:val="21"/>
                <w:szCs w:val="22"/>
              </w:rPr>
            </w:pPr>
            <w:r w:rsidRPr="00A24BF8">
              <w:rPr>
                <w:rFonts w:ascii="Times New Roman" w:hAnsi="Times New Roman" w:hint="eastAsia"/>
                <w:kern w:val="2"/>
                <w:sz w:val="21"/>
                <w:szCs w:val="22"/>
              </w:rPr>
              <w:t>(0.8,1.2]</w:t>
            </w:r>
          </w:p>
        </w:tc>
      </w:tr>
      <w:tr w:rsidR="005E6C3F" w14:paraId="2F283942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2380288F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06A0B7AA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5EB2B3B2" w14:textId="77777777" w:rsidR="005E6C3F" w:rsidRPr="00891554" w:rsidRDefault="00000000" w:rsidP="00E61090">
            <w:pPr>
              <w:pStyle w:val="af4"/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</w:pPr>
            <w:r w:rsidRPr="00891554">
              <w:rPr>
                <w:sz w:val="21"/>
                <w:szCs w:val="21"/>
              </w:rPr>
              <w:t>2000</w:t>
            </w:r>
            <w:r w:rsidRPr="00891554">
              <w:rPr>
                <w:rFonts w:hint="eastAsia"/>
                <w:sz w:val="21"/>
                <w:szCs w:val="21"/>
              </w:rPr>
              <w:t>人以下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08A4A3B0" w14:textId="77777777" w:rsidR="005E6C3F" w:rsidRPr="00A24BF8" w:rsidRDefault="00000000" w:rsidP="00E61090">
            <w:pPr>
              <w:pStyle w:val="af4"/>
              <w:rPr>
                <w:rFonts w:ascii="Times New Roman" w:hAnsi="Times New Roman"/>
                <w:kern w:val="2"/>
                <w:sz w:val="21"/>
                <w:szCs w:val="22"/>
              </w:rPr>
            </w:pPr>
            <w:r w:rsidRPr="00A24BF8">
              <w:rPr>
                <w:rFonts w:ascii="Times New Roman" w:hAnsi="Times New Roman" w:hint="eastAsia"/>
                <w:kern w:val="2"/>
                <w:sz w:val="21"/>
                <w:szCs w:val="22"/>
              </w:rPr>
              <w:t>(1.2,2.0]</w:t>
            </w:r>
          </w:p>
        </w:tc>
      </w:tr>
      <w:tr w:rsidR="005E6C3F" w14:paraId="56E0D790" w14:textId="77777777">
        <w:trPr>
          <w:trHeight w:val="420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352953CC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F3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14:paraId="0D808324" w14:textId="52E0D32C" w:rsidR="005E6C3F" w:rsidRDefault="007C6E9C" w:rsidP="00E61090">
            <w:pPr>
              <w:rPr>
                <w:bCs/>
              </w:rPr>
            </w:pPr>
            <w:r>
              <w:rPr>
                <w:rFonts w:hint="eastAsia"/>
              </w:rPr>
              <w:t>被保险人风险状况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1633C13D" w14:textId="51998DF1" w:rsidR="005E6C3F" w:rsidRDefault="007C6E9C" w:rsidP="00E61090">
            <w:pPr>
              <w:rPr>
                <w:bCs/>
              </w:rPr>
            </w:pPr>
            <w:r>
              <w:rPr>
                <w:rFonts w:hint="eastAsia"/>
              </w:rPr>
              <w:t>良好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5A890DBC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[0.6,0.8]</w:t>
            </w:r>
          </w:p>
        </w:tc>
      </w:tr>
      <w:tr w:rsidR="005E6C3F" w14:paraId="56CDCFFB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0ABA893B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312F4EB6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7EEB7162" w14:textId="62A57915" w:rsidR="005E6C3F" w:rsidRDefault="007C6E9C" w:rsidP="00E61090">
            <w:pPr>
              <w:rPr>
                <w:bCs/>
              </w:rPr>
            </w:pPr>
            <w:r>
              <w:rPr>
                <w:rFonts w:hint="eastAsia"/>
              </w:rPr>
              <w:t>一般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969B191" w14:textId="593EF5F5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(0.8,</w:t>
            </w:r>
            <w:r w:rsidR="007C6E9C">
              <w:t>1.0</w:t>
            </w:r>
            <w:r>
              <w:rPr>
                <w:rFonts w:hint="eastAsia"/>
              </w:rPr>
              <w:t>]</w:t>
            </w:r>
          </w:p>
        </w:tc>
      </w:tr>
      <w:tr w:rsidR="005E6C3F" w14:paraId="09D1842E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30B0B4E3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0618471A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6C6C73BB" w14:textId="3A3F3542" w:rsidR="005E6C3F" w:rsidRDefault="007C6E9C" w:rsidP="00E61090">
            <w:pPr>
              <w:rPr>
                <w:bCs/>
              </w:rPr>
            </w:pPr>
            <w:r>
              <w:rPr>
                <w:rFonts w:hint="eastAsia"/>
              </w:rPr>
              <w:t>较差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17A0AB1F" w14:textId="3EF24AFA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(</w:t>
            </w:r>
            <w:r w:rsidR="007C6E9C">
              <w:t>1.0</w:t>
            </w:r>
            <w:r>
              <w:rPr>
                <w:rFonts w:hint="eastAsia"/>
              </w:rPr>
              <w:t>,1.</w:t>
            </w:r>
            <w:r w:rsidR="007C6E9C">
              <w:t>5</w:t>
            </w:r>
            <w:r>
              <w:rPr>
                <w:rFonts w:hint="eastAsia"/>
              </w:rPr>
              <w:t>]</w:t>
            </w:r>
          </w:p>
        </w:tc>
      </w:tr>
      <w:tr w:rsidR="005E6C3F" w14:paraId="33465928" w14:textId="77777777">
        <w:trPr>
          <w:trHeight w:val="420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7336E357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F4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14:paraId="1BBC7426" w14:textId="77777777" w:rsidR="005E6C3F" w:rsidRDefault="00000000" w:rsidP="00E61090">
            <w:pPr>
              <w:rPr>
                <w:bCs/>
              </w:rPr>
            </w:pPr>
            <w:r>
              <w:rPr>
                <w:rFonts w:hint="eastAsia"/>
              </w:rPr>
              <w:t>预期（经验）赔付率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27C08CE1" w14:textId="77777777" w:rsidR="005E6C3F" w:rsidRDefault="00000000" w:rsidP="00E61090">
            <w:pPr>
              <w:rPr>
                <w:rFonts w:asciiTheme="minorEastAsia" w:hAnsiTheme="minorEastAsia"/>
                <w:color w:val="000000"/>
                <w:kern w:val="0"/>
              </w:rPr>
            </w:pPr>
            <w:r>
              <w:t>0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（含）</w:t>
            </w:r>
            <w:r>
              <w:t xml:space="preserve"> - 40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0E95A9F" w14:textId="77777777" w:rsidR="005E6C3F" w:rsidRDefault="00000000" w:rsidP="00E61090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t>[0.</w:t>
            </w:r>
            <w:r>
              <w:rPr>
                <w:rFonts w:hint="eastAsia"/>
              </w:rPr>
              <w:t>4</w:t>
            </w:r>
            <w:r>
              <w:t>,0.8)</w:t>
            </w:r>
          </w:p>
        </w:tc>
      </w:tr>
      <w:tr w:rsidR="005E6C3F" w14:paraId="4609149F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2CD733BE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56E8BC31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3988782C" w14:textId="77777777" w:rsidR="005E6C3F" w:rsidRDefault="00000000" w:rsidP="00E61090">
            <w:pPr>
              <w:rPr>
                <w:rFonts w:asciiTheme="minorEastAsia" w:hAnsiTheme="minorEastAsia"/>
                <w:color w:val="000000"/>
                <w:kern w:val="0"/>
              </w:rPr>
            </w:pPr>
            <w:r>
              <w:t>40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（含）</w:t>
            </w:r>
            <w:r>
              <w:t xml:space="preserve"> - 60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4376F7B1" w14:textId="77777777" w:rsidR="005E6C3F" w:rsidRDefault="00000000" w:rsidP="00E61090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t>[0.8,1.0)</w:t>
            </w:r>
          </w:p>
        </w:tc>
      </w:tr>
      <w:tr w:rsidR="005E6C3F" w14:paraId="5F6FC879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6568F100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05F273A8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414BA1AA" w14:textId="77777777" w:rsidR="005E6C3F" w:rsidRDefault="00000000" w:rsidP="00E61090">
            <w:pPr>
              <w:rPr>
                <w:rFonts w:asciiTheme="minorEastAsia" w:hAnsiTheme="minorEastAsia"/>
                <w:color w:val="000000"/>
                <w:kern w:val="0"/>
              </w:rPr>
            </w:pPr>
            <w:r>
              <w:t>60</w:t>
            </w:r>
            <w:r>
              <w:rPr>
                <w:rFonts w:hint="eastAsia"/>
              </w:rPr>
              <w:t>%</w:t>
            </w:r>
            <w:r>
              <w:t xml:space="preserve"> </w:t>
            </w:r>
            <w:r>
              <w:rPr>
                <w:rFonts w:hint="eastAsia"/>
              </w:rPr>
              <w:t>（含）</w:t>
            </w:r>
            <w:r>
              <w:t>- 80</w:t>
            </w:r>
            <w:r>
              <w:rPr>
                <w:rFonts w:hint="eastAsia"/>
              </w:rPr>
              <w:t>%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0D85C1FD" w14:textId="77777777" w:rsidR="005E6C3F" w:rsidRDefault="00000000" w:rsidP="00E61090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t>[1.0,1.</w:t>
            </w:r>
            <w:r>
              <w:rPr>
                <w:rFonts w:hint="eastAsia"/>
              </w:rPr>
              <w:t>5</w:t>
            </w:r>
            <w:r>
              <w:t>)</w:t>
            </w:r>
          </w:p>
        </w:tc>
      </w:tr>
      <w:tr w:rsidR="005E6C3F" w14:paraId="420F5911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5E6AA152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3BBBBF0D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2C9D1DA8" w14:textId="77777777" w:rsidR="005E6C3F" w:rsidRDefault="00000000" w:rsidP="00E61090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t>80</w:t>
            </w:r>
            <w:r>
              <w:rPr>
                <w:rFonts w:hint="eastAsia"/>
              </w:rPr>
              <w:t>%</w:t>
            </w:r>
            <w:r>
              <w:t>及以上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228777E5" w14:textId="77777777" w:rsidR="005E6C3F" w:rsidRDefault="00000000" w:rsidP="00E61090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t>[1.</w:t>
            </w:r>
            <w:r>
              <w:rPr>
                <w:rFonts w:hint="eastAsia"/>
              </w:rPr>
              <w:t>5</w:t>
            </w:r>
            <w:r>
              <w:t>,</w:t>
            </w:r>
            <w:r>
              <w:rPr>
                <w:rFonts w:hint="eastAsia"/>
              </w:rPr>
              <w:t>3</w:t>
            </w:r>
            <w:r>
              <w:t>.0]</w:t>
            </w:r>
          </w:p>
        </w:tc>
      </w:tr>
      <w:tr w:rsidR="005E6C3F" w14:paraId="19110E24" w14:textId="77777777">
        <w:trPr>
          <w:trHeight w:val="420"/>
          <w:jc w:val="center"/>
        </w:trPr>
        <w:tc>
          <w:tcPr>
            <w:tcW w:w="1560" w:type="dxa"/>
            <w:vMerge w:val="restart"/>
            <w:vAlign w:val="center"/>
          </w:tcPr>
          <w:p w14:paraId="19BE567E" w14:textId="5EAD45F6" w:rsidR="005E6C3F" w:rsidRDefault="00000000" w:rsidP="00E61090">
            <w:r>
              <w:rPr>
                <w:rFonts w:hint="eastAsia"/>
              </w:rPr>
              <w:t>F</w:t>
            </w:r>
            <w:r w:rsidR="007C6E9C">
              <w:t>5</w:t>
            </w:r>
          </w:p>
        </w:tc>
        <w:tc>
          <w:tcPr>
            <w:tcW w:w="1857" w:type="dxa"/>
            <w:vMerge w:val="restart"/>
            <w:vAlign w:val="center"/>
          </w:tcPr>
          <w:p w14:paraId="3608E5D5" w14:textId="77777777" w:rsidR="005E6C3F" w:rsidRDefault="00000000" w:rsidP="00E61090">
            <w:r>
              <w:rPr>
                <w:rFonts w:hint="eastAsia"/>
              </w:rPr>
              <w:t>地区风险差异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0E65EFDA" w14:textId="77777777" w:rsidR="005E6C3F" w:rsidRDefault="00000000" w:rsidP="00E61090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hint="eastAsia"/>
              </w:rPr>
              <w:t>被保险人主要生活地区社会环境较好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77AF3F01" w14:textId="77777777" w:rsidR="005E6C3F" w:rsidRPr="00034E92" w:rsidRDefault="00000000" w:rsidP="00034E92">
            <w:r w:rsidRPr="00034E92">
              <w:rPr>
                <w:rFonts w:hint="eastAsia"/>
              </w:rPr>
              <w:t>[0.5,0.8]</w:t>
            </w:r>
          </w:p>
        </w:tc>
      </w:tr>
      <w:tr w:rsidR="005E6C3F" w14:paraId="27143D8A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3E582976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573B580D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1AADCFCE" w14:textId="77777777" w:rsidR="005E6C3F" w:rsidRDefault="00000000" w:rsidP="00E61090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hint="eastAsia"/>
              </w:rPr>
              <w:t>被保险人主要生活地区社会环境一般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1909C697" w14:textId="77777777" w:rsidR="005E6C3F" w:rsidRPr="00034E92" w:rsidRDefault="00000000" w:rsidP="00034E92">
            <w:r w:rsidRPr="00034E92">
              <w:rPr>
                <w:rFonts w:hint="eastAsia"/>
              </w:rPr>
              <w:t>(0.8,1.0]</w:t>
            </w:r>
          </w:p>
        </w:tc>
      </w:tr>
      <w:tr w:rsidR="005E6C3F" w14:paraId="7D090FAE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4E8990D4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0E85E99D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425FE249" w14:textId="77777777" w:rsidR="005E6C3F" w:rsidRDefault="00000000" w:rsidP="00E61090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hint="eastAsia"/>
              </w:rPr>
              <w:t>被保险人主要生活地区社会环境较差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7378D179" w14:textId="77777777" w:rsidR="005E6C3F" w:rsidRPr="00034E92" w:rsidRDefault="00000000" w:rsidP="00034E92">
            <w:r w:rsidRPr="00034E92">
              <w:rPr>
                <w:rFonts w:hint="eastAsia"/>
              </w:rPr>
              <w:t>(1.0,1.5]</w:t>
            </w:r>
          </w:p>
        </w:tc>
      </w:tr>
      <w:tr w:rsidR="005E6C3F" w14:paraId="0818ED40" w14:textId="77777777">
        <w:trPr>
          <w:trHeight w:val="420"/>
          <w:jc w:val="center"/>
        </w:trPr>
        <w:tc>
          <w:tcPr>
            <w:tcW w:w="1560" w:type="dxa"/>
            <w:vMerge w:val="restart"/>
            <w:vAlign w:val="center"/>
          </w:tcPr>
          <w:p w14:paraId="5FAB88CF" w14:textId="1A9247B2" w:rsidR="005E6C3F" w:rsidRDefault="00000000" w:rsidP="00E61090">
            <w:r>
              <w:rPr>
                <w:rFonts w:hint="eastAsia"/>
              </w:rPr>
              <w:t>F</w:t>
            </w:r>
            <w:r w:rsidR="007C6E9C">
              <w:t>6</w:t>
            </w:r>
          </w:p>
        </w:tc>
        <w:tc>
          <w:tcPr>
            <w:tcW w:w="1857" w:type="dxa"/>
            <w:vMerge w:val="restart"/>
            <w:vAlign w:val="center"/>
          </w:tcPr>
          <w:p w14:paraId="52AC5E1E" w14:textId="77777777" w:rsidR="005E6C3F" w:rsidRDefault="00000000" w:rsidP="00E61090">
            <w:r>
              <w:rPr>
                <w:rFonts w:hint="eastAsia"/>
              </w:rPr>
              <w:t>被保险人年龄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39A37479" w14:textId="77777777" w:rsidR="005E6C3F" w:rsidRDefault="00000000" w:rsidP="00E6109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4EB81C0D" w14:textId="77777777" w:rsidR="005E6C3F" w:rsidRPr="00034E92" w:rsidRDefault="00000000" w:rsidP="00034E92">
            <w:r w:rsidRPr="00034E92">
              <w:rPr>
                <w:rFonts w:hint="eastAsia"/>
              </w:rPr>
              <w:t>1.3</w:t>
            </w:r>
          </w:p>
        </w:tc>
      </w:tr>
      <w:tr w:rsidR="005E6C3F" w14:paraId="00925B73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3F527183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58D99072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2D8747CC" w14:textId="77777777" w:rsidR="005E6C3F" w:rsidRDefault="00000000" w:rsidP="00E6109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周岁（含）</w:t>
            </w:r>
            <w:r>
              <w:rPr>
                <w:rFonts w:hint="eastAsia"/>
              </w:rPr>
              <w:t>-18</w:t>
            </w:r>
            <w:r>
              <w:rPr>
                <w:rFonts w:hint="eastAsia"/>
              </w:rPr>
              <w:t>周岁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39DA238B" w14:textId="77777777" w:rsidR="005E6C3F" w:rsidRPr="00034E92" w:rsidRDefault="00000000" w:rsidP="00034E92">
            <w:r w:rsidRPr="00034E92">
              <w:rPr>
                <w:rFonts w:hint="eastAsia"/>
              </w:rPr>
              <w:t>1.1</w:t>
            </w:r>
          </w:p>
        </w:tc>
      </w:tr>
      <w:tr w:rsidR="005E6C3F" w14:paraId="683F7C40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09CAF6FD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4A7201D5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12BD1705" w14:textId="77777777" w:rsidR="005E6C3F" w:rsidRDefault="00000000" w:rsidP="00E61090"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周岁（含）</w:t>
            </w:r>
            <w:r>
              <w:rPr>
                <w:rFonts w:hint="eastAsia"/>
              </w:rPr>
              <w:t>-65</w:t>
            </w:r>
            <w:r>
              <w:rPr>
                <w:rFonts w:hint="eastAsia"/>
              </w:rPr>
              <w:t>周岁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7B28D34F" w14:textId="77777777" w:rsidR="005E6C3F" w:rsidRPr="00034E92" w:rsidRDefault="00000000" w:rsidP="00034E92">
            <w:r w:rsidRPr="00034E92">
              <w:rPr>
                <w:rFonts w:hint="eastAsia"/>
              </w:rPr>
              <w:t>1.0</w:t>
            </w:r>
          </w:p>
        </w:tc>
      </w:tr>
      <w:tr w:rsidR="005E6C3F" w14:paraId="08723F4B" w14:textId="77777777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668E9B82" w14:textId="77777777" w:rsidR="005E6C3F" w:rsidRDefault="005E6C3F" w:rsidP="00E61090"/>
        </w:tc>
        <w:tc>
          <w:tcPr>
            <w:tcW w:w="1857" w:type="dxa"/>
            <w:vMerge/>
            <w:vAlign w:val="center"/>
          </w:tcPr>
          <w:p w14:paraId="07F0B886" w14:textId="77777777" w:rsidR="005E6C3F" w:rsidRDefault="005E6C3F" w:rsidP="00E61090"/>
        </w:tc>
        <w:tc>
          <w:tcPr>
            <w:tcW w:w="2575" w:type="dxa"/>
            <w:shd w:val="clear" w:color="auto" w:fill="auto"/>
            <w:vAlign w:val="center"/>
          </w:tcPr>
          <w:p w14:paraId="38E3AE8B" w14:textId="77777777" w:rsidR="005E6C3F" w:rsidRDefault="00000000" w:rsidP="00E61090">
            <w:r>
              <w:rPr>
                <w:rFonts w:hint="eastAsia"/>
              </w:rPr>
              <w:t>65</w:t>
            </w:r>
            <w:r>
              <w:rPr>
                <w:rFonts w:hint="eastAsia"/>
              </w:rPr>
              <w:t>周岁及以上</w:t>
            </w:r>
          </w:p>
        </w:tc>
        <w:tc>
          <w:tcPr>
            <w:tcW w:w="2353" w:type="dxa"/>
            <w:shd w:val="clear" w:color="auto" w:fill="auto"/>
            <w:vAlign w:val="center"/>
          </w:tcPr>
          <w:p w14:paraId="11ABD760" w14:textId="77777777" w:rsidR="005E6C3F" w:rsidRPr="00034E92" w:rsidRDefault="00000000" w:rsidP="00034E92">
            <w:r w:rsidRPr="00034E92">
              <w:rPr>
                <w:rFonts w:hint="eastAsia"/>
              </w:rPr>
              <w:t>[1.5,2.0]</w:t>
            </w:r>
          </w:p>
        </w:tc>
      </w:tr>
    </w:tbl>
    <w:p w14:paraId="21F2C351" w14:textId="77777777" w:rsidR="005E6C3F" w:rsidRPr="00E915A6" w:rsidRDefault="00000000" w:rsidP="00E61090">
      <w:pPr>
        <w:rPr>
          <w:b/>
          <w:bCs/>
        </w:rPr>
      </w:pPr>
      <w:r w:rsidRPr="00E915A6">
        <w:rPr>
          <w:rFonts w:hint="eastAsia"/>
          <w:b/>
          <w:bCs/>
        </w:rPr>
        <w:t>三、保险费计算公式</w:t>
      </w:r>
    </w:p>
    <w:p w14:paraId="793BAE33" w14:textId="516AB0DB" w:rsidR="005E6C3F" w:rsidRDefault="00000000">
      <w:pPr>
        <w:pStyle w:val="afe"/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1、基本责任年保险费=意外伤害身故保险金额</w:t>
      </w:r>
      <w:r>
        <w:rPr>
          <w:rFonts w:ascii="宋体" w:hAnsi="宋体" w:cs="宋体" w:hint="eastAsia"/>
          <w:color w:val="000000"/>
          <w:szCs w:val="21"/>
        </w:rPr>
        <w:t>×意外伤害</w:t>
      </w:r>
      <w:proofErr w:type="gramStart"/>
      <w:r>
        <w:rPr>
          <w:rFonts w:ascii="宋体" w:hAnsi="宋体" w:cs="宋体" w:hint="eastAsia"/>
          <w:color w:val="000000"/>
          <w:szCs w:val="21"/>
        </w:rPr>
        <w:t>身故年</w:t>
      </w:r>
      <w:proofErr w:type="gramEnd"/>
      <w:r>
        <w:rPr>
          <w:rFonts w:ascii="宋体" w:hAnsi="宋体" w:cs="宋体" w:hint="eastAsia"/>
          <w:color w:val="000000"/>
          <w:szCs w:val="21"/>
        </w:rPr>
        <w:t>基</w:t>
      </w:r>
      <w:r>
        <w:rPr>
          <w:rFonts w:ascii="宋体" w:hAnsi="宋体" w:cs="宋体" w:hint="eastAsia"/>
          <w:color w:val="000000"/>
          <w:szCs w:val="21"/>
          <w:lang w:eastAsia="zh-Hans"/>
        </w:rPr>
        <w:t>准</w:t>
      </w:r>
      <w:r>
        <w:rPr>
          <w:rFonts w:ascii="宋体" w:hAnsi="宋体" w:cs="宋体" w:hint="eastAsia"/>
          <w:color w:val="000000"/>
          <w:szCs w:val="21"/>
        </w:rPr>
        <w:t>费率</w:t>
      </w:r>
      <w:r>
        <w:rPr>
          <w:rFonts w:ascii="宋体" w:hAnsi="宋体" w:cs="宋体" w:hint="eastAsia"/>
        </w:rPr>
        <w:t>×F1×F2×F3×F4×F5×F6</w:t>
      </w:r>
    </w:p>
    <w:p w14:paraId="0196C814" w14:textId="44C912B5" w:rsidR="005E6C3F" w:rsidRDefault="00000000">
      <w:pPr>
        <w:pStyle w:val="afe"/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可选责任年保险费=意外伤害伤残保险金额</w:t>
      </w:r>
      <w:r>
        <w:rPr>
          <w:rFonts w:ascii="宋体" w:hAnsi="宋体" w:cs="宋体" w:hint="eastAsia"/>
          <w:color w:val="000000"/>
          <w:szCs w:val="21"/>
        </w:rPr>
        <w:t>×意外伤害伤残年基</w:t>
      </w:r>
      <w:r>
        <w:rPr>
          <w:rFonts w:ascii="宋体" w:hAnsi="宋体" w:cs="宋体" w:hint="eastAsia"/>
          <w:color w:val="000000"/>
          <w:szCs w:val="21"/>
          <w:lang w:eastAsia="zh-Hans"/>
        </w:rPr>
        <w:t>准</w:t>
      </w:r>
      <w:r>
        <w:rPr>
          <w:rFonts w:ascii="宋体" w:hAnsi="宋体" w:cs="宋体" w:hint="eastAsia"/>
          <w:color w:val="000000"/>
          <w:szCs w:val="21"/>
        </w:rPr>
        <w:t>费率</w:t>
      </w:r>
      <w:r>
        <w:rPr>
          <w:rFonts w:ascii="宋体" w:hAnsi="宋体" w:cs="宋体" w:hint="eastAsia"/>
        </w:rPr>
        <w:t>×F1×F2×F3×F4×F5×F6</w:t>
      </w:r>
    </w:p>
    <w:p w14:paraId="108649F6" w14:textId="77777777" w:rsidR="005E6C3F" w:rsidRDefault="00000000" w:rsidP="00E61090">
      <w:r>
        <w:rPr>
          <w:rFonts w:hint="eastAsia"/>
        </w:rPr>
        <w:t>年保险费</w:t>
      </w:r>
      <w:r>
        <w:rPr>
          <w:rFonts w:hint="eastAsia"/>
        </w:rPr>
        <w:t>=</w:t>
      </w:r>
      <w:r>
        <w:rPr>
          <w:rFonts w:hint="eastAsia"/>
        </w:rPr>
        <w:t>基本责任年保险费</w:t>
      </w:r>
      <w:r>
        <w:rPr>
          <w:rFonts w:hint="eastAsia"/>
        </w:rPr>
        <w:t>+</w:t>
      </w:r>
      <w:r>
        <w:rPr>
          <w:rFonts w:hint="eastAsia"/>
        </w:rPr>
        <w:t>可选责任年保险费</w:t>
      </w:r>
    </w:p>
    <w:p w14:paraId="0AD019AB" w14:textId="77777777" w:rsidR="005E6C3F" w:rsidRDefault="00000000" w:rsidP="00E61090">
      <w:pPr>
        <w:rPr>
          <w:rFonts w:ascii="宋体" w:cs="宋体"/>
        </w:rPr>
      </w:pPr>
      <w:r>
        <w:t>说明：投保人必须投保基本</w:t>
      </w:r>
      <w:r>
        <w:rPr>
          <w:rFonts w:hint="eastAsia"/>
        </w:rPr>
        <w:t>责任</w:t>
      </w:r>
      <w:r>
        <w:t>，并可以在投保基本</w:t>
      </w:r>
      <w:r>
        <w:rPr>
          <w:rFonts w:hint="eastAsia"/>
        </w:rPr>
        <w:t>责任</w:t>
      </w:r>
      <w:r>
        <w:t>的基础上选择投保可选</w:t>
      </w:r>
      <w:r>
        <w:rPr>
          <w:rFonts w:hint="eastAsia"/>
        </w:rPr>
        <w:t>责任</w:t>
      </w:r>
      <w:r>
        <w:t>；若投保人未选择投保</w:t>
      </w:r>
      <w:r>
        <w:rPr>
          <w:rFonts w:hint="eastAsia"/>
        </w:rPr>
        <w:t>某一项或多项</w:t>
      </w:r>
      <w:r>
        <w:t>可选</w:t>
      </w:r>
      <w:r>
        <w:rPr>
          <w:rFonts w:hint="eastAsia"/>
        </w:rPr>
        <w:t>责任</w:t>
      </w:r>
      <w:r>
        <w:t>，则以上公式中相应责任的保险金额取值为</w:t>
      </w:r>
      <w:r>
        <w:t>0</w:t>
      </w:r>
      <w:r>
        <w:t>。</w:t>
      </w:r>
    </w:p>
    <w:p w14:paraId="6C75760B" w14:textId="77777777" w:rsidR="005E6C3F" w:rsidRDefault="00000000" w:rsidP="00E61090">
      <w:r>
        <w:rPr>
          <w:rFonts w:hint="eastAsia"/>
        </w:rPr>
        <w:t>2</w:t>
      </w:r>
      <w:r>
        <w:rPr>
          <w:rFonts w:hint="eastAsia"/>
        </w:rPr>
        <w:t>、保险合同按分期缴付保险费，根据保险费分期支付期数，使用如下公式计收每期保险费：</w:t>
      </w:r>
    </w:p>
    <w:p w14:paraId="713E800A" w14:textId="77777777" w:rsidR="005E6C3F" w:rsidRDefault="00000000" w:rsidP="00E61090">
      <w:pPr>
        <w:pStyle w:val="aff3"/>
        <w:rPr>
          <w:rFonts w:asciiTheme="minorEastAsia" w:eastAsiaTheme="minorEastAsia" w:hAnsiTheme="minorEastAsia" w:cstheme="minorBidi"/>
          <w:b/>
          <w:szCs w:val="21"/>
        </w:rPr>
      </w:pPr>
      <w:r>
        <w:rPr>
          <w:rFonts w:hint="eastAsia"/>
        </w:rPr>
        <w:t>每期保险费（按四舍五入计算）</w:t>
      </w:r>
      <w:r>
        <w:rPr>
          <w:rFonts w:hint="eastAsia"/>
        </w:rPr>
        <w:t>=</w:t>
      </w:r>
      <w:r>
        <w:rPr>
          <w:rFonts w:hint="eastAsia"/>
        </w:rPr>
        <w:t>年保险费÷分期缴费期数</w:t>
      </w:r>
    </w:p>
    <w:p w14:paraId="05C2E16B" w14:textId="77777777" w:rsidR="005E6C3F" w:rsidRPr="00E915A6" w:rsidRDefault="00000000" w:rsidP="00E61090">
      <w:pPr>
        <w:rPr>
          <w:b/>
          <w:bCs/>
        </w:rPr>
      </w:pPr>
      <w:r w:rsidRPr="00E915A6">
        <w:rPr>
          <w:rFonts w:hint="eastAsia"/>
          <w:b/>
          <w:bCs/>
        </w:rPr>
        <w:t>四、短期费率表（按年费率的百分比计算）</w:t>
      </w:r>
    </w:p>
    <w:tbl>
      <w:tblPr>
        <w:tblW w:w="5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639"/>
      </w:tblGrid>
      <w:tr w:rsidR="005E6C3F" w14:paraId="2253CE90" w14:textId="77777777">
        <w:trPr>
          <w:cantSplit/>
          <w:trHeight w:hRule="exact" w:val="520"/>
          <w:jc w:val="center"/>
        </w:trPr>
        <w:tc>
          <w:tcPr>
            <w:tcW w:w="1312" w:type="pct"/>
            <w:vAlign w:val="center"/>
          </w:tcPr>
          <w:p w14:paraId="204E7AFF" w14:textId="77777777" w:rsidR="005E6C3F" w:rsidRDefault="00000000" w:rsidP="00E61090">
            <w:r>
              <w:rPr>
                <w:rFonts w:hint="eastAsia"/>
              </w:rPr>
              <w:t>保险期间（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月）</w:t>
            </w:r>
          </w:p>
        </w:tc>
        <w:tc>
          <w:tcPr>
            <w:tcW w:w="302" w:type="pct"/>
            <w:vAlign w:val="center"/>
          </w:tcPr>
          <w:p w14:paraId="7DD15A28" w14:textId="77777777" w:rsidR="005E6C3F" w:rsidRDefault="00000000" w:rsidP="00E61090">
            <w:r>
              <w:rPr>
                <w:rFonts w:hint="eastAsia"/>
              </w:rPr>
              <w:t>1</w:t>
            </w:r>
          </w:p>
        </w:tc>
        <w:tc>
          <w:tcPr>
            <w:tcW w:w="302" w:type="pct"/>
            <w:vAlign w:val="center"/>
          </w:tcPr>
          <w:p w14:paraId="637CA258" w14:textId="77777777" w:rsidR="005E6C3F" w:rsidRDefault="00000000" w:rsidP="00E61090">
            <w:r>
              <w:rPr>
                <w:rFonts w:hint="eastAsia"/>
              </w:rPr>
              <w:t>2</w:t>
            </w:r>
          </w:p>
        </w:tc>
        <w:tc>
          <w:tcPr>
            <w:tcW w:w="302" w:type="pct"/>
            <w:vAlign w:val="center"/>
          </w:tcPr>
          <w:p w14:paraId="3F6D06E0" w14:textId="77777777" w:rsidR="005E6C3F" w:rsidRDefault="00000000" w:rsidP="00E61090">
            <w:r>
              <w:rPr>
                <w:rFonts w:hint="eastAsia"/>
              </w:rPr>
              <w:t>3</w:t>
            </w:r>
          </w:p>
        </w:tc>
        <w:tc>
          <w:tcPr>
            <w:tcW w:w="302" w:type="pct"/>
            <w:vAlign w:val="center"/>
          </w:tcPr>
          <w:p w14:paraId="54AD9158" w14:textId="77777777" w:rsidR="005E6C3F" w:rsidRDefault="00000000" w:rsidP="00E61090">
            <w:r>
              <w:rPr>
                <w:rFonts w:hint="eastAsia"/>
              </w:rPr>
              <w:t>4</w:t>
            </w:r>
          </w:p>
        </w:tc>
        <w:tc>
          <w:tcPr>
            <w:tcW w:w="302" w:type="pct"/>
            <w:vAlign w:val="center"/>
          </w:tcPr>
          <w:p w14:paraId="21ADD23C" w14:textId="77777777" w:rsidR="005E6C3F" w:rsidRDefault="00000000" w:rsidP="00E61090">
            <w:r>
              <w:rPr>
                <w:rFonts w:hint="eastAsia"/>
              </w:rPr>
              <w:t>5</w:t>
            </w:r>
          </w:p>
        </w:tc>
        <w:tc>
          <w:tcPr>
            <w:tcW w:w="302" w:type="pct"/>
            <w:vAlign w:val="center"/>
          </w:tcPr>
          <w:p w14:paraId="2467058A" w14:textId="77777777" w:rsidR="005E6C3F" w:rsidRDefault="00000000" w:rsidP="00E61090">
            <w:r>
              <w:rPr>
                <w:rFonts w:hint="eastAsia"/>
              </w:rPr>
              <w:t>6</w:t>
            </w:r>
          </w:p>
        </w:tc>
        <w:tc>
          <w:tcPr>
            <w:tcW w:w="302" w:type="pct"/>
            <w:vAlign w:val="center"/>
          </w:tcPr>
          <w:p w14:paraId="1F4C4C63" w14:textId="77777777" w:rsidR="005E6C3F" w:rsidRDefault="00000000" w:rsidP="00E61090">
            <w:r>
              <w:rPr>
                <w:rFonts w:hint="eastAsia"/>
              </w:rPr>
              <w:t>7</w:t>
            </w:r>
          </w:p>
        </w:tc>
        <w:tc>
          <w:tcPr>
            <w:tcW w:w="302" w:type="pct"/>
            <w:vAlign w:val="center"/>
          </w:tcPr>
          <w:p w14:paraId="4D1B2FDB" w14:textId="77777777" w:rsidR="005E6C3F" w:rsidRDefault="00000000" w:rsidP="00E61090">
            <w:r>
              <w:rPr>
                <w:rFonts w:hint="eastAsia"/>
              </w:rPr>
              <w:t>8</w:t>
            </w:r>
          </w:p>
        </w:tc>
        <w:tc>
          <w:tcPr>
            <w:tcW w:w="302" w:type="pct"/>
            <w:vAlign w:val="center"/>
          </w:tcPr>
          <w:p w14:paraId="2707BFC0" w14:textId="77777777" w:rsidR="005E6C3F" w:rsidRDefault="00000000" w:rsidP="00E61090">
            <w:r>
              <w:rPr>
                <w:rFonts w:hint="eastAsia"/>
              </w:rPr>
              <w:t>9</w:t>
            </w:r>
          </w:p>
        </w:tc>
        <w:tc>
          <w:tcPr>
            <w:tcW w:w="302" w:type="pct"/>
            <w:vAlign w:val="center"/>
          </w:tcPr>
          <w:p w14:paraId="6F53DE65" w14:textId="77777777" w:rsidR="005E6C3F" w:rsidRDefault="00000000" w:rsidP="00E61090">
            <w:r>
              <w:rPr>
                <w:rFonts w:hint="eastAsia"/>
              </w:rPr>
              <w:t>10</w:t>
            </w:r>
          </w:p>
        </w:tc>
        <w:tc>
          <w:tcPr>
            <w:tcW w:w="302" w:type="pct"/>
            <w:vAlign w:val="center"/>
          </w:tcPr>
          <w:p w14:paraId="7F87CAFD" w14:textId="77777777" w:rsidR="005E6C3F" w:rsidRDefault="00000000" w:rsidP="00E61090">
            <w:r>
              <w:rPr>
                <w:rFonts w:hint="eastAsia"/>
              </w:rPr>
              <w:t>11</w:t>
            </w:r>
          </w:p>
        </w:tc>
        <w:tc>
          <w:tcPr>
            <w:tcW w:w="367" w:type="pct"/>
            <w:vAlign w:val="center"/>
          </w:tcPr>
          <w:p w14:paraId="17834752" w14:textId="77777777" w:rsidR="005E6C3F" w:rsidRDefault="00000000" w:rsidP="00E61090">
            <w:r>
              <w:rPr>
                <w:rFonts w:hint="eastAsia"/>
              </w:rPr>
              <w:t>12</w:t>
            </w:r>
          </w:p>
        </w:tc>
      </w:tr>
      <w:tr w:rsidR="005E6C3F" w14:paraId="02C1FD53" w14:textId="77777777">
        <w:trPr>
          <w:cantSplit/>
          <w:trHeight w:hRule="exact" w:val="520"/>
          <w:jc w:val="center"/>
        </w:trPr>
        <w:tc>
          <w:tcPr>
            <w:tcW w:w="1312" w:type="pct"/>
            <w:vAlign w:val="center"/>
          </w:tcPr>
          <w:p w14:paraId="04281F84" w14:textId="77777777" w:rsidR="005E6C3F" w:rsidRDefault="00000000" w:rsidP="00E61090">
            <w:r>
              <w:rPr>
                <w:rFonts w:hint="eastAsia"/>
                <w:lang w:eastAsia="zh-Hans"/>
              </w:rPr>
              <w:t>年费率的</w:t>
            </w:r>
            <w:r>
              <w:rPr>
                <w:rFonts w:hint="eastAsia"/>
              </w:rPr>
              <w:t>百分比（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  <w:p w14:paraId="124DBD15" w14:textId="77777777" w:rsidR="005E6C3F" w:rsidRDefault="005E6C3F" w:rsidP="00E61090"/>
        </w:tc>
        <w:tc>
          <w:tcPr>
            <w:tcW w:w="302" w:type="pct"/>
            <w:vAlign w:val="center"/>
          </w:tcPr>
          <w:p w14:paraId="4B5B95F6" w14:textId="77777777" w:rsidR="005E6C3F" w:rsidRDefault="00000000" w:rsidP="00E61090">
            <w:pPr>
              <w:rPr>
                <w:bCs/>
              </w:rPr>
            </w:pPr>
            <w:r>
              <w:t>10</w:t>
            </w:r>
          </w:p>
        </w:tc>
        <w:tc>
          <w:tcPr>
            <w:tcW w:w="302" w:type="pct"/>
            <w:vAlign w:val="center"/>
          </w:tcPr>
          <w:p w14:paraId="1394D536" w14:textId="77777777" w:rsidR="005E6C3F" w:rsidRDefault="00000000" w:rsidP="00E61090">
            <w:pPr>
              <w:rPr>
                <w:bCs/>
              </w:rPr>
            </w:pPr>
            <w:r>
              <w:t>20</w:t>
            </w:r>
          </w:p>
        </w:tc>
        <w:tc>
          <w:tcPr>
            <w:tcW w:w="302" w:type="pct"/>
            <w:vAlign w:val="center"/>
          </w:tcPr>
          <w:p w14:paraId="4FC44019" w14:textId="77777777" w:rsidR="005E6C3F" w:rsidRDefault="00000000" w:rsidP="00E61090">
            <w:pPr>
              <w:rPr>
                <w:bCs/>
              </w:rPr>
            </w:pPr>
            <w:r>
              <w:t>30</w:t>
            </w:r>
          </w:p>
        </w:tc>
        <w:tc>
          <w:tcPr>
            <w:tcW w:w="302" w:type="pct"/>
            <w:vAlign w:val="center"/>
          </w:tcPr>
          <w:p w14:paraId="36DBE3DD" w14:textId="77777777" w:rsidR="005E6C3F" w:rsidRDefault="00000000" w:rsidP="00E61090">
            <w:pPr>
              <w:rPr>
                <w:bCs/>
              </w:rPr>
            </w:pPr>
            <w:r>
              <w:t>40</w:t>
            </w:r>
          </w:p>
        </w:tc>
        <w:tc>
          <w:tcPr>
            <w:tcW w:w="302" w:type="pct"/>
            <w:vAlign w:val="center"/>
          </w:tcPr>
          <w:p w14:paraId="2CC15487" w14:textId="77777777" w:rsidR="005E6C3F" w:rsidRDefault="00000000" w:rsidP="00E61090">
            <w:pPr>
              <w:rPr>
                <w:bCs/>
              </w:rPr>
            </w:pPr>
            <w:r>
              <w:t>50</w:t>
            </w:r>
          </w:p>
        </w:tc>
        <w:tc>
          <w:tcPr>
            <w:tcW w:w="302" w:type="pct"/>
            <w:vAlign w:val="center"/>
          </w:tcPr>
          <w:p w14:paraId="0FD47E36" w14:textId="77777777" w:rsidR="005E6C3F" w:rsidRDefault="00000000" w:rsidP="00E61090">
            <w:pPr>
              <w:rPr>
                <w:bCs/>
              </w:rPr>
            </w:pPr>
            <w:r>
              <w:t>60</w:t>
            </w:r>
          </w:p>
        </w:tc>
        <w:tc>
          <w:tcPr>
            <w:tcW w:w="302" w:type="pct"/>
            <w:vAlign w:val="center"/>
          </w:tcPr>
          <w:p w14:paraId="65FA95D0" w14:textId="77777777" w:rsidR="005E6C3F" w:rsidRDefault="00000000" w:rsidP="00E61090">
            <w:pPr>
              <w:rPr>
                <w:bCs/>
              </w:rPr>
            </w:pPr>
            <w:r>
              <w:t>70</w:t>
            </w:r>
          </w:p>
        </w:tc>
        <w:tc>
          <w:tcPr>
            <w:tcW w:w="302" w:type="pct"/>
            <w:vAlign w:val="center"/>
          </w:tcPr>
          <w:p w14:paraId="59522F3E" w14:textId="77777777" w:rsidR="005E6C3F" w:rsidRDefault="00000000" w:rsidP="00E61090">
            <w:pPr>
              <w:rPr>
                <w:bCs/>
              </w:rPr>
            </w:pPr>
            <w:r>
              <w:t>80</w:t>
            </w:r>
          </w:p>
        </w:tc>
        <w:tc>
          <w:tcPr>
            <w:tcW w:w="302" w:type="pct"/>
            <w:vAlign w:val="center"/>
          </w:tcPr>
          <w:p w14:paraId="40EB3FD4" w14:textId="77777777" w:rsidR="005E6C3F" w:rsidRDefault="00000000" w:rsidP="00E61090">
            <w:pPr>
              <w:rPr>
                <w:bCs/>
              </w:rPr>
            </w:pPr>
            <w:r>
              <w:t>85</w:t>
            </w:r>
          </w:p>
        </w:tc>
        <w:tc>
          <w:tcPr>
            <w:tcW w:w="302" w:type="pct"/>
            <w:vAlign w:val="center"/>
          </w:tcPr>
          <w:p w14:paraId="1BFC8DD8" w14:textId="77777777" w:rsidR="005E6C3F" w:rsidRDefault="00000000" w:rsidP="00E61090">
            <w:pPr>
              <w:rPr>
                <w:bCs/>
              </w:rPr>
            </w:pPr>
            <w:r>
              <w:t>90</w:t>
            </w:r>
          </w:p>
        </w:tc>
        <w:tc>
          <w:tcPr>
            <w:tcW w:w="302" w:type="pct"/>
            <w:vAlign w:val="center"/>
          </w:tcPr>
          <w:p w14:paraId="42DA6B8A" w14:textId="77777777" w:rsidR="005E6C3F" w:rsidRDefault="00000000" w:rsidP="00E61090">
            <w:pPr>
              <w:rPr>
                <w:bCs/>
              </w:rPr>
            </w:pPr>
            <w:r>
              <w:t>95</w:t>
            </w:r>
          </w:p>
        </w:tc>
        <w:tc>
          <w:tcPr>
            <w:tcW w:w="367" w:type="pct"/>
            <w:vAlign w:val="center"/>
          </w:tcPr>
          <w:p w14:paraId="505C5F54" w14:textId="77777777" w:rsidR="005E6C3F" w:rsidRDefault="00000000" w:rsidP="00E61090">
            <w:pPr>
              <w:rPr>
                <w:bCs/>
              </w:rPr>
            </w:pPr>
            <w:r>
              <w:t>100</w:t>
            </w:r>
          </w:p>
        </w:tc>
      </w:tr>
    </w:tbl>
    <w:p w14:paraId="67200A87" w14:textId="77777777" w:rsidR="005E6C3F" w:rsidRDefault="00000000" w:rsidP="00E61090">
      <w:pPr>
        <w:rPr>
          <w:bCs/>
        </w:rPr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、保险期间在</w:t>
      </w:r>
      <w:r>
        <w:t>1</w:t>
      </w:r>
      <w:r>
        <w:rPr>
          <w:rFonts w:hint="eastAsia"/>
        </w:rPr>
        <w:t>个月以上，不足</w:t>
      </w:r>
      <w:r>
        <w:t>2</w:t>
      </w:r>
      <w:r>
        <w:rPr>
          <w:rFonts w:hint="eastAsia"/>
        </w:rPr>
        <w:t>个月的，按</w:t>
      </w:r>
      <w:r>
        <w:t>2</w:t>
      </w:r>
      <w:r>
        <w:rPr>
          <w:rFonts w:hint="eastAsia"/>
        </w:rPr>
        <w:t>个月计算；保险期间在</w:t>
      </w:r>
      <w:r>
        <w:t>2</w:t>
      </w:r>
      <w:r>
        <w:rPr>
          <w:rFonts w:hint="eastAsia"/>
        </w:rPr>
        <w:t>个月</w:t>
      </w:r>
      <w:r>
        <w:rPr>
          <w:rFonts w:hint="eastAsia"/>
          <w:lang w:eastAsia="zh-Hans"/>
        </w:rPr>
        <w:t>以</w:t>
      </w:r>
      <w:r>
        <w:rPr>
          <w:rFonts w:hint="eastAsia"/>
        </w:rPr>
        <w:t>上，不足</w:t>
      </w:r>
      <w:r>
        <w:t>3</w:t>
      </w:r>
      <w:r>
        <w:rPr>
          <w:rFonts w:hint="eastAsia"/>
        </w:rPr>
        <w:t>个月的，按</w:t>
      </w:r>
      <w:r>
        <w:t>3</w:t>
      </w:r>
      <w:r>
        <w:rPr>
          <w:rFonts w:hint="eastAsia"/>
        </w:rPr>
        <w:t>个月计算，依此类推；</w:t>
      </w:r>
    </w:p>
    <w:p w14:paraId="5340D1C8" w14:textId="77777777" w:rsidR="005E6C3F" w:rsidRDefault="00000000" w:rsidP="00E61090">
      <w:pPr>
        <w:rPr>
          <w:bCs/>
        </w:rPr>
      </w:pPr>
      <w:r>
        <w:t>2</w:t>
      </w:r>
      <w:r>
        <w:rPr>
          <w:rFonts w:hint="eastAsia"/>
        </w:rPr>
        <w:t>、保险期间不足</w:t>
      </w:r>
      <w:r>
        <w:t>1</w:t>
      </w:r>
      <w:r>
        <w:rPr>
          <w:rFonts w:hint="eastAsia"/>
        </w:rPr>
        <w:t>个月的，按</w:t>
      </w:r>
      <w:r>
        <w:t>1</w:t>
      </w:r>
      <w:r>
        <w:rPr>
          <w:rFonts w:hint="eastAsia"/>
        </w:rPr>
        <w:t>个月费率计算。</w:t>
      </w:r>
    </w:p>
    <w:p w14:paraId="78BCD658" w14:textId="77777777" w:rsidR="005E6C3F" w:rsidRDefault="005E6C3F">
      <w:pPr>
        <w:pStyle w:val="afe"/>
        <w:ind w:firstLineChars="200" w:firstLine="420"/>
        <w:rPr>
          <w:rFonts w:ascii="宋体" w:hAnsi="宋体" w:cs="宋体"/>
          <w:color w:val="000000"/>
          <w:szCs w:val="21"/>
        </w:rPr>
      </w:pPr>
    </w:p>
    <w:sectPr w:rsidR="005E6C3F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E8A0" w14:textId="77777777" w:rsidR="00AB79A1" w:rsidRDefault="00AB79A1" w:rsidP="00E61090">
      <w:r>
        <w:separator/>
      </w:r>
    </w:p>
  </w:endnote>
  <w:endnote w:type="continuationSeparator" w:id="0">
    <w:p w14:paraId="230617A9" w14:textId="77777777" w:rsidR="00AB79A1" w:rsidRDefault="00AB79A1" w:rsidP="00E6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47C4" w14:textId="77777777" w:rsidR="005E6C3F" w:rsidRDefault="00000000" w:rsidP="00E6109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3C7E97" wp14:editId="1FD1161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5E64BB4" w14:textId="77777777" w:rsidR="005E6C3F" w:rsidRDefault="00000000" w:rsidP="00E61090"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C7E97" id="_x0000_t202" coordsize="21600,21600" o:spt="202" path="m,l,21600r21600,l21600,xe">
              <v:stroke joinstyle="miter"/>
              <v:path gradientshapeok="t" o:connecttype="rect"/>
            </v:shapetype>
            <v:shape id="文本框75" o:spid="_x0000_s1026" type="#_x0000_t202" style="position:absolute;margin-left:0;margin-top:0;width:4.55pt;height:10.3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" filled="f" stroked="f">
              <v:textbox style="mso-fit-shape-to-text:t" inset="0,0,0,0">
                <w:txbxContent>
                  <w:p w14:paraId="45E64BB4" w14:textId="77777777" w:rsidR="005E6C3F" w:rsidRDefault="00000000" w:rsidP="00E61090"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D1BF" w14:textId="77777777" w:rsidR="005E6C3F" w:rsidRDefault="00000000" w:rsidP="00E6109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4827EC" wp14:editId="723066D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D4BBBE6" w14:textId="77777777" w:rsidR="005E6C3F" w:rsidRDefault="00000000" w:rsidP="00E61090"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827EC" id="_x0000_t202" coordsize="21600,21600" o:spt="202" path="m,l,21600r21600,l21600,xe">
              <v:stroke joinstyle="miter"/>
              <v:path gradientshapeok="t" o:connecttype="rect"/>
            </v:shapetype>
            <v:shape id="文本框76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QURzkdEBAAClAwAADgAAAAAA&#10;AAAAAAAAAAAuAgAAZHJzL2Uyb0RvYy54bWxQSwECLQAUAAYACAAAACEADErw7tYAAAAFAQAADwAA&#10;AAAAAAAAAAAAAAArBAAAZHJzL2Rvd25yZXYueG1sUEsFBgAAAAAEAAQA8wAAAC4FAAAAAA==&#10;" filled="f" stroked="f">
              <v:textbox style="mso-fit-shape-to-text:t" inset="0,0,0,0">
                <w:txbxContent>
                  <w:p w14:paraId="3D4BBBE6" w14:textId="77777777" w:rsidR="005E6C3F" w:rsidRDefault="00000000" w:rsidP="00E61090"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45867A7" w14:textId="77777777" w:rsidR="005E6C3F" w:rsidRDefault="005E6C3F" w:rsidP="00E6109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FF65" w14:textId="77777777" w:rsidR="00AB79A1" w:rsidRDefault="00AB79A1" w:rsidP="00E61090">
      <w:r>
        <w:separator/>
      </w:r>
    </w:p>
  </w:footnote>
  <w:footnote w:type="continuationSeparator" w:id="0">
    <w:p w14:paraId="684940AE" w14:textId="77777777" w:rsidR="00AB79A1" w:rsidRDefault="00AB79A1" w:rsidP="00E6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RhN2M5YjFmMzE2ZWU5YmM2OWUyMGI0M2U5YWY0YjQifQ=="/>
  </w:docVars>
  <w:rsids>
    <w:rsidRoot w:val="006F7A82"/>
    <w:rsid w:val="A7D56FFE"/>
    <w:rsid w:val="FE7F2F65"/>
    <w:rsid w:val="00002830"/>
    <w:rsid w:val="00034E92"/>
    <w:rsid w:val="0005633E"/>
    <w:rsid w:val="00056B05"/>
    <w:rsid w:val="00066560"/>
    <w:rsid w:val="00072DE7"/>
    <w:rsid w:val="00091940"/>
    <w:rsid w:val="000B71C9"/>
    <w:rsid w:val="000E222C"/>
    <w:rsid w:val="000F57B3"/>
    <w:rsid w:val="00176856"/>
    <w:rsid w:val="00193108"/>
    <w:rsid w:val="00197DC0"/>
    <w:rsid w:val="001D2C29"/>
    <w:rsid w:val="001E3CF5"/>
    <w:rsid w:val="002246EB"/>
    <w:rsid w:val="00251A2F"/>
    <w:rsid w:val="002652BB"/>
    <w:rsid w:val="00283C90"/>
    <w:rsid w:val="00285F41"/>
    <w:rsid w:val="00291406"/>
    <w:rsid w:val="002B072C"/>
    <w:rsid w:val="002B34FD"/>
    <w:rsid w:val="002F10C3"/>
    <w:rsid w:val="002F7ACB"/>
    <w:rsid w:val="0036290A"/>
    <w:rsid w:val="003F4BFE"/>
    <w:rsid w:val="003F7178"/>
    <w:rsid w:val="004050B5"/>
    <w:rsid w:val="0044545C"/>
    <w:rsid w:val="00470B1B"/>
    <w:rsid w:val="004B263C"/>
    <w:rsid w:val="004B3C22"/>
    <w:rsid w:val="004D0DC7"/>
    <w:rsid w:val="004D5737"/>
    <w:rsid w:val="00505D2F"/>
    <w:rsid w:val="00534B28"/>
    <w:rsid w:val="005A7127"/>
    <w:rsid w:val="005C6B71"/>
    <w:rsid w:val="005C7406"/>
    <w:rsid w:val="005D53E1"/>
    <w:rsid w:val="005E6C3F"/>
    <w:rsid w:val="006235A6"/>
    <w:rsid w:val="0063468F"/>
    <w:rsid w:val="00651DD8"/>
    <w:rsid w:val="006812DE"/>
    <w:rsid w:val="00686E34"/>
    <w:rsid w:val="00687847"/>
    <w:rsid w:val="00694BF9"/>
    <w:rsid w:val="006A12D8"/>
    <w:rsid w:val="006B20FF"/>
    <w:rsid w:val="006D6905"/>
    <w:rsid w:val="006F7A82"/>
    <w:rsid w:val="00785D80"/>
    <w:rsid w:val="007C41A9"/>
    <w:rsid w:val="007C6E9C"/>
    <w:rsid w:val="008206D4"/>
    <w:rsid w:val="00836230"/>
    <w:rsid w:val="00841CC8"/>
    <w:rsid w:val="0086471D"/>
    <w:rsid w:val="00883B3F"/>
    <w:rsid w:val="00891554"/>
    <w:rsid w:val="00894113"/>
    <w:rsid w:val="009044EA"/>
    <w:rsid w:val="009355AA"/>
    <w:rsid w:val="009370A9"/>
    <w:rsid w:val="009608A3"/>
    <w:rsid w:val="00973D46"/>
    <w:rsid w:val="00984F52"/>
    <w:rsid w:val="009C16AA"/>
    <w:rsid w:val="00A14225"/>
    <w:rsid w:val="00A20F11"/>
    <w:rsid w:val="00A24BF8"/>
    <w:rsid w:val="00A3366D"/>
    <w:rsid w:val="00A44427"/>
    <w:rsid w:val="00A8383B"/>
    <w:rsid w:val="00AA67E2"/>
    <w:rsid w:val="00AB79A1"/>
    <w:rsid w:val="00AD2439"/>
    <w:rsid w:val="00AD69EE"/>
    <w:rsid w:val="00B47F52"/>
    <w:rsid w:val="00B54642"/>
    <w:rsid w:val="00B601D6"/>
    <w:rsid w:val="00B861D7"/>
    <w:rsid w:val="00C24D33"/>
    <w:rsid w:val="00C33244"/>
    <w:rsid w:val="00C37E38"/>
    <w:rsid w:val="00C701D0"/>
    <w:rsid w:val="00C733BA"/>
    <w:rsid w:val="00CE215E"/>
    <w:rsid w:val="00CE5630"/>
    <w:rsid w:val="00CE6E77"/>
    <w:rsid w:val="00D42CB6"/>
    <w:rsid w:val="00D47837"/>
    <w:rsid w:val="00D512C8"/>
    <w:rsid w:val="00D71443"/>
    <w:rsid w:val="00DE5B22"/>
    <w:rsid w:val="00E26EC6"/>
    <w:rsid w:val="00E61090"/>
    <w:rsid w:val="00E91101"/>
    <w:rsid w:val="00E915A6"/>
    <w:rsid w:val="00EA715F"/>
    <w:rsid w:val="00ED3B12"/>
    <w:rsid w:val="00ED5F4A"/>
    <w:rsid w:val="00F30515"/>
    <w:rsid w:val="00F35FCF"/>
    <w:rsid w:val="00F3721A"/>
    <w:rsid w:val="00F4283F"/>
    <w:rsid w:val="00F971AA"/>
    <w:rsid w:val="00FC0CEF"/>
    <w:rsid w:val="00FD45B0"/>
    <w:rsid w:val="00FF7BAE"/>
    <w:rsid w:val="092F4788"/>
    <w:rsid w:val="0BC75ED7"/>
    <w:rsid w:val="1069441A"/>
    <w:rsid w:val="14020ADB"/>
    <w:rsid w:val="1A78BB5A"/>
    <w:rsid w:val="1A902A58"/>
    <w:rsid w:val="2067008A"/>
    <w:rsid w:val="25CD7424"/>
    <w:rsid w:val="2DD83397"/>
    <w:rsid w:val="322D6D31"/>
    <w:rsid w:val="38EA253C"/>
    <w:rsid w:val="40310E03"/>
    <w:rsid w:val="431747E2"/>
    <w:rsid w:val="434D5519"/>
    <w:rsid w:val="469349A7"/>
    <w:rsid w:val="47CA46F1"/>
    <w:rsid w:val="4D372D26"/>
    <w:rsid w:val="59D27BE9"/>
    <w:rsid w:val="5ECF127F"/>
    <w:rsid w:val="62350090"/>
    <w:rsid w:val="76F70904"/>
    <w:rsid w:val="78D11D8E"/>
    <w:rsid w:val="7F4E9318"/>
    <w:rsid w:val="7F7F6E38"/>
    <w:rsid w:val="7FBDC8D1"/>
    <w:rsid w:val="7FF70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763FC"/>
  <w15:docId w15:val="{ADEB0335-7147-4E13-A651-943F7A8D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E61090"/>
    <w:pPr>
      <w:widowControl w:val="0"/>
      <w:spacing w:line="360" w:lineRule="auto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ind w:leftChars="1200" w:left="2520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autoRedefine/>
    <w:qFormat/>
    <w:pPr>
      <w:spacing w:after="120"/>
    </w:pPr>
  </w:style>
  <w:style w:type="paragraph" w:styleId="a7">
    <w:name w:val="Body Text Indent"/>
    <w:basedOn w:val="a"/>
    <w:link w:val="a8"/>
    <w:autoRedefine/>
    <w:qFormat/>
    <w:pPr>
      <w:ind w:firstLineChars="200" w:firstLine="480"/>
    </w:pPr>
    <w:rPr>
      <w:rFonts w:ascii="仿宋_GB2312" w:eastAsia="仿宋_GB2312"/>
      <w:kern w:val="0"/>
      <w:sz w:val="24"/>
    </w:rPr>
  </w:style>
  <w:style w:type="paragraph" w:styleId="a9">
    <w:name w:val="Block Text"/>
    <w:basedOn w:val="a"/>
    <w:autoRedefine/>
    <w:qFormat/>
    <w:pPr>
      <w:spacing w:before="120"/>
      <w:ind w:left="79" w:right="57"/>
    </w:pPr>
    <w:rPr>
      <w:rFonts w:ascii="宋体" w:hAnsi="宋体"/>
      <w:szCs w:val="20"/>
    </w:rPr>
  </w:style>
  <w:style w:type="paragraph" w:styleId="TOC5">
    <w:name w:val="toc 5"/>
    <w:basedOn w:val="a"/>
    <w:next w:val="a"/>
    <w:autoRedefine/>
    <w:qFormat/>
    <w:pPr>
      <w:ind w:leftChars="800" w:left="1680"/>
    </w:pPr>
  </w:style>
  <w:style w:type="paragraph" w:styleId="TOC3">
    <w:name w:val="toc 3"/>
    <w:basedOn w:val="a"/>
    <w:next w:val="a"/>
    <w:autoRedefine/>
    <w:qFormat/>
    <w:pPr>
      <w:widowControl/>
      <w:tabs>
        <w:tab w:val="left" w:pos="1418"/>
        <w:tab w:val="right" w:leader="dot" w:pos="8296"/>
      </w:tabs>
      <w:ind w:leftChars="303" w:left="848" w:firstLineChars="1" w:firstLine="3"/>
      <w:jc w:val="left"/>
    </w:pPr>
    <w:rPr>
      <w:rFonts w:ascii="宋体" w:hAnsi="宋体" w:cs="宋体"/>
      <w:kern w:val="0"/>
      <w:sz w:val="28"/>
      <w:szCs w:val="24"/>
    </w:rPr>
  </w:style>
  <w:style w:type="paragraph" w:styleId="aa">
    <w:name w:val="Plain Text"/>
    <w:basedOn w:val="a"/>
    <w:link w:val="ab"/>
    <w:autoRedefine/>
    <w:qFormat/>
    <w:rPr>
      <w:rFonts w:ascii="宋体" w:hAnsi="Courier New"/>
      <w:szCs w:val="20"/>
    </w:rPr>
  </w:style>
  <w:style w:type="paragraph" w:styleId="TOC8">
    <w:name w:val="toc 8"/>
    <w:basedOn w:val="a"/>
    <w:next w:val="a"/>
    <w:autoRedefine/>
    <w:qFormat/>
    <w:pPr>
      <w:ind w:leftChars="1400" w:left="2940"/>
    </w:pPr>
  </w:style>
  <w:style w:type="paragraph" w:styleId="21">
    <w:name w:val="Body Text Indent 2"/>
    <w:basedOn w:val="a"/>
    <w:link w:val="22"/>
    <w:autoRedefine/>
    <w:qFormat/>
    <w:pPr>
      <w:ind w:firstLine="422"/>
    </w:pPr>
    <w:rPr>
      <w:rFonts w:ascii="仿宋_GB2312" w:eastAsia="仿宋_GB2312"/>
      <w:b/>
      <w:kern w:val="0"/>
      <w:szCs w:val="20"/>
    </w:rPr>
  </w:style>
  <w:style w:type="paragraph" w:styleId="ac">
    <w:name w:val="Balloon Text"/>
    <w:basedOn w:val="a"/>
    <w:link w:val="ad"/>
    <w:autoRedefine/>
    <w:uiPriority w:val="99"/>
    <w:semiHidden/>
    <w:unhideWhenUsed/>
    <w:qFormat/>
    <w:rPr>
      <w:sz w:val="18"/>
      <w:szCs w:val="18"/>
    </w:rPr>
  </w:style>
  <w:style w:type="paragraph" w:styleId="ae">
    <w:name w:val="footer"/>
    <w:basedOn w:val="a"/>
    <w:link w:val="af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"/>
    <w:link w:val="af1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qFormat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TOC4">
    <w:name w:val="toc 4"/>
    <w:basedOn w:val="a"/>
    <w:next w:val="a"/>
    <w:autoRedefine/>
    <w:qFormat/>
    <w:pPr>
      <w:ind w:leftChars="600" w:left="1260"/>
    </w:pPr>
  </w:style>
  <w:style w:type="paragraph" w:styleId="af2">
    <w:name w:val="Subtitle"/>
    <w:basedOn w:val="a"/>
    <w:next w:val="a"/>
    <w:link w:val="af3"/>
    <w:autoRedefine/>
    <w:uiPriority w:val="11"/>
    <w:qFormat/>
    <w:pPr>
      <w:spacing w:before="240" w:after="60" w:line="312" w:lineRule="auto"/>
      <w:jc w:val="center"/>
      <w:outlineLvl w:val="1"/>
    </w:pPr>
    <w:rPr>
      <w:rFonts w:ascii="Cambria" w:eastAsiaTheme="minorEastAsia" w:hAnsi="Cambria"/>
      <w:b/>
      <w:bCs/>
      <w:kern w:val="28"/>
      <w:sz w:val="32"/>
      <w:szCs w:val="32"/>
    </w:rPr>
  </w:style>
  <w:style w:type="paragraph" w:styleId="TOC6">
    <w:name w:val="toc 6"/>
    <w:basedOn w:val="a"/>
    <w:next w:val="a"/>
    <w:autoRedefine/>
    <w:qFormat/>
    <w:pPr>
      <w:ind w:leftChars="1000" w:left="2100"/>
    </w:pPr>
  </w:style>
  <w:style w:type="paragraph" w:styleId="31">
    <w:name w:val="Body Text Indent 3"/>
    <w:basedOn w:val="a"/>
    <w:link w:val="32"/>
    <w:autoRedefine/>
    <w:qFormat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"/>
    <w:next w:val="a"/>
    <w:autoRedefine/>
    <w:qFormat/>
    <w:pPr>
      <w:widowControl/>
      <w:tabs>
        <w:tab w:val="left" w:pos="851"/>
        <w:tab w:val="right" w:leader="dot" w:pos="8296"/>
      </w:tabs>
      <w:ind w:leftChars="200" w:left="560"/>
      <w:jc w:val="left"/>
    </w:pPr>
    <w:rPr>
      <w:rFonts w:ascii="宋体" w:hAnsi="宋体" w:cs="宋体"/>
      <w:kern w:val="0"/>
      <w:sz w:val="28"/>
      <w:szCs w:val="24"/>
    </w:rPr>
  </w:style>
  <w:style w:type="paragraph" w:styleId="TOC9">
    <w:name w:val="toc 9"/>
    <w:basedOn w:val="a"/>
    <w:next w:val="a"/>
    <w:autoRedefine/>
    <w:qFormat/>
    <w:pPr>
      <w:ind w:leftChars="1600" w:left="3360"/>
    </w:pPr>
  </w:style>
  <w:style w:type="paragraph" w:styleId="af4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5">
    <w:name w:val="Title"/>
    <w:basedOn w:val="1"/>
    <w:next w:val="a"/>
    <w:link w:val="af6"/>
    <w:autoRedefine/>
    <w:qFormat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af7">
    <w:name w:val="annotation subject"/>
    <w:basedOn w:val="a3"/>
    <w:next w:val="a3"/>
    <w:link w:val="af8"/>
    <w:autoRedefine/>
    <w:uiPriority w:val="99"/>
    <w:semiHidden/>
    <w:unhideWhenUsed/>
    <w:qFormat/>
    <w:rPr>
      <w:b/>
      <w:bCs/>
    </w:rPr>
  </w:style>
  <w:style w:type="table" w:styleId="af9">
    <w:name w:val="Table Grid"/>
    <w:basedOn w:val="a1"/>
    <w:autoRedefine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page number"/>
    <w:basedOn w:val="a0"/>
    <w:autoRedefine/>
    <w:qFormat/>
  </w:style>
  <w:style w:type="character" w:styleId="afb">
    <w:name w:val="Hyperlink"/>
    <w:autoRedefine/>
    <w:qFormat/>
    <w:rPr>
      <w:color w:val="0000FF"/>
      <w:u w:val="single"/>
    </w:rPr>
  </w:style>
  <w:style w:type="character" w:styleId="afc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f1">
    <w:name w:val="页眉 字符"/>
    <w:basedOn w:val="a0"/>
    <w:link w:val="af0"/>
    <w:autoRedefine/>
    <w:uiPriority w:val="99"/>
    <w:qFormat/>
    <w:rPr>
      <w:sz w:val="18"/>
      <w:szCs w:val="18"/>
    </w:rPr>
  </w:style>
  <w:style w:type="character" w:customStyle="1" w:styleId="af">
    <w:name w:val="页脚 字符"/>
    <w:basedOn w:val="a0"/>
    <w:link w:val="ae"/>
    <w:autoRedefine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autoRedefine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autoRedefine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autoRedefine/>
    <w:qFormat/>
    <w:rPr>
      <w:rFonts w:ascii="宋体" w:eastAsia="宋体" w:hAnsi="宋体" w:cs="Times New Roman"/>
      <w:b/>
      <w:bCs/>
      <w:sz w:val="24"/>
      <w:szCs w:val="24"/>
    </w:rPr>
  </w:style>
  <w:style w:type="character" w:customStyle="1" w:styleId="af3">
    <w:name w:val="副标题 字符"/>
    <w:basedOn w:val="a0"/>
    <w:link w:val="af2"/>
    <w:autoRedefine/>
    <w:uiPriority w:val="11"/>
    <w:qFormat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6">
    <w:name w:val="标题 字符"/>
    <w:basedOn w:val="a0"/>
    <w:link w:val="af5"/>
    <w:autoRedefine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tb">
    <w:name w:val="tb"/>
    <w:basedOn w:val="a0"/>
    <w:autoRedefine/>
    <w:qFormat/>
  </w:style>
  <w:style w:type="character" w:customStyle="1" w:styleId="apple-style-span">
    <w:name w:val="apple-style-span"/>
    <w:basedOn w:val="a0"/>
    <w:autoRedefine/>
    <w:qFormat/>
  </w:style>
  <w:style w:type="character" w:customStyle="1" w:styleId="tf1">
    <w:name w:val="tf1"/>
    <w:basedOn w:val="a0"/>
    <w:autoRedefine/>
    <w:qFormat/>
    <w:rPr>
      <w:spacing w:val="300"/>
      <w:sz w:val="18"/>
      <w:szCs w:val="18"/>
    </w:rPr>
  </w:style>
  <w:style w:type="paragraph" w:customStyle="1" w:styleId="afd">
    <w:name w:val="注解（小四，楷体）"/>
    <w:basedOn w:val="a"/>
    <w:autoRedefine/>
    <w:qFormat/>
    <w:pPr>
      <w:widowControl/>
      <w:contextualSpacing/>
      <w:jc w:val="left"/>
    </w:pPr>
    <w:rPr>
      <w:rFonts w:ascii="楷体" w:eastAsia="楷体" w:hAnsi="楷体"/>
      <w:kern w:val="0"/>
      <w:sz w:val="24"/>
      <w:szCs w:val="24"/>
    </w:rPr>
  </w:style>
  <w:style w:type="paragraph" w:styleId="afe">
    <w:name w:val="No Spacing"/>
    <w:autoRedefine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22">
    <w:name w:val="正文文本缩进 2 字符"/>
    <w:basedOn w:val="a0"/>
    <w:link w:val="21"/>
    <w:autoRedefine/>
    <w:qFormat/>
    <w:rPr>
      <w:rFonts w:ascii="仿宋_GB2312" w:eastAsia="仿宋_GB2312" w:hAnsi="Times New Roman" w:cs="Times New Roman"/>
      <w:b/>
      <w:kern w:val="0"/>
      <w:szCs w:val="20"/>
    </w:rPr>
  </w:style>
  <w:style w:type="character" w:customStyle="1" w:styleId="a8">
    <w:name w:val="正文文本缩进 字符"/>
    <w:basedOn w:val="a0"/>
    <w:link w:val="a7"/>
    <w:autoRedefine/>
    <w:qFormat/>
    <w:rPr>
      <w:rFonts w:ascii="仿宋_GB2312" w:eastAsia="仿宋_GB2312" w:hAnsi="Times New Roman" w:cs="Times New Roman"/>
      <w:kern w:val="0"/>
      <w:sz w:val="24"/>
    </w:rPr>
  </w:style>
  <w:style w:type="paragraph" w:customStyle="1" w:styleId="a90">
    <w:name w:val="a9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">
    <w:name w:val="表格（小四，宋体）"/>
    <w:basedOn w:val="a"/>
    <w:autoRedefine/>
    <w:qFormat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210">
    <w:name w:val="正文文本 21"/>
    <w:basedOn w:val="a"/>
    <w:autoRedefine/>
    <w:qFormat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32">
    <w:name w:val="正文文本缩进 3 字符"/>
    <w:basedOn w:val="a0"/>
    <w:link w:val="31"/>
    <w:autoRedefine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a6">
    <w:name w:val="正文文本 字符"/>
    <w:basedOn w:val="a0"/>
    <w:link w:val="a5"/>
    <w:autoRedefine/>
    <w:qFormat/>
    <w:rPr>
      <w:rFonts w:ascii="Times New Roman" w:eastAsia="宋体" w:hAnsi="Times New Roman" w:cs="Times New Roman"/>
    </w:rPr>
  </w:style>
  <w:style w:type="paragraph" w:customStyle="1" w:styleId="211">
    <w:name w:val="正文文本 211"/>
    <w:basedOn w:val="a"/>
    <w:autoRedefine/>
    <w:qFormat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220">
    <w:name w:val="正文文本 22"/>
    <w:basedOn w:val="a"/>
    <w:autoRedefine/>
    <w:qFormat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11">
    <w:name w:val="无间隔1"/>
    <w:autoRedefine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Char1">
    <w:name w:val="标题 Char1"/>
    <w:basedOn w:val="a0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b">
    <w:name w:val="纯文本 字符"/>
    <w:basedOn w:val="a0"/>
    <w:link w:val="aa"/>
    <w:autoRedefine/>
    <w:qFormat/>
    <w:rPr>
      <w:rFonts w:ascii="宋体" w:eastAsia="宋体" w:hAnsi="Courier New" w:cs="Times New Roman"/>
      <w:szCs w:val="20"/>
    </w:rPr>
  </w:style>
  <w:style w:type="paragraph" w:customStyle="1" w:styleId="TOC10">
    <w:name w:val="TOC 标题1"/>
    <w:basedOn w:val="1"/>
    <w:next w:val="a"/>
    <w:autoRedefine/>
    <w:uiPriority w:val="39"/>
    <w:unhideWhenUsed/>
    <w:qFormat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0">
    <w:name w:val="副标题 Char1"/>
    <w:basedOn w:val="a0"/>
    <w:autoRedefine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12">
    <w:name w:val="列出段落1"/>
    <w:basedOn w:val="a"/>
    <w:autoRedefine/>
    <w:uiPriority w:val="34"/>
    <w:qFormat/>
    <w:pPr>
      <w:ind w:firstLineChars="200" w:firstLine="420"/>
    </w:pPr>
  </w:style>
  <w:style w:type="paragraph" w:customStyle="1" w:styleId="aff0">
    <w:name w:val="条款大标题"/>
    <w:basedOn w:val="af5"/>
    <w:link w:val="Char"/>
    <w:autoRedefine/>
    <w:qFormat/>
    <w:pPr>
      <w:snapToGrid w:val="0"/>
    </w:pPr>
  </w:style>
  <w:style w:type="paragraph" w:customStyle="1" w:styleId="aff1">
    <w:name w:val="条款标题"/>
    <w:basedOn w:val="a"/>
    <w:autoRedefine/>
    <w:qFormat/>
    <w:pPr>
      <w:tabs>
        <w:tab w:val="left" w:pos="840"/>
      </w:tabs>
    </w:pPr>
    <w:rPr>
      <w:b/>
    </w:rPr>
  </w:style>
  <w:style w:type="paragraph" w:customStyle="1" w:styleId="aff2">
    <w:name w:val="条款正文"/>
    <w:basedOn w:val="a"/>
    <w:autoRedefine/>
    <w:qFormat/>
    <w:pPr>
      <w:adjustRightInd w:val="0"/>
      <w:snapToGrid w:val="0"/>
      <w:ind w:leftChars="400" w:left="840" w:firstLineChars="200" w:firstLine="420"/>
    </w:pPr>
    <w:rPr>
      <w:szCs w:val="24"/>
    </w:rPr>
  </w:style>
  <w:style w:type="paragraph" w:styleId="aff3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">
    <w:name w:val="条款大标题 Char"/>
    <w:basedOn w:val="a0"/>
    <w:link w:val="aff0"/>
    <w:autoRedefine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d">
    <w:name w:val="批注框文本 字符"/>
    <w:basedOn w:val="a0"/>
    <w:link w:val="ac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f8">
    <w:name w:val="批注主题 字符"/>
    <w:basedOn w:val="a4"/>
    <w:link w:val="af7"/>
    <w:autoRedefine/>
    <w:uiPriority w:val="99"/>
    <w:semiHidden/>
    <w:qFormat/>
    <w:rPr>
      <w:b/>
      <w:bCs/>
      <w:kern w:val="2"/>
      <w:sz w:val="21"/>
      <w:szCs w:val="22"/>
    </w:rPr>
  </w:style>
  <w:style w:type="paragraph" w:customStyle="1" w:styleId="13">
    <w:name w:val="修订1"/>
    <w:autoRedefine/>
    <w:hidden/>
    <w:uiPriority w:val="99"/>
    <w:semiHidden/>
    <w:qFormat/>
    <w:rPr>
      <w:kern w:val="2"/>
      <w:sz w:val="21"/>
      <w:szCs w:val="22"/>
    </w:rPr>
  </w:style>
  <w:style w:type="paragraph" w:styleId="aff4">
    <w:name w:val="Revision"/>
    <w:hidden/>
    <w:uiPriority w:val="99"/>
    <w:semiHidden/>
    <w:rsid w:val="00E6109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188</Words>
  <Characters>1075</Characters>
  <Application>Microsoft Office Word</Application>
  <DocSecurity>0</DocSecurity>
  <Lines>8</Lines>
  <Paragraphs>2</Paragraphs>
  <ScaleCrop>false</ScaleCrop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</dc:creator>
  <cp:lastModifiedBy>徐驿</cp:lastModifiedBy>
  <cp:revision>12</cp:revision>
  <cp:lastPrinted>2013-12-28T09:47:00Z</cp:lastPrinted>
  <dcterms:created xsi:type="dcterms:W3CDTF">2022-06-10T09:53:00Z</dcterms:created>
  <dcterms:modified xsi:type="dcterms:W3CDTF">2023-12-20T01:11:00Z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BA8D7B1FF15146EA806B09BD77DEB757_13</vt:lpwstr>
  </property>
</Properties>
</file>