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附加家庭成员意外伤害医疗保险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费率表</w:t>
      </w:r>
    </w:p>
    <w:p>
      <w:pPr>
        <w:pStyle w:val="14"/>
        <w:spacing w:line="360" w:lineRule="auto"/>
        <w:jc w:val="center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4"/>
        <w:spacing w:line="360" w:lineRule="auto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一、年基准费率</w:t>
      </w:r>
      <w:bookmarkStart w:id="0" w:name="_GoBack"/>
      <w:bookmarkEnd w:id="0"/>
    </w:p>
    <w:tbl>
      <w:tblPr>
        <w:tblStyle w:val="7"/>
        <w:tblW w:w="7866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3"/>
        <w:gridCol w:w="39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家庭保险金额分配方式</w:t>
            </w:r>
          </w:p>
        </w:tc>
        <w:tc>
          <w:tcPr>
            <w:tcW w:w="3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年基准费率（%）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均分家庭保险金额</w:t>
            </w:r>
          </w:p>
        </w:tc>
        <w:tc>
          <w:tcPr>
            <w:tcW w:w="3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共享家庭保险金额</w:t>
            </w:r>
          </w:p>
        </w:tc>
        <w:tc>
          <w:tcPr>
            <w:tcW w:w="3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0.30</w:t>
            </w:r>
          </w:p>
        </w:tc>
      </w:tr>
    </w:tbl>
    <w:p>
      <w:pPr>
        <w:pStyle w:val="14"/>
        <w:spacing w:line="360" w:lineRule="auto"/>
        <w:jc w:val="center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4"/>
        <w:spacing w:line="360" w:lineRule="auto"/>
        <w:jc w:val="lef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二、费率调整系数</w:t>
      </w:r>
    </w:p>
    <w:p>
      <w:pPr>
        <w:pStyle w:val="14"/>
        <w:spacing w:line="360" w:lineRule="auto"/>
        <w:jc w:val="left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1、被保险家庭成员人数调整系数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被保险家庭成员人数（人）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[3,6]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[1.2,2.0]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＞6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,3.0]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2、被保险家庭成员职业类别调整系数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被保险家庭成员职业类别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家庭成员均为1-2类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[0.5,0.8]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家庭成员均为1-3类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(0.8,1.0]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家庭成员均为1-4类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家庭成员均为5-6类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(1.0,3.0]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  <w:vAlign w:val="top"/>
          </w:tcPr>
          <w:p>
            <w:pPr>
              <w:pStyle w:val="14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家庭成员均为6类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3803" w:type="dxa"/>
            <w:vAlign w:val="top"/>
          </w:tcPr>
          <w:p>
            <w:pPr>
              <w:pStyle w:val="14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3.0,4.0]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3、人数规模调整系数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人数规模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≥1000人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[0.5,0.8]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500人（含）-1000人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(0.8,1.0]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100人（含）-500人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(1.0,1.2]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＜100人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(1.2,2.0]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numPr>
          <w:ilvl w:val="0"/>
          <w:numId w:val="0"/>
        </w:numPr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4、历史/预期赔付率调整系数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历史/预期赔付率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[0,30%]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[0.3,0.5]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(30%,50%]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(0.5,0.7]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(50%,80%]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(0.7,1.2]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80%以上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(1.2,2.0]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5、被保险人常驻地风险状况调整系数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常驻地风险状况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低风险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[0.5,0.8]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中等风险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(0.8,1.0]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高风险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(1.0,1.5]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 w:val="0"/>
          <w:bCs/>
          <w:color w:val="000000"/>
          <w:szCs w:val="21"/>
          <w:lang w:val="en-US" w:eastAsia="zh-CN"/>
        </w:rPr>
        <w:t>注：常住地的风险状况根据常住地的社会治安、交通秩序、安全设施等进行划分。</w:t>
      </w: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6、渠道调整系数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  <w:vAlign w:val="center"/>
          </w:tcPr>
          <w:p>
            <w:pPr>
              <w:widowControl/>
              <w:spacing w:line="360" w:lineRule="auto"/>
              <w:ind w:firstLine="422" w:firstLineChars="20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渠道类型</w:t>
            </w:r>
          </w:p>
        </w:tc>
        <w:tc>
          <w:tcPr>
            <w:tcW w:w="3803" w:type="dxa"/>
            <w:vAlign w:val="center"/>
          </w:tcPr>
          <w:p>
            <w:pPr>
              <w:widowControl/>
              <w:spacing w:line="360" w:lineRule="auto"/>
              <w:ind w:firstLine="422" w:firstLineChars="20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自营渠道</w:t>
            </w:r>
          </w:p>
        </w:tc>
        <w:tc>
          <w:tcPr>
            <w:tcW w:w="380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[0.6,1.0]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第三方渠道</w:t>
            </w:r>
          </w:p>
        </w:tc>
        <w:tc>
          <w:tcPr>
            <w:tcW w:w="380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[0.8,2.0]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numPr>
          <w:ilvl w:val="0"/>
          <w:numId w:val="0"/>
        </w:numPr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  <w:highlight w:val="none"/>
        </w:rPr>
        <w:t>7、</w:t>
      </w:r>
      <w:r>
        <w:rPr>
          <w:rFonts w:hint="eastAsia" w:ascii="宋体" w:hAnsi="宋体" w:cs="宋体"/>
          <w:b/>
          <w:color w:val="000000"/>
          <w:szCs w:val="21"/>
        </w:rPr>
        <w:t>免赔额分配方式调整系数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  <w:vAlign w:val="center"/>
          </w:tcPr>
          <w:p>
            <w:pPr>
              <w:widowControl/>
              <w:spacing w:line="360" w:lineRule="auto"/>
              <w:ind w:firstLine="422" w:firstLineChars="20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免赔分配方式</w:t>
            </w:r>
          </w:p>
        </w:tc>
        <w:tc>
          <w:tcPr>
            <w:tcW w:w="3803" w:type="dxa"/>
            <w:vAlign w:val="center"/>
          </w:tcPr>
          <w:p>
            <w:pPr>
              <w:widowControl/>
              <w:spacing w:line="360" w:lineRule="auto"/>
              <w:ind w:firstLine="422" w:firstLineChars="20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每人免赔额</w:t>
            </w:r>
          </w:p>
        </w:tc>
        <w:tc>
          <w:tcPr>
            <w:tcW w:w="380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共享免赔额</w:t>
            </w:r>
          </w:p>
        </w:tc>
        <w:tc>
          <w:tcPr>
            <w:tcW w:w="3803" w:type="dxa"/>
            <w:vAlign w:val="center"/>
          </w:tcPr>
          <w:p>
            <w:pPr>
              <w:widowControl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1.2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numPr>
          <w:ilvl w:val="0"/>
          <w:numId w:val="0"/>
        </w:numPr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8、免赔额调整系数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免赔额(元）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[0,200]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[1.0,1.5]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(200,500]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(0.8,1.0]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(500,1000]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(0.6,0.8]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1000以上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[0.3,0.6]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9、赔付比例调整系数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赔付比例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szCs w:val="21"/>
              </w:rPr>
              <w:t>[80%,100%]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[1.0,1.5]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szCs w:val="21"/>
              </w:rPr>
              <w:t>(60%,80%]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(0.6,1.0]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szCs w:val="21"/>
              </w:rPr>
              <w:t>(40%,60%]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(0.4,0.6]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szCs w:val="21"/>
              </w:rPr>
              <w:t>≤40%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[0.2,0.4]</w:t>
            </w:r>
          </w:p>
        </w:tc>
      </w:tr>
    </w:tbl>
    <w:p>
      <w:pPr>
        <w:numPr>
          <w:ilvl w:val="255"/>
          <w:numId w:val="0"/>
        </w:num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/>
          <w:szCs w:val="21"/>
        </w:rPr>
        <w:t>基本医疗保险调整系数</w:t>
      </w:r>
    </w:p>
    <w:tbl>
      <w:tblPr>
        <w:tblStyle w:val="7"/>
        <w:tblW w:w="59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21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bidi="ar"/>
              </w:rPr>
              <w:t>被保险人基本医疗保险状况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已参加基本医疗保险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[0.7,1.0]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未参加基本医疗保险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(1.0,1.5]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三、保险费计算</w:t>
      </w:r>
    </w:p>
    <w:p>
      <w:pPr>
        <w:pStyle w:val="14"/>
        <w:spacing w:line="360" w:lineRule="auto"/>
        <w:ind w:firstLine="420" w:firstLineChars="200"/>
        <w:rPr>
          <w:rFonts w:hint="default" w:ascii="宋体" w:hAnsi="宋体" w:eastAsia="宋体" w:cs="宋体"/>
          <w:bCs/>
          <w:lang w:val="en-US" w:eastAsia="zh-CN"/>
        </w:rPr>
      </w:pP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每个家庭的</w:t>
      </w:r>
      <w:r>
        <w:rPr>
          <w:rFonts w:hint="eastAsia" w:ascii="宋体" w:hAnsi="宋体" w:cs="宋体"/>
          <w:bCs/>
          <w:color w:val="000000"/>
          <w:szCs w:val="21"/>
        </w:rPr>
        <w:t>年保险费=</w:t>
      </w:r>
      <w:r>
        <w:rPr>
          <w:rFonts w:hint="eastAsia" w:ascii="宋体" w:hAnsi="宋体" w:cs="宋体"/>
          <w:bCs/>
          <w:szCs w:val="24"/>
        </w:rPr>
        <w:t>保险金额×年基准费率×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被保险家庭成员人数调整系数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被保险家庭成员职业类别调整系数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人数规模调整系数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历史/预期赔付率调整系数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被保险人常驻地风险状况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渠道调整系数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免赔额分配方式调整系数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免赔额调整系数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赔付比例调整系数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szCs w:val="24"/>
          <w:lang w:val="en-US" w:eastAsia="zh-CN"/>
        </w:rPr>
        <w:t>基本医疗保险调整系数</w:t>
      </w: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四、短期费率表</w:t>
      </w:r>
    </w:p>
    <w:p>
      <w:pPr>
        <w:adjustRightInd w:val="0"/>
        <w:snapToGrid w:val="0"/>
        <w:spacing w:line="360" w:lineRule="auto"/>
        <w:ind w:firstLine="48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个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100%</w:t>
            </w:r>
          </w:p>
        </w:tc>
      </w:tr>
    </w:tbl>
    <w:p>
      <w:pPr>
        <w:spacing w:line="360" w:lineRule="auto"/>
        <w:jc w:val="left"/>
        <w:rPr>
          <w:rFonts w:ascii="宋体" w:hAnsi="宋体" w:eastAsia="宋体" w:cs="宋体"/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3853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mI4OTNmZDFjMzI4N2Y2NjJkMjBjMzJjZWE3ZWEifQ=="/>
  </w:docVars>
  <w:rsids>
    <w:rsidRoot w:val="007B2B0B"/>
    <w:rsid w:val="00015FBD"/>
    <w:rsid w:val="00063B96"/>
    <w:rsid w:val="00121C13"/>
    <w:rsid w:val="002D4324"/>
    <w:rsid w:val="00325802"/>
    <w:rsid w:val="003700AD"/>
    <w:rsid w:val="006757AF"/>
    <w:rsid w:val="006E52AA"/>
    <w:rsid w:val="006E7E53"/>
    <w:rsid w:val="00721299"/>
    <w:rsid w:val="007443E2"/>
    <w:rsid w:val="007B2B0B"/>
    <w:rsid w:val="00813A67"/>
    <w:rsid w:val="00867879"/>
    <w:rsid w:val="008F1FCE"/>
    <w:rsid w:val="00A157E0"/>
    <w:rsid w:val="00A2088B"/>
    <w:rsid w:val="00AF3145"/>
    <w:rsid w:val="00B34198"/>
    <w:rsid w:val="00B9216A"/>
    <w:rsid w:val="00D1297F"/>
    <w:rsid w:val="00EC6588"/>
    <w:rsid w:val="00EC7B26"/>
    <w:rsid w:val="00FD0B7C"/>
    <w:rsid w:val="061B292E"/>
    <w:rsid w:val="28C130D1"/>
    <w:rsid w:val="33246FE8"/>
    <w:rsid w:val="47A50B18"/>
    <w:rsid w:val="4ADF3512"/>
    <w:rsid w:val="548F3A5F"/>
    <w:rsid w:val="5E0409E7"/>
    <w:rsid w:val="6E113780"/>
    <w:rsid w:val="734E4B2E"/>
    <w:rsid w:val="78AC4F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738</Words>
  <Characters>1089</Characters>
  <Lines>8</Lines>
  <Paragraphs>2</Paragraphs>
  <TotalTime>5</TotalTime>
  <ScaleCrop>false</ScaleCrop>
  <LinksUpToDate>false</LinksUpToDate>
  <CharactersWithSpaces>1089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2017-11-22T04:16:00Z</dcterms:created>
  <dc:creator>王文成</dc:creator>
  <cp:lastModifiedBy>徐驿</cp:lastModifiedBy>
  <dcterms:modified xsi:type="dcterms:W3CDTF">2023-07-29T02:51:17Z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C99F45244D8D4ACD8A0DF556FFE656C9_13</vt:lpwstr>
  </property>
</Properties>
</file>