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华农财产保险股份有限公司</w:t>
      </w:r>
    </w:p>
    <w:p>
      <w:pPr>
        <w:jc w:val="center"/>
        <w:rPr>
          <w:rFonts w:ascii="宋体" w:hAnsi="宋体" w:eastAsia="宋体" w:cs="宋体"/>
          <w:b/>
          <w:bCs/>
          <w:sz w:val="28"/>
          <w:szCs w:val="28"/>
        </w:rPr>
      </w:pPr>
      <w:r>
        <w:rPr>
          <w:rFonts w:hint="eastAsia" w:ascii="宋体" w:hAnsi="宋体" w:eastAsia="宋体" w:cs="宋体"/>
          <w:b/>
          <w:bCs/>
          <w:color w:val="000000"/>
          <w:kern w:val="0"/>
          <w:sz w:val="28"/>
          <w:szCs w:val="28"/>
        </w:rPr>
        <w:t>乳腺恶性肿瘤复发医疗保险费率表（互联网专属）</w:t>
      </w:r>
    </w:p>
    <w:p>
      <w:pPr>
        <w:adjustRightInd w:val="0"/>
        <w:snapToGrid w:val="0"/>
        <w:spacing w:line="360" w:lineRule="auto"/>
        <w:ind w:firstLine="420" w:firstLineChars="200"/>
        <w:rPr>
          <w:rFonts w:ascii="宋体" w:hAnsi="宋体" w:eastAsia="宋体" w:cs="宋体"/>
          <w:szCs w:val="21"/>
        </w:rPr>
      </w:pPr>
    </w:p>
    <w:p>
      <w:pPr>
        <w:adjustRightInd w:val="0"/>
        <w:snapToGrid w:val="0"/>
        <w:spacing w:line="360" w:lineRule="auto"/>
        <w:ind w:firstLine="422" w:firstLineChars="200"/>
        <w:rPr>
          <w:rFonts w:ascii="宋体" w:hAnsi="宋体" w:eastAsia="宋体" w:cs="宋体"/>
          <w:b/>
          <w:szCs w:val="21"/>
        </w:rPr>
      </w:pPr>
      <w:r>
        <w:rPr>
          <w:rFonts w:hint="eastAsia" w:ascii="宋体" w:hAnsi="宋体" w:eastAsia="宋体" w:cs="宋体"/>
          <w:b/>
          <w:szCs w:val="21"/>
        </w:rPr>
        <w:t>一、基准赔付标准</w:t>
      </w:r>
    </w:p>
    <w:p>
      <w:pPr>
        <w:adjustRightInd w:val="0"/>
        <w:snapToGrid w:val="0"/>
        <w:spacing w:line="360" w:lineRule="auto"/>
        <w:ind w:firstLine="422" w:firstLineChars="200"/>
        <w:rPr>
          <w:rFonts w:hint="eastAsia" w:ascii="宋体" w:hAnsi="宋体" w:eastAsia="宋体" w:cs="宋体"/>
          <w:b/>
          <w:szCs w:val="21"/>
          <w:lang w:eastAsia="zh-CN"/>
        </w:rPr>
      </w:pPr>
      <w:r>
        <w:rPr>
          <w:rFonts w:hint="eastAsia" w:ascii="宋体" w:hAnsi="宋体" w:eastAsia="宋体" w:cs="宋体"/>
          <w:b/>
          <w:szCs w:val="21"/>
        </w:rPr>
        <w:t>（一）乳腺恶性肿瘤复发医疗保险金</w:t>
      </w:r>
      <w:r>
        <w:rPr>
          <w:rFonts w:hint="eastAsia" w:ascii="宋体" w:hAnsi="宋体" w:eastAsia="宋体" w:cs="宋体"/>
          <w:b/>
          <w:szCs w:val="21"/>
          <w:lang w:eastAsia="zh-CN"/>
        </w:rPr>
        <w:t>（</w:t>
      </w:r>
      <w:r>
        <w:rPr>
          <w:rFonts w:hint="eastAsia" w:ascii="宋体" w:hAnsi="宋体" w:eastAsia="宋体" w:cs="宋体"/>
          <w:b/>
          <w:szCs w:val="21"/>
          <w:lang w:val="en-US" w:eastAsia="zh-CN"/>
        </w:rPr>
        <w:t>必选责任</w:t>
      </w:r>
      <w:r>
        <w:rPr>
          <w:rFonts w:hint="eastAsia" w:ascii="宋体" w:hAnsi="宋体" w:eastAsia="宋体" w:cs="宋体"/>
          <w:b/>
          <w:szCs w:val="21"/>
          <w:lang w:eastAsia="zh-CN"/>
        </w:rPr>
        <w:t>）</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1、保险金额：</w:t>
      </w:r>
      <w:r>
        <w:rPr>
          <w:rFonts w:ascii="宋体" w:hAnsi="宋体" w:eastAsia="宋体" w:cs="宋体"/>
          <w:szCs w:val="21"/>
        </w:rPr>
        <w:t>10</w:t>
      </w:r>
      <w:r>
        <w:rPr>
          <w:rFonts w:hint="eastAsia" w:ascii="宋体" w:hAnsi="宋体" w:eastAsia="宋体" w:cs="宋体"/>
          <w:szCs w:val="21"/>
        </w:rPr>
        <w:t>万元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2、免赔额：0元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3、赔付比例：</w:t>
      </w:r>
    </w:p>
    <w:p>
      <w:pPr>
        <w:widowControl/>
        <w:adjustRightInd w:val="0"/>
        <w:snapToGrid w:val="0"/>
        <w:spacing w:line="360" w:lineRule="auto"/>
        <w:ind w:firstLine="420" w:firstLineChars="200"/>
        <w:jc w:val="left"/>
        <w:rPr>
          <w:rFonts w:ascii="宋体" w:hAnsi="宋体" w:eastAsia="宋体" w:cs="宋体"/>
          <w:szCs w:val="21"/>
        </w:rPr>
      </w:pPr>
      <w:bookmarkStart w:id="0" w:name="_Hlk31888858"/>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）保险人以参加基本医疗保险或公费医疗身份投保，并以基本医疗保险或公费医疗身份就诊并结算，赔付比例为100%。</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（2）若被保险人以参加基本医疗保险或公费医疗身份投保，但未以基本医疗保险或公费</w:t>
      </w:r>
      <w:bookmarkStart w:id="1" w:name="_GoBack"/>
      <w:bookmarkEnd w:id="1"/>
      <w:r>
        <w:rPr>
          <w:rFonts w:hint="eastAsia" w:ascii="宋体" w:hAnsi="宋体" w:eastAsia="宋体" w:cs="宋体"/>
          <w:szCs w:val="21"/>
        </w:rPr>
        <w:t>医疗身份就诊并结算，赔付比例为60%。</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（3）若被保险人未以参加基本医疗保险或公费医疗身份投保，赔付比例为100%。</w:t>
      </w:r>
    </w:p>
    <w:p>
      <w:pPr>
        <w:adjustRightInd w:val="0"/>
        <w:snapToGrid w:val="0"/>
        <w:spacing w:line="360" w:lineRule="auto"/>
        <w:ind w:firstLine="422" w:firstLineChars="200"/>
        <w:rPr>
          <w:rFonts w:hint="eastAsia" w:ascii="宋体" w:hAnsi="宋体" w:eastAsia="宋体" w:cs="宋体"/>
          <w:b/>
          <w:szCs w:val="21"/>
          <w:lang w:eastAsia="zh-CN"/>
        </w:rPr>
      </w:pPr>
      <w:r>
        <w:rPr>
          <w:rFonts w:hint="eastAsia" w:ascii="宋体" w:hAnsi="宋体" w:eastAsia="宋体" w:cs="宋体"/>
          <w:b/>
          <w:szCs w:val="21"/>
        </w:rPr>
        <w:t>（二）对侧原发性乳腺恶性肿瘤医疗保险金</w:t>
      </w:r>
      <w:r>
        <w:rPr>
          <w:rFonts w:hint="eastAsia" w:ascii="宋体" w:hAnsi="宋体" w:eastAsia="宋体" w:cs="宋体"/>
          <w:b/>
          <w:szCs w:val="21"/>
          <w:lang w:eastAsia="zh-CN"/>
        </w:rPr>
        <w:t>（</w:t>
      </w:r>
      <w:r>
        <w:rPr>
          <w:rFonts w:hint="eastAsia" w:ascii="宋体" w:hAnsi="宋体" w:eastAsia="宋体" w:cs="宋体"/>
          <w:b/>
          <w:szCs w:val="21"/>
          <w:lang w:val="en-US" w:eastAsia="zh-CN"/>
        </w:rPr>
        <w:t>可选责任</w:t>
      </w:r>
      <w:r>
        <w:rPr>
          <w:rFonts w:hint="eastAsia" w:ascii="宋体" w:hAnsi="宋体" w:eastAsia="宋体" w:cs="宋体"/>
          <w:b/>
          <w:szCs w:val="21"/>
          <w:lang w:eastAsia="zh-CN"/>
        </w:rPr>
        <w:t>）</w:t>
      </w:r>
    </w:p>
    <w:p>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1、</w:t>
      </w:r>
      <w:r>
        <w:rPr>
          <w:rFonts w:ascii="宋体" w:hAnsi="宋体" w:eastAsia="宋体" w:cs="宋体"/>
          <w:bCs/>
          <w:szCs w:val="21"/>
        </w:rPr>
        <w:t>保险金额：100万元</w:t>
      </w:r>
    </w:p>
    <w:p>
      <w:pPr>
        <w:adjustRightInd w:val="0"/>
        <w:snapToGrid w:val="0"/>
        <w:spacing w:line="360" w:lineRule="auto"/>
        <w:ind w:firstLine="420" w:firstLineChars="200"/>
        <w:rPr>
          <w:rFonts w:ascii="宋体" w:hAnsi="宋体" w:eastAsia="宋体" w:cs="宋体"/>
          <w:bCs/>
          <w:szCs w:val="21"/>
        </w:rPr>
      </w:pPr>
      <w:r>
        <w:rPr>
          <w:rFonts w:ascii="宋体" w:hAnsi="宋体" w:eastAsia="宋体" w:cs="宋体"/>
          <w:bCs/>
          <w:szCs w:val="21"/>
        </w:rPr>
        <w:t>2、免赔额：0元</w:t>
      </w:r>
    </w:p>
    <w:p>
      <w:pPr>
        <w:adjustRightInd w:val="0"/>
        <w:snapToGrid w:val="0"/>
        <w:spacing w:line="360" w:lineRule="auto"/>
        <w:ind w:firstLine="420" w:firstLineChars="200"/>
        <w:rPr>
          <w:rFonts w:ascii="宋体" w:hAnsi="宋体" w:eastAsia="宋体" w:cs="宋体"/>
          <w:bCs/>
          <w:szCs w:val="21"/>
        </w:rPr>
      </w:pPr>
      <w:r>
        <w:rPr>
          <w:rFonts w:ascii="宋体" w:hAnsi="宋体" w:eastAsia="宋体" w:cs="宋体"/>
          <w:bCs/>
          <w:szCs w:val="21"/>
        </w:rPr>
        <w:t>3、赔付比例：</w:t>
      </w:r>
    </w:p>
    <w:p>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w:t>
      </w:r>
      <w:r>
        <w:rPr>
          <w:rFonts w:ascii="宋体" w:hAnsi="宋体" w:eastAsia="宋体" w:cs="宋体"/>
          <w:bCs/>
          <w:szCs w:val="21"/>
        </w:rPr>
        <w:t>1）保险人以参加基本医疗保险或公费医疗身份投保，并以基本医疗保险或公费医疗身份就诊并结算，赔付比例为100%。</w:t>
      </w:r>
    </w:p>
    <w:p>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w:t>
      </w:r>
      <w:r>
        <w:rPr>
          <w:rFonts w:ascii="宋体" w:hAnsi="宋体" w:eastAsia="宋体" w:cs="宋体"/>
          <w:bCs/>
          <w:szCs w:val="21"/>
        </w:rPr>
        <w:t>2）若被保险人以参加基本医疗保险或公费医疗身份投保，但未以基本医疗保险或公费 医疗身份就诊并结算，赔付比例为60%。</w:t>
      </w:r>
    </w:p>
    <w:p>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w:t>
      </w:r>
      <w:r>
        <w:rPr>
          <w:rFonts w:ascii="宋体" w:hAnsi="宋体" w:eastAsia="宋体" w:cs="宋体"/>
          <w:bCs/>
          <w:szCs w:val="21"/>
        </w:rPr>
        <w:t>3）若被保险人未以参加基本医疗保险或公费医疗身份投保，赔付比例为100%。</w:t>
      </w:r>
    </w:p>
    <w:bookmarkEnd w:id="0"/>
    <w:p>
      <w:pPr>
        <w:widowControl/>
        <w:adjustRightInd w:val="0"/>
        <w:snapToGrid w:val="0"/>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 xml:space="preserve">二、基准年保险费（单位：元） </w:t>
      </w:r>
      <w:r>
        <w:rPr>
          <w:rFonts w:hint="eastAsia" w:ascii="宋体" w:hAnsi="宋体" w:eastAsia="宋体" w:cs="宋体"/>
          <w:szCs w:val="21"/>
        </w:rPr>
        <w:t xml:space="preserve">   </w:t>
      </w:r>
    </w:p>
    <w:p>
      <w:pPr>
        <w:adjustRightInd w:val="0"/>
        <w:snapToGrid w:val="0"/>
        <w:spacing w:line="360" w:lineRule="auto"/>
        <w:ind w:firstLine="422" w:firstLineChars="200"/>
        <w:rPr>
          <w:rFonts w:ascii="宋体" w:hAnsi="宋体" w:eastAsia="宋体" w:cs="宋体"/>
          <w:b/>
          <w:szCs w:val="21"/>
        </w:rPr>
      </w:pPr>
      <w:r>
        <w:rPr>
          <w:rFonts w:hint="eastAsia" w:ascii="宋体" w:hAnsi="宋体" w:eastAsia="宋体" w:cs="宋体"/>
          <w:b/>
          <w:szCs w:val="21"/>
        </w:rPr>
        <w:t>（一）乳腺恶性肿瘤复发医疗保险金</w:t>
      </w:r>
      <w:r>
        <w:rPr>
          <w:rFonts w:hint="eastAsia" w:ascii="宋体" w:hAnsi="宋体" w:eastAsia="宋体" w:cs="宋体"/>
          <w:b/>
          <w:szCs w:val="21"/>
          <w:lang w:eastAsia="zh-CN"/>
        </w:rPr>
        <w:t>（</w:t>
      </w:r>
      <w:r>
        <w:rPr>
          <w:rFonts w:hint="eastAsia" w:ascii="宋体" w:hAnsi="宋体" w:eastAsia="宋体" w:cs="宋体"/>
          <w:b/>
          <w:szCs w:val="21"/>
          <w:lang w:val="en-US" w:eastAsia="zh-CN"/>
        </w:rPr>
        <w:t>必选责任</w:t>
      </w:r>
      <w:r>
        <w:rPr>
          <w:rFonts w:hint="eastAsia" w:ascii="宋体" w:hAnsi="宋体" w:eastAsia="宋体" w:cs="宋体"/>
          <w:b/>
          <w:szCs w:val="21"/>
          <w:lang w:eastAsia="zh-CN"/>
        </w:rPr>
        <w:t>）</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1、对于已接受乳腺恶性肿瘤手术治疗，但未接受乳腺恶性肿瘤新辅助治疗人群：</w:t>
      </w:r>
    </w:p>
    <w:tbl>
      <w:tblPr>
        <w:tblStyle w:val="7"/>
        <w:tblW w:w="8396" w:type="dxa"/>
        <w:tblInd w:w="113" w:type="dxa"/>
        <w:tblLayout w:type="autofit"/>
        <w:tblCellMar>
          <w:top w:w="0" w:type="dxa"/>
          <w:left w:w="108" w:type="dxa"/>
          <w:bottom w:w="0" w:type="dxa"/>
          <w:right w:w="108" w:type="dxa"/>
        </w:tblCellMar>
      </w:tblPr>
      <w:tblGrid>
        <w:gridCol w:w="1271"/>
        <w:gridCol w:w="723"/>
        <w:gridCol w:w="833"/>
        <w:gridCol w:w="833"/>
        <w:gridCol w:w="836"/>
        <w:gridCol w:w="1169"/>
        <w:gridCol w:w="1043"/>
        <w:gridCol w:w="841"/>
        <w:gridCol w:w="841"/>
        <w:gridCol w:w="6"/>
      </w:tblGrid>
      <w:tr>
        <w:tblPrEx>
          <w:tblCellMar>
            <w:top w:w="0" w:type="dxa"/>
            <w:left w:w="108" w:type="dxa"/>
            <w:bottom w:w="0" w:type="dxa"/>
            <w:right w:w="108" w:type="dxa"/>
          </w:tblCellMar>
        </w:tblPrEx>
        <w:trPr>
          <w:trHeight w:val="245" w:hRule="atLeast"/>
        </w:trPr>
        <w:tc>
          <w:tcPr>
            <w:tcW w:w="12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分型/分期</w:t>
            </w:r>
          </w:p>
        </w:tc>
        <w:tc>
          <w:tcPr>
            <w:tcW w:w="7125" w:type="dxa"/>
            <w:gridSpan w:val="9"/>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基准年保险费</w:t>
            </w:r>
          </w:p>
        </w:tc>
      </w:tr>
      <w:tr>
        <w:tblPrEx>
          <w:tblCellMar>
            <w:top w:w="0" w:type="dxa"/>
            <w:left w:w="108" w:type="dxa"/>
            <w:bottom w:w="0" w:type="dxa"/>
            <w:right w:w="108" w:type="dxa"/>
          </w:tblCellMar>
        </w:tblPrEx>
        <w:trPr>
          <w:trHeight w:val="245" w:hRule="atLeast"/>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Cs w:val="21"/>
              </w:rPr>
            </w:pPr>
          </w:p>
        </w:tc>
        <w:tc>
          <w:tcPr>
            <w:tcW w:w="3225"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有社保</w:t>
            </w:r>
          </w:p>
        </w:tc>
        <w:tc>
          <w:tcPr>
            <w:tcW w:w="3900"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无社保</w:t>
            </w:r>
          </w:p>
        </w:tc>
      </w:tr>
      <w:tr>
        <w:tblPrEx>
          <w:tblCellMar>
            <w:top w:w="0" w:type="dxa"/>
            <w:left w:w="108" w:type="dxa"/>
            <w:bottom w:w="0" w:type="dxa"/>
            <w:right w:w="108" w:type="dxa"/>
          </w:tblCellMar>
        </w:tblPrEx>
        <w:trPr>
          <w:gridAfter w:val="1"/>
          <w:wAfter w:w="6" w:type="dxa"/>
          <w:trHeight w:val="245" w:hRule="atLeast"/>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Cs w:val="21"/>
              </w:rPr>
            </w:pPr>
          </w:p>
        </w:tc>
        <w:tc>
          <w:tcPr>
            <w:tcW w:w="7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0期</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I期</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II期</w:t>
            </w:r>
          </w:p>
        </w:tc>
        <w:tc>
          <w:tcPr>
            <w:tcW w:w="8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Ⅲ期</w:t>
            </w:r>
          </w:p>
        </w:tc>
        <w:tc>
          <w:tcPr>
            <w:tcW w:w="11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0期</w:t>
            </w:r>
          </w:p>
        </w:tc>
        <w:tc>
          <w:tcPr>
            <w:tcW w:w="10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I期</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II期</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Ⅲ期</w:t>
            </w:r>
          </w:p>
        </w:tc>
      </w:tr>
      <w:tr>
        <w:tblPrEx>
          <w:tblCellMar>
            <w:top w:w="0" w:type="dxa"/>
            <w:left w:w="108" w:type="dxa"/>
            <w:bottom w:w="0" w:type="dxa"/>
            <w:right w:w="108" w:type="dxa"/>
          </w:tblCellMar>
        </w:tblPrEx>
        <w:trPr>
          <w:gridAfter w:val="1"/>
          <w:wAfter w:w="6" w:type="dxa"/>
          <w:trHeight w:val="481" w:hRule="atLeast"/>
        </w:trPr>
        <w:tc>
          <w:tcPr>
            <w:tcW w:w="12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腔面A型</w:t>
            </w:r>
            <w:r>
              <w:rPr>
                <w:rFonts w:hint="eastAsia" w:ascii="等线" w:hAnsi="等线" w:eastAsia="等线" w:cs="宋体"/>
                <w:color w:val="000000"/>
                <w:kern w:val="0"/>
                <w:szCs w:val="21"/>
              </w:rPr>
              <w:t>（</w:t>
            </w:r>
            <w:r>
              <w:rPr>
                <w:rFonts w:hint="eastAsia" w:ascii="宋体" w:hAnsi="宋体" w:eastAsia="宋体" w:cs="宋体"/>
                <w:color w:val="000000"/>
                <w:kern w:val="0"/>
                <w:szCs w:val="21"/>
              </w:rPr>
              <w:t>Luminal A</w:t>
            </w:r>
            <w:r>
              <w:rPr>
                <w:rFonts w:hint="eastAsia" w:ascii="等线" w:hAnsi="等线" w:eastAsia="等线" w:cs="宋体"/>
                <w:color w:val="000000"/>
                <w:kern w:val="0"/>
                <w:szCs w:val="21"/>
              </w:rPr>
              <w:t>）</w:t>
            </w:r>
          </w:p>
        </w:tc>
        <w:tc>
          <w:tcPr>
            <w:tcW w:w="7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1033</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1292</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3435</w:t>
            </w:r>
          </w:p>
        </w:tc>
        <w:tc>
          <w:tcPr>
            <w:tcW w:w="8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4264</w:t>
            </w:r>
          </w:p>
        </w:tc>
        <w:tc>
          <w:tcPr>
            <w:tcW w:w="11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1800</w:t>
            </w:r>
          </w:p>
        </w:tc>
        <w:tc>
          <w:tcPr>
            <w:tcW w:w="10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2253</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5985</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7210</w:t>
            </w:r>
          </w:p>
        </w:tc>
      </w:tr>
      <w:tr>
        <w:tblPrEx>
          <w:tblCellMar>
            <w:top w:w="0" w:type="dxa"/>
            <w:left w:w="108" w:type="dxa"/>
            <w:bottom w:w="0" w:type="dxa"/>
            <w:right w:w="108" w:type="dxa"/>
          </w:tblCellMar>
        </w:tblPrEx>
        <w:trPr>
          <w:gridAfter w:val="1"/>
          <w:wAfter w:w="6" w:type="dxa"/>
          <w:trHeight w:val="481" w:hRule="atLeast"/>
        </w:trPr>
        <w:tc>
          <w:tcPr>
            <w:tcW w:w="12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腔面B型</w:t>
            </w:r>
            <w:r>
              <w:rPr>
                <w:rFonts w:hint="eastAsia" w:ascii="等线" w:hAnsi="等线" w:eastAsia="等线" w:cs="宋体"/>
                <w:color w:val="000000"/>
                <w:kern w:val="0"/>
                <w:szCs w:val="21"/>
              </w:rPr>
              <w:t>（</w:t>
            </w:r>
            <w:r>
              <w:rPr>
                <w:rFonts w:hint="eastAsia" w:ascii="宋体" w:hAnsi="宋体" w:eastAsia="宋体" w:cs="宋体"/>
                <w:color w:val="000000"/>
                <w:kern w:val="0"/>
                <w:szCs w:val="21"/>
              </w:rPr>
              <w:t>Luminal B</w:t>
            </w:r>
            <w:r>
              <w:rPr>
                <w:rFonts w:hint="eastAsia" w:ascii="等线" w:hAnsi="等线" w:eastAsia="等线" w:cs="宋体"/>
                <w:color w:val="000000"/>
                <w:kern w:val="0"/>
                <w:szCs w:val="21"/>
              </w:rPr>
              <w:t>）</w:t>
            </w:r>
          </w:p>
        </w:tc>
        <w:tc>
          <w:tcPr>
            <w:tcW w:w="7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1033</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1863</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4967</w:t>
            </w:r>
          </w:p>
        </w:tc>
        <w:tc>
          <w:tcPr>
            <w:tcW w:w="8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5347</w:t>
            </w:r>
          </w:p>
        </w:tc>
        <w:tc>
          <w:tcPr>
            <w:tcW w:w="11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1800</w:t>
            </w:r>
          </w:p>
        </w:tc>
        <w:tc>
          <w:tcPr>
            <w:tcW w:w="10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3244</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8655</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9083</w:t>
            </w:r>
          </w:p>
        </w:tc>
      </w:tr>
      <w:tr>
        <w:tblPrEx>
          <w:tblCellMar>
            <w:top w:w="0" w:type="dxa"/>
            <w:left w:w="108" w:type="dxa"/>
            <w:bottom w:w="0" w:type="dxa"/>
            <w:right w:w="108" w:type="dxa"/>
          </w:tblCellMar>
        </w:tblPrEx>
        <w:trPr>
          <w:gridAfter w:val="1"/>
          <w:wAfter w:w="6" w:type="dxa"/>
          <w:trHeight w:val="394" w:hRule="atLeast"/>
        </w:trPr>
        <w:tc>
          <w:tcPr>
            <w:tcW w:w="12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Her2过表达型</w:t>
            </w:r>
          </w:p>
        </w:tc>
        <w:tc>
          <w:tcPr>
            <w:tcW w:w="7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1033</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2236</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5960</w:t>
            </w:r>
          </w:p>
        </w:tc>
        <w:tc>
          <w:tcPr>
            <w:tcW w:w="8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6261</w:t>
            </w:r>
          </w:p>
        </w:tc>
        <w:tc>
          <w:tcPr>
            <w:tcW w:w="11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1800</w:t>
            </w:r>
          </w:p>
        </w:tc>
        <w:tc>
          <w:tcPr>
            <w:tcW w:w="10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3892</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10387</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10898</w:t>
            </w:r>
          </w:p>
        </w:tc>
      </w:tr>
      <w:tr>
        <w:tblPrEx>
          <w:tblCellMar>
            <w:top w:w="0" w:type="dxa"/>
            <w:left w:w="108" w:type="dxa"/>
            <w:bottom w:w="0" w:type="dxa"/>
            <w:right w:w="108" w:type="dxa"/>
          </w:tblCellMar>
        </w:tblPrEx>
        <w:trPr>
          <w:gridAfter w:val="1"/>
          <w:wAfter w:w="6" w:type="dxa"/>
          <w:trHeight w:val="376" w:hRule="atLeast"/>
        </w:trPr>
        <w:tc>
          <w:tcPr>
            <w:tcW w:w="12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三阴性</w:t>
            </w:r>
          </w:p>
        </w:tc>
        <w:tc>
          <w:tcPr>
            <w:tcW w:w="7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1033</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3641</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6552</w:t>
            </w:r>
          </w:p>
        </w:tc>
        <w:tc>
          <w:tcPr>
            <w:tcW w:w="8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ascii="宋体" w:hAnsi="宋体" w:eastAsia="宋体" w:cs="宋体"/>
                <w:color w:val="000000"/>
                <w:kern w:val="0"/>
                <w:szCs w:val="21"/>
              </w:rPr>
              <w:t>8999</w:t>
            </w:r>
          </w:p>
        </w:tc>
        <w:tc>
          <w:tcPr>
            <w:tcW w:w="11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1800</w:t>
            </w:r>
          </w:p>
        </w:tc>
        <w:tc>
          <w:tcPr>
            <w:tcW w:w="10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6351</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11418</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10797</w:t>
            </w:r>
          </w:p>
        </w:tc>
      </w:tr>
    </w:tbl>
    <w:p>
      <w:pPr>
        <w:widowControl/>
        <w:adjustRightInd w:val="0"/>
        <w:snapToGrid w:val="0"/>
        <w:spacing w:line="360" w:lineRule="auto"/>
        <w:ind w:firstLine="420" w:firstLineChars="200"/>
        <w:jc w:val="left"/>
        <w:rPr>
          <w:rFonts w:ascii="宋体" w:hAnsi="宋体" w:eastAsia="宋体" w:cs="宋体"/>
          <w:szCs w:val="21"/>
        </w:rPr>
      </w:pP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2、对于已经接受乳腺恶性肿瘤手术治疗及乳腺恶性肿瘤新辅助治疗人群：</w:t>
      </w:r>
    </w:p>
    <w:tbl>
      <w:tblPr>
        <w:tblStyle w:val="7"/>
        <w:tblW w:w="8437" w:type="dxa"/>
        <w:tblInd w:w="113" w:type="dxa"/>
        <w:tblLayout w:type="autofit"/>
        <w:tblCellMar>
          <w:top w:w="0" w:type="dxa"/>
          <w:left w:w="108" w:type="dxa"/>
          <w:bottom w:w="0" w:type="dxa"/>
          <w:right w:w="108" w:type="dxa"/>
        </w:tblCellMar>
      </w:tblPr>
      <w:tblGrid>
        <w:gridCol w:w="1555"/>
        <w:gridCol w:w="800"/>
        <w:gridCol w:w="1069"/>
        <w:gridCol w:w="1070"/>
        <w:gridCol w:w="1069"/>
        <w:gridCol w:w="1336"/>
        <w:gridCol w:w="1538"/>
      </w:tblGrid>
      <w:tr>
        <w:tblPrEx>
          <w:tblCellMar>
            <w:top w:w="0" w:type="dxa"/>
            <w:left w:w="108" w:type="dxa"/>
            <w:bottom w:w="0" w:type="dxa"/>
            <w:right w:w="108" w:type="dxa"/>
          </w:tblCellMar>
        </w:tblPrEx>
        <w:trPr>
          <w:trHeight w:val="259" w:hRule="atLeast"/>
        </w:trPr>
        <w:tc>
          <w:tcPr>
            <w:tcW w:w="15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分型/分期</w:t>
            </w:r>
          </w:p>
        </w:tc>
        <w:tc>
          <w:tcPr>
            <w:tcW w:w="6882"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基准年保险费</w:t>
            </w:r>
          </w:p>
        </w:tc>
      </w:tr>
      <w:tr>
        <w:tblPrEx>
          <w:tblCellMar>
            <w:top w:w="0" w:type="dxa"/>
            <w:left w:w="108" w:type="dxa"/>
            <w:bottom w:w="0" w:type="dxa"/>
            <w:right w:w="108" w:type="dxa"/>
          </w:tblCellMar>
        </w:tblPrEx>
        <w:trPr>
          <w:trHeight w:val="259" w:hRule="atLeast"/>
        </w:trPr>
        <w:tc>
          <w:tcPr>
            <w:tcW w:w="15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Cs w:val="21"/>
              </w:rPr>
            </w:pPr>
          </w:p>
        </w:tc>
        <w:tc>
          <w:tcPr>
            <w:tcW w:w="293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有社保</w:t>
            </w:r>
          </w:p>
        </w:tc>
        <w:tc>
          <w:tcPr>
            <w:tcW w:w="394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无社保</w:t>
            </w:r>
          </w:p>
        </w:tc>
      </w:tr>
      <w:tr>
        <w:tblPrEx>
          <w:tblCellMar>
            <w:top w:w="0" w:type="dxa"/>
            <w:left w:w="108" w:type="dxa"/>
            <w:bottom w:w="0" w:type="dxa"/>
            <w:right w:w="108" w:type="dxa"/>
          </w:tblCellMar>
        </w:tblPrEx>
        <w:trPr>
          <w:trHeight w:val="259" w:hRule="atLeast"/>
        </w:trPr>
        <w:tc>
          <w:tcPr>
            <w:tcW w:w="15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Cs w:val="21"/>
              </w:rPr>
            </w:pP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pCR</w:t>
            </w:r>
          </w:p>
        </w:tc>
        <w:tc>
          <w:tcPr>
            <w:tcW w:w="10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I期</w:t>
            </w:r>
          </w:p>
        </w:tc>
        <w:tc>
          <w:tcPr>
            <w:tcW w:w="10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II期</w:t>
            </w:r>
          </w:p>
        </w:tc>
        <w:tc>
          <w:tcPr>
            <w:tcW w:w="10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pCR</w:t>
            </w:r>
          </w:p>
        </w:tc>
        <w:tc>
          <w:tcPr>
            <w:tcW w:w="13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I期</w:t>
            </w:r>
          </w:p>
        </w:tc>
        <w:tc>
          <w:tcPr>
            <w:tcW w:w="153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II期</w:t>
            </w:r>
          </w:p>
        </w:tc>
      </w:tr>
      <w:tr>
        <w:tblPrEx>
          <w:tblCellMar>
            <w:top w:w="0" w:type="dxa"/>
            <w:left w:w="108" w:type="dxa"/>
            <w:bottom w:w="0" w:type="dxa"/>
            <w:right w:w="108" w:type="dxa"/>
          </w:tblCellMar>
        </w:tblPrEx>
        <w:trPr>
          <w:trHeight w:val="509" w:hRule="atLeast"/>
        </w:trPr>
        <w:tc>
          <w:tcPr>
            <w:tcW w:w="1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腔面A型</w:t>
            </w:r>
            <w:r>
              <w:rPr>
                <w:rFonts w:hint="eastAsia" w:ascii="等线" w:hAnsi="等线" w:eastAsia="等线" w:cs="宋体"/>
                <w:color w:val="000000"/>
                <w:kern w:val="0"/>
                <w:szCs w:val="21"/>
              </w:rPr>
              <w:t>（</w:t>
            </w:r>
            <w:r>
              <w:rPr>
                <w:rFonts w:hint="eastAsia" w:ascii="宋体" w:hAnsi="宋体" w:eastAsia="宋体" w:cs="宋体"/>
                <w:color w:val="000000"/>
                <w:kern w:val="0"/>
                <w:szCs w:val="21"/>
              </w:rPr>
              <w:t>Luminal A</w:t>
            </w:r>
            <w:r>
              <w:rPr>
                <w:rFonts w:hint="eastAsia" w:ascii="等线" w:hAnsi="等线" w:eastAsia="等线" w:cs="宋体"/>
                <w:color w:val="000000"/>
                <w:kern w:val="0"/>
                <w:szCs w:val="21"/>
              </w:rPr>
              <w:t>）</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1035</w:t>
            </w:r>
          </w:p>
        </w:tc>
        <w:tc>
          <w:tcPr>
            <w:tcW w:w="10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1615</w:t>
            </w:r>
          </w:p>
        </w:tc>
        <w:tc>
          <w:tcPr>
            <w:tcW w:w="10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4295</w:t>
            </w:r>
          </w:p>
        </w:tc>
        <w:tc>
          <w:tcPr>
            <w:tcW w:w="10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1803</w:t>
            </w:r>
          </w:p>
        </w:tc>
        <w:tc>
          <w:tcPr>
            <w:tcW w:w="13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2815</w:t>
            </w:r>
          </w:p>
        </w:tc>
        <w:tc>
          <w:tcPr>
            <w:tcW w:w="153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7483</w:t>
            </w:r>
          </w:p>
        </w:tc>
      </w:tr>
      <w:tr>
        <w:tblPrEx>
          <w:tblCellMar>
            <w:top w:w="0" w:type="dxa"/>
            <w:left w:w="108" w:type="dxa"/>
            <w:bottom w:w="0" w:type="dxa"/>
            <w:right w:w="108" w:type="dxa"/>
          </w:tblCellMar>
        </w:tblPrEx>
        <w:trPr>
          <w:trHeight w:val="509" w:hRule="atLeast"/>
        </w:trPr>
        <w:tc>
          <w:tcPr>
            <w:tcW w:w="1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腔面B型</w:t>
            </w:r>
            <w:r>
              <w:rPr>
                <w:rFonts w:hint="eastAsia" w:ascii="等线" w:hAnsi="等线" w:eastAsia="等线" w:cs="宋体"/>
                <w:color w:val="000000"/>
                <w:kern w:val="0"/>
                <w:szCs w:val="21"/>
              </w:rPr>
              <w:t>（</w:t>
            </w:r>
            <w:r>
              <w:rPr>
                <w:rFonts w:hint="eastAsia" w:ascii="宋体" w:hAnsi="宋体" w:eastAsia="宋体" w:cs="宋体"/>
                <w:color w:val="000000"/>
                <w:kern w:val="0"/>
                <w:szCs w:val="21"/>
              </w:rPr>
              <w:t>Luminal B</w:t>
            </w:r>
            <w:r>
              <w:rPr>
                <w:rFonts w:hint="eastAsia" w:ascii="等线" w:hAnsi="等线" w:eastAsia="等线" w:cs="宋体"/>
                <w:color w:val="000000"/>
                <w:kern w:val="0"/>
                <w:szCs w:val="21"/>
              </w:rPr>
              <w:t>）</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1490</w:t>
            </w:r>
          </w:p>
        </w:tc>
        <w:tc>
          <w:tcPr>
            <w:tcW w:w="10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2328</w:t>
            </w:r>
          </w:p>
        </w:tc>
        <w:tc>
          <w:tcPr>
            <w:tcW w:w="10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6210</w:t>
            </w:r>
          </w:p>
        </w:tc>
        <w:tc>
          <w:tcPr>
            <w:tcW w:w="10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2595</w:t>
            </w:r>
          </w:p>
        </w:tc>
        <w:tc>
          <w:tcPr>
            <w:tcW w:w="13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4053</w:t>
            </w:r>
          </w:p>
        </w:tc>
        <w:tc>
          <w:tcPr>
            <w:tcW w:w="153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10820</w:t>
            </w:r>
          </w:p>
        </w:tc>
      </w:tr>
      <w:tr>
        <w:tblPrEx>
          <w:tblCellMar>
            <w:top w:w="0" w:type="dxa"/>
            <w:left w:w="108" w:type="dxa"/>
            <w:bottom w:w="0" w:type="dxa"/>
            <w:right w:w="108" w:type="dxa"/>
          </w:tblCellMar>
        </w:tblPrEx>
        <w:trPr>
          <w:trHeight w:val="259" w:hRule="atLeast"/>
        </w:trPr>
        <w:tc>
          <w:tcPr>
            <w:tcW w:w="1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Her2过表达型</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1788</w:t>
            </w:r>
          </w:p>
        </w:tc>
        <w:tc>
          <w:tcPr>
            <w:tcW w:w="10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2795</w:t>
            </w:r>
          </w:p>
        </w:tc>
        <w:tc>
          <w:tcPr>
            <w:tcW w:w="10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7450</w:t>
            </w:r>
          </w:p>
        </w:tc>
        <w:tc>
          <w:tcPr>
            <w:tcW w:w="10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3115</w:t>
            </w:r>
          </w:p>
        </w:tc>
        <w:tc>
          <w:tcPr>
            <w:tcW w:w="13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4865</w:t>
            </w:r>
          </w:p>
        </w:tc>
        <w:tc>
          <w:tcPr>
            <w:tcW w:w="153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12985</w:t>
            </w:r>
          </w:p>
        </w:tc>
      </w:tr>
      <w:tr>
        <w:tblPrEx>
          <w:tblCellMar>
            <w:top w:w="0" w:type="dxa"/>
            <w:left w:w="108" w:type="dxa"/>
            <w:bottom w:w="0" w:type="dxa"/>
            <w:right w:w="108" w:type="dxa"/>
          </w:tblCellMar>
        </w:tblPrEx>
        <w:trPr>
          <w:trHeight w:val="259" w:hRule="atLeast"/>
        </w:trPr>
        <w:tc>
          <w:tcPr>
            <w:tcW w:w="1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三阴性</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2913</w:t>
            </w:r>
          </w:p>
        </w:tc>
        <w:tc>
          <w:tcPr>
            <w:tcW w:w="10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4550</w:t>
            </w:r>
          </w:p>
        </w:tc>
        <w:tc>
          <w:tcPr>
            <w:tcW w:w="10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8190</w:t>
            </w:r>
          </w:p>
        </w:tc>
        <w:tc>
          <w:tcPr>
            <w:tcW w:w="10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5080</w:t>
            </w:r>
          </w:p>
        </w:tc>
        <w:tc>
          <w:tcPr>
            <w:tcW w:w="13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7983</w:t>
            </w:r>
          </w:p>
        </w:tc>
        <w:tc>
          <w:tcPr>
            <w:tcW w:w="153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14273</w:t>
            </w:r>
          </w:p>
        </w:tc>
      </w:tr>
    </w:tbl>
    <w:p>
      <w:pPr>
        <w:widowControl/>
        <w:adjustRightInd w:val="0"/>
        <w:snapToGrid w:val="0"/>
        <w:spacing w:line="360" w:lineRule="auto"/>
        <w:ind w:firstLine="422" w:firstLineChars="200"/>
        <w:jc w:val="left"/>
        <w:rPr>
          <w:rFonts w:ascii="宋体" w:hAnsi="宋体" w:eastAsia="宋体"/>
          <w:b/>
          <w:szCs w:val="21"/>
        </w:rPr>
      </w:pPr>
    </w:p>
    <w:p>
      <w:pPr>
        <w:adjustRightInd w:val="0"/>
        <w:snapToGrid w:val="0"/>
        <w:spacing w:line="360" w:lineRule="auto"/>
        <w:ind w:firstLine="422" w:firstLineChars="200"/>
        <w:rPr>
          <w:rFonts w:ascii="宋体" w:hAnsi="宋体" w:eastAsia="宋体" w:cs="宋体"/>
          <w:b/>
          <w:szCs w:val="21"/>
        </w:rPr>
      </w:pPr>
      <w:r>
        <w:rPr>
          <w:rFonts w:hint="eastAsia" w:ascii="宋体" w:hAnsi="宋体" w:eastAsia="宋体" w:cs="宋体"/>
          <w:b/>
          <w:szCs w:val="21"/>
        </w:rPr>
        <w:t>（二）对侧原发性乳腺恶性肿瘤医疗保险金</w:t>
      </w:r>
      <w:r>
        <w:rPr>
          <w:rFonts w:hint="eastAsia" w:ascii="宋体" w:hAnsi="宋体" w:eastAsia="宋体" w:cs="宋体"/>
          <w:b/>
          <w:szCs w:val="21"/>
          <w:lang w:eastAsia="zh-CN"/>
        </w:rPr>
        <w:t>（</w:t>
      </w:r>
      <w:r>
        <w:rPr>
          <w:rFonts w:hint="eastAsia" w:ascii="宋体" w:hAnsi="宋体" w:eastAsia="宋体" w:cs="宋体"/>
          <w:b/>
          <w:szCs w:val="21"/>
          <w:lang w:val="en-US" w:eastAsia="zh-CN"/>
        </w:rPr>
        <w:t>可选责任</w:t>
      </w:r>
      <w:r>
        <w:rPr>
          <w:rFonts w:hint="eastAsia" w:ascii="宋体" w:hAnsi="宋体" w:eastAsia="宋体" w:cs="宋体"/>
          <w:b/>
          <w:szCs w:val="21"/>
          <w:lang w:eastAsia="zh-CN"/>
        </w:rPr>
        <w:t>）</w:t>
      </w:r>
    </w:p>
    <w:tbl>
      <w:tblPr>
        <w:tblStyle w:val="7"/>
        <w:tblW w:w="7737" w:type="dxa"/>
        <w:tblInd w:w="113" w:type="dxa"/>
        <w:tblLayout w:type="autofit"/>
        <w:tblCellMar>
          <w:top w:w="0" w:type="dxa"/>
          <w:left w:w="108" w:type="dxa"/>
          <w:bottom w:w="0" w:type="dxa"/>
          <w:right w:w="108" w:type="dxa"/>
        </w:tblCellMar>
      </w:tblPr>
      <w:tblGrid>
        <w:gridCol w:w="3305"/>
        <w:gridCol w:w="2216"/>
        <w:gridCol w:w="2216"/>
      </w:tblGrid>
      <w:tr>
        <w:tblPrEx>
          <w:tblCellMar>
            <w:top w:w="0" w:type="dxa"/>
            <w:left w:w="108" w:type="dxa"/>
            <w:bottom w:w="0" w:type="dxa"/>
            <w:right w:w="108" w:type="dxa"/>
          </w:tblCellMar>
        </w:tblPrEx>
        <w:trPr>
          <w:trHeight w:val="755" w:hRule="atLeast"/>
        </w:trPr>
        <w:tc>
          <w:tcPr>
            <w:tcW w:w="330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分型/分期</w:t>
            </w:r>
          </w:p>
        </w:tc>
        <w:tc>
          <w:tcPr>
            <w:tcW w:w="22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有社保</w:t>
            </w:r>
          </w:p>
        </w:tc>
        <w:tc>
          <w:tcPr>
            <w:tcW w:w="22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无社保</w:t>
            </w:r>
          </w:p>
        </w:tc>
      </w:tr>
      <w:tr>
        <w:tblPrEx>
          <w:tblCellMar>
            <w:top w:w="0" w:type="dxa"/>
            <w:left w:w="108" w:type="dxa"/>
            <w:bottom w:w="0" w:type="dxa"/>
            <w:right w:w="108" w:type="dxa"/>
          </w:tblCellMar>
        </w:tblPrEx>
        <w:trPr>
          <w:trHeight w:val="755" w:hRule="atLeast"/>
        </w:trPr>
        <w:tc>
          <w:tcPr>
            <w:tcW w:w="330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腔面A型</w:t>
            </w:r>
            <w:r>
              <w:rPr>
                <w:rFonts w:hint="eastAsia" w:ascii="等线" w:hAnsi="等线" w:eastAsia="等线" w:cs="宋体"/>
                <w:color w:val="000000"/>
                <w:kern w:val="0"/>
                <w:szCs w:val="21"/>
              </w:rPr>
              <w:t>（</w:t>
            </w:r>
            <w:r>
              <w:rPr>
                <w:rFonts w:hint="eastAsia" w:ascii="宋体" w:hAnsi="宋体" w:eastAsia="宋体" w:cs="宋体"/>
                <w:color w:val="000000"/>
                <w:kern w:val="0"/>
                <w:szCs w:val="21"/>
              </w:rPr>
              <w:t>Luminal A</w:t>
            </w:r>
            <w:r>
              <w:rPr>
                <w:rFonts w:hint="eastAsia" w:ascii="等线" w:hAnsi="等线" w:eastAsia="等线" w:cs="宋体"/>
                <w:color w:val="000000"/>
                <w:kern w:val="0"/>
                <w:szCs w:val="21"/>
              </w:rPr>
              <w:t>）</w:t>
            </w:r>
          </w:p>
        </w:tc>
        <w:tc>
          <w:tcPr>
            <w:tcW w:w="22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328</w:t>
            </w:r>
          </w:p>
        </w:tc>
        <w:tc>
          <w:tcPr>
            <w:tcW w:w="22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455</w:t>
            </w:r>
          </w:p>
        </w:tc>
      </w:tr>
      <w:tr>
        <w:tblPrEx>
          <w:tblCellMar>
            <w:top w:w="0" w:type="dxa"/>
            <w:left w:w="108" w:type="dxa"/>
            <w:bottom w:w="0" w:type="dxa"/>
            <w:right w:w="108" w:type="dxa"/>
          </w:tblCellMar>
        </w:tblPrEx>
        <w:trPr>
          <w:trHeight w:val="755" w:hRule="atLeast"/>
        </w:trPr>
        <w:tc>
          <w:tcPr>
            <w:tcW w:w="330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腔面B型</w:t>
            </w:r>
            <w:r>
              <w:rPr>
                <w:rFonts w:hint="eastAsia" w:ascii="等线" w:hAnsi="等线" w:eastAsia="等线" w:cs="宋体"/>
                <w:color w:val="000000"/>
                <w:kern w:val="0"/>
                <w:szCs w:val="21"/>
              </w:rPr>
              <w:t>（</w:t>
            </w:r>
            <w:r>
              <w:rPr>
                <w:rFonts w:hint="eastAsia" w:ascii="宋体" w:hAnsi="宋体" w:eastAsia="宋体" w:cs="宋体"/>
                <w:color w:val="000000"/>
                <w:kern w:val="0"/>
                <w:szCs w:val="21"/>
              </w:rPr>
              <w:t>Luminal B</w:t>
            </w:r>
            <w:r>
              <w:rPr>
                <w:rFonts w:hint="eastAsia" w:ascii="等线" w:hAnsi="等线" w:eastAsia="等线" w:cs="宋体"/>
                <w:color w:val="000000"/>
                <w:kern w:val="0"/>
                <w:szCs w:val="21"/>
              </w:rPr>
              <w:t>）</w:t>
            </w:r>
          </w:p>
        </w:tc>
        <w:tc>
          <w:tcPr>
            <w:tcW w:w="22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295</w:t>
            </w:r>
          </w:p>
        </w:tc>
        <w:tc>
          <w:tcPr>
            <w:tcW w:w="22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410</w:t>
            </w:r>
          </w:p>
        </w:tc>
      </w:tr>
      <w:tr>
        <w:tblPrEx>
          <w:tblCellMar>
            <w:top w:w="0" w:type="dxa"/>
            <w:left w:w="108" w:type="dxa"/>
            <w:bottom w:w="0" w:type="dxa"/>
            <w:right w:w="108" w:type="dxa"/>
          </w:tblCellMar>
        </w:tblPrEx>
        <w:trPr>
          <w:trHeight w:val="573" w:hRule="atLeast"/>
        </w:trPr>
        <w:tc>
          <w:tcPr>
            <w:tcW w:w="330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Her2过表达型</w:t>
            </w:r>
          </w:p>
        </w:tc>
        <w:tc>
          <w:tcPr>
            <w:tcW w:w="22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350</w:t>
            </w:r>
          </w:p>
        </w:tc>
        <w:tc>
          <w:tcPr>
            <w:tcW w:w="22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486</w:t>
            </w:r>
          </w:p>
        </w:tc>
      </w:tr>
      <w:tr>
        <w:tblPrEx>
          <w:tblCellMar>
            <w:top w:w="0" w:type="dxa"/>
            <w:left w:w="108" w:type="dxa"/>
            <w:bottom w:w="0" w:type="dxa"/>
            <w:right w:w="108" w:type="dxa"/>
          </w:tblCellMar>
        </w:tblPrEx>
        <w:trPr>
          <w:trHeight w:val="491" w:hRule="atLeast"/>
        </w:trPr>
        <w:tc>
          <w:tcPr>
            <w:tcW w:w="330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三阴性</w:t>
            </w:r>
          </w:p>
        </w:tc>
        <w:tc>
          <w:tcPr>
            <w:tcW w:w="22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542</w:t>
            </w:r>
          </w:p>
        </w:tc>
        <w:tc>
          <w:tcPr>
            <w:tcW w:w="22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752</w:t>
            </w:r>
          </w:p>
        </w:tc>
      </w:tr>
    </w:tbl>
    <w:p>
      <w:pPr>
        <w:adjustRightInd w:val="0"/>
        <w:snapToGrid w:val="0"/>
        <w:spacing w:line="360" w:lineRule="auto"/>
        <w:ind w:firstLine="210" w:firstLineChars="100"/>
        <w:rPr>
          <w:rFonts w:ascii="宋体" w:hAnsi="宋体" w:eastAsia="宋体" w:cs="宋体"/>
          <w:bCs/>
          <w:szCs w:val="21"/>
        </w:rPr>
      </w:pPr>
    </w:p>
    <w:p>
      <w:pPr>
        <w:widowControl/>
        <w:adjustRightInd w:val="0"/>
        <w:snapToGrid w:val="0"/>
        <w:spacing w:line="360" w:lineRule="auto"/>
        <w:ind w:firstLine="422" w:firstLineChars="200"/>
        <w:jc w:val="left"/>
        <w:rPr>
          <w:rFonts w:ascii="宋体" w:hAnsi="宋体" w:eastAsia="宋体"/>
          <w:b/>
          <w:szCs w:val="21"/>
        </w:rPr>
      </w:pPr>
      <w:r>
        <w:rPr>
          <w:rFonts w:ascii="宋体" w:hAnsi="宋体" w:eastAsia="宋体"/>
          <w:b/>
          <w:szCs w:val="21"/>
        </w:rPr>
        <w:t>三</w:t>
      </w:r>
      <w:r>
        <w:rPr>
          <w:rFonts w:hint="eastAsia" w:ascii="宋体" w:hAnsi="宋体" w:eastAsia="宋体"/>
          <w:b/>
          <w:szCs w:val="21"/>
        </w:rPr>
        <w:t>、费率调整系数</w:t>
      </w:r>
    </w:p>
    <w:p>
      <w:pPr>
        <w:spacing w:line="360" w:lineRule="auto"/>
        <w:ind w:firstLine="420" w:firstLineChars="200"/>
        <w:rPr>
          <w:rFonts w:ascii="宋体" w:hAnsi="宋体" w:eastAsia="宋体" w:cs="宋体"/>
          <w:szCs w:val="21"/>
          <w:lang w:bidi="ar"/>
        </w:rPr>
      </w:pPr>
      <w:r>
        <w:rPr>
          <w:rFonts w:ascii="宋体" w:hAnsi="宋体" w:eastAsia="宋体" w:cs="宋体"/>
          <w:szCs w:val="21"/>
          <w:lang w:bidi="ar"/>
        </w:rPr>
        <w:t>1</w:t>
      </w:r>
      <w:r>
        <w:rPr>
          <w:rFonts w:hint="eastAsia" w:ascii="宋体" w:hAnsi="宋体" w:eastAsia="宋体" w:cs="宋体"/>
          <w:szCs w:val="21"/>
          <w:lang w:bidi="ar"/>
        </w:rPr>
        <w:t>、年龄调整系数</w:t>
      </w:r>
    </w:p>
    <w:tbl>
      <w:tblPr>
        <w:tblStyle w:val="8"/>
        <w:tblW w:w="0" w:type="auto"/>
        <w:tblInd w:w="14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9"/>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2849" w:type="dxa"/>
            <w:vAlign w:val="center"/>
          </w:tcPr>
          <w:p>
            <w:pPr>
              <w:widowControl/>
              <w:jc w:val="center"/>
              <w:rPr>
                <w:rFonts w:ascii="宋体" w:hAnsi="宋体" w:eastAsia="宋体" w:cs="宋体"/>
                <w:b/>
                <w:bCs/>
                <w:szCs w:val="21"/>
                <w:lang w:bidi="ar"/>
              </w:rPr>
            </w:pPr>
            <w:r>
              <w:rPr>
                <w:rFonts w:hint="eastAsia" w:ascii="宋体" w:hAnsi="宋体" w:eastAsia="宋体" w:cs="宋体"/>
                <w:b/>
                <w:bCs/>
                <w:szCs w:val="21"/>
                <w:lang w:bidi="ar"/>
              </w:rPr>
              <w:t>被保险人年龄（周岁）</w:t>
            </w:r>
          </w:p>
        </w:tc>
        <w:tc>
          <w:tcPr>
            <w:tcW w:w="2841" w:type="dxa"/>
            <w:vAlign w:val="center"/>
          </w:tcPr>
          <w:p>
            <w:pPr>
              <w:widowControl/>
              <w:jc w:val="center"/>
              <w:rPr>
                <w:rFonts w:ascii="宋体" w:hAnsi="宋体" w:eastAsia="宋体" w:cs="宋体"/>
                <w:b/>
                <w:bCs/>
                <w:szCs w:val="21"/>
                <w:lang w:bidi="ar"/>
              </w:rPr>
            </w:pPr>
            <w:r>
              <w:rPr>
                <w:rFonts w:hint="eastAsia" w:ascii="宋体" w:hAnsi="宋体" w:eastAsia="宋体" w:cs="宋体"/>
                <w:b/>
                <w:bCs/>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9" w:type="dxa"/>
            <w:vAlign w:val="bottom"/>
          </w:tcPr>
          <w:p>
            <w:pPr>
              <w:widowControl/>
              <w:jc w:val="center"/>
              <w:rPr>
                <w:rFonts w:ascii="宋体" w:hAnsi="宋体" w:eastAsia="宋体" w:cs="宋体"/>
                <w:szCs w:val="21"/>
                <w:lang w:bidi="ar"/>
              </w:rPr>
            </w:pPr>
            <w:r>
              <w:rPr>
                <w:rFonts w:ascii="宋体" w:hAnsi="宋体" w:eastAsia="宋体" w:cs="宋体"/>
                <w:szCs w:val="21"/>
                <w:lang w:bidi="ar"/>
              </w:rPr>
              <w:t>[18,</w:t>
            </w:r>
            <w:r>
              <w:rPr>
                <w:rFonts w:hint="eastAsia" w:ascii="宋体" w:hAnsi="宋体" w:eastAsia="宋体" w:cs="宋体"/>
                <w:szCs w:val="21"/>
                <w:lang w:bidi="ar"/>
              </w:rPr>
              <w:t>30</w:t>
            </w:r>
            <w:r>
              <w:rPr>
                <w:rFonts w:ascii="宋体" w:hAnsi="宋体" w:eastAsia="宋体" w:cs="宋体"/>
                <w:szCs w:val="21"/>
                <w:lang w:bidi="ar"/>
              </w:rPr>
              <w:t>]</w:t>
            </w:r>
          </w:p>
        </w:tc>
        <w:tc>
          <w:tcPr>
            <w:tcW w:w="2841" w:type="dxa"/>
            <w:vAlign w:val="bottom"/>
          </w:tcPr>
          <w:p>
            <w:pPr>
              <w:widowControl/>
              <w:jc w:val="center"/>
              <w:rPr>
                <w:rFonts w:ascii="宋体" w:hAnsi="宋体" w:eastAsia="宋体" w:cs="宋体"/>
                <w:szCs w:val="21"/>
                <w:lang w:bidi="ar"/>
              </w:rPr>
            </w:pPr>
            <w:r>
              <w:rPr>
                <w:rFonts w:hint="eastAsia" w:ascii="宋体" w:hAnsi="宋体" w:eastAsia="宋体" w:cs="宋体"/>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9" w:type="dxa"/>
            <w:vAlign w:val="bottom"/>
          </w:tcPr>
          <w:p>
            <w:pPr>
              <w:widowControl/>
              <w:jc w:val="center"/>
              <w:rPr>
                <w:rFonts w:ascii="宋体" w:hAnsi="宋体" w:eastAsia="宋体" w:cs="宋体"/>
                <w:szCs w:val="21"/>
                <w:lang w:bidi="ar"/>
              </w:rPr>
            </w:pPr>
            <w:r>
              <w:rPr>
                <w:rFonts w:ascii="宋体" w:hAnsi="宋体" w:eastAsia="宋体" w:cs="宋体"/>
                <w:szCs w:val="21"/>
                <w:lang w:bidi="ar"/>
              </w:rPr>
              <w:t>[</w:t>
            </w:r>
            <w:r>
              <w:rPr>
                <w:rFonts w:hint="eastAsia" w:ascii="宋体" w:hAnsi="宋体" w:eastAsia="宋体" w:cs="宋体"/>
                <w:szCs w:val="21"/>
                <w:lang w:bidi="ar"/>
              </w:rPr>
              <w:t>3</w:t>
            </w:r>
            <w:r>
              <w:rPr>
                <w:rFonts w:ascii="宋体" w:hAnsi="宋体" w:eastAsia="宋体" w:cs="宋体"/>
                <w:szCs w:val="21"/>
                <w:lang w:bidi="ar"/>
              </w:rPr>
              <w:t>1,</w:t>
            </w:r>
            <w:r>
              <w:rPr>
                <w:rFonts w:hint="eastAsia" w:ascii="宋体" w:hAnsi="宋体" w:eastAsia="宋体" w:cs="宋体"/>
                <w:szCs w:val="21"/>
                <w:lang w:bidi="ar"/>
              </w:rPr>
              <w:t>50</w:t>
            </w:r>
            <w:r>
              <w:rPr>
                <w:rFonts w:ascii="宋体" w:hAnsi="宋体" w:eastAsia="宋体" w:cs="宋体"/>
                <w:szCs w:val="21"/>
                <w:lang w:bidi="ar"/>
              </w:rPr>
              <w:t>]</w:t>
            </w:r>
          </w:p>
        </w:tc>
        <w:tc>
          <w:tcPr>
            <w:tcW w:w="2841" w:type="dxa"/>
            <w:vAlign w:val="bottom"/>
          </w:tcPr>
          <w:p>
            <w:pPr>
              <w:widowControl/>
              <w:jc w:val="center"/>
              <w:rPr>
                <w:rFonts w:ascii="宋体" w:hAnsi="宋体" w:eastAsia="宋体" w:cs="宋体"/>
                <w:szCs w:val="21"/>
                <w:lang w:bidi="ar"/>
              </w:rPr>
            </w:pPr>
            <w:r>
              <w:rPr>
                <w:rFonts w:hint="eastAsia" w:ascii="宋体" w:hAnsi="宋体" w:eastAsia="宋体" w:cs="宋体"/>
                <w:szCs w:val="21"/>
                <w:lang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9" w:type="dxa"/>
            <w:vAlign w:val="bottom"/>
          </w:tcPr>
          <w:p>
            <w:pPr>
              <w:widowControl/>
              <w:jc w:val="center"/>
              <w:rPr>
                <w:rFonts w:ascii="宋体" w:hAnsi="宋体" w:eastAsia="宋体" w:cs="宋体"/>
                <w:szCs w:val="21"/>
                <w:lang w:bidi="ar"/>
              </w:rPr>
            </w:pPr>
            <w:r>
              <w:rPr>
                <w:rFonts w:ascii="宋体" w:hAnsi="宋体" w:eastAsia="宋体" w:cs="宋体"/>
                <w:szCs w:val="21"/>
                <w:lang w:bidi="ar"/>
              </w:rPr>
              <w:t>[</w:t>
            </w:r>
            <w:r>
              <w:rPr>
                <w:rFonts w:hint="eastAsia" w:ascii="宋体" w:hAnsi="宋体" w:eastAsia="宋体" w:cs="宋体"/>
                <w:szCs w:val="21"/>
                <w:lang w:bidi="ar"/>
              </w:rPr>
              <w:t>51</w:t>
            </w:r>
            <w:r>
              <w:rPr>
                <w:rFonts w:ascii="宋体" w:hAnsi="宋体" w:eastAsia="宋体" w:cs="宋体"/>
                <w:szCs w:val="21"/>
                <w:lang w:bidi="ar"/>
              </w:rPr>
              <w:t>,</w:t>
            </w:r>
            <w:r>
              <w:rPr>
                <w:rFonts w:hint="eastAsia" w:ascii="宋体" w:hAnsi="宋体" w:eastAsia="宋体" w:cs="宋体"/>
                <w:szCs w:val="21"/>
                <w:lang w:bidi="ar"/>
              </w:rPr>
              <w:t>65</w:t>
            </w:r>
            <w:r>
              <w:rPr>
                <w:rFonts w:ascii="宋体" w:hAnsi="宋体" w:eastAsia="宋体" w:cs="宋体"/>
                <w:szCs w:val="21"/>
                <w:lang w:bidi="ar"/>
              </w:rPr>
              <w:t>]</w:t>
            </w:r>
          </w:p>
        </w:tc>
        <w:tc>
          <w:tcPr>
            <w:tcW w:w="2841" w:type="dxa"/>
            <w:vAlign w:val="bottom"/>
          </w:tcPr>
          <w:p>
            <w:pPr>
              <w:widowControl/>
              <w:jc w:val="center"/>
              <w:rPr>
                <w:rFonts w:ascii="宋体" w:hAnsi="宋体" w:eastAsia="宋体" w:cs="宋体"/>
                <w:szCs w:val="21"/>
                <w:lang w:bidi="ar"/>
              </w:rPr>
            </w:pPr>
            <w:r>
              <w:rPr>
                <w:rFonts w:hint="eastAsia" w:ascii="宋体" w:hAnsi="宋体" w:eastAsia="宋体" w:cs="宋体"/>
                <w:szCs w:val="21"/>
                <w:lang w:bidi="ar"/>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9" w:type="dxa"/>
            <w:vAlign w:val="bottom"/>
          </w:tcPr>
          <w:p>
            <w:pPr>
              <w:widowControl/>
              <w:jc w:val="center"/>
              <w:rPr>
                <w:rFonts w:ascii="宋体" w:hAnsi="宋体" w:eastAsia="宋体" w:cs="宋体"/>
                <w:szCs w:val="21"/>
                <w:lang w:bidi="ar"/>
              </w:rPr>
            </w:pPr>
            <w:r>
              <w:rPr>
                <w:rFonts w:ascii="宋体" w:hAnsi="宋体" w:eastAsia="宋体" w:cs="宋体"/>
                <w:szCs w:val="21"/>
                <w:lang w:bidi="ar"/>
              </w:rPr>
              <w:t>[</w:t>
            </w:r>
            <w:r>
              <w:rPr>
                <w:rFonts w:hint="eastAsia" w:ascii="宋体" w:hAnsi="宋体" w:eastAsia="宋体" w:cs="宋体"/>
                <w:szCs w:val="21"/>
                <w:lang w:bidi="ar"/>
              </w:rPr>
              <w:t>66</w:t>
            </w:r>
            <w:r>
              <w:rPr>
                <w:rFonts w:ascii="宋体" w:hAnsi="宋体" w:eastAsia="宋体" w:cs="宋体"/>
                <w:szCs w:val="21"/>
                <w:lang w:bidi="ar"/>
              </w:rPr>
              <w:t>,</w:t>
            </w:r>
            <w:r>
              <w:rPr>
                <w:rFonts w:hint="eastAsia" w:ascii="宋体" w:hAnsi="宋体" w:eastAsia="宋体" w:cs="宋体"/>
                <w:szCs w:val="21"/>
                <w:lang w:bidi="ar"/>
              </w:rPr>
              <w:t>70</w:t>
            </w:r>
            <w:r>
              <w:rPr>
                <w:rFonts w:ascii="宋体" w:hAnsi="宋体" w:eastAsia="宋体" w:cs="宋体"/>
                <w:szCs w:val="21"/>
                <w:lang w:bidi="ar"/>
              </w:rPr>
              <w:t>]</w:t>
            </w:r>
          </w:p>
        </w:tc>
        <w:tc>
          <w:tcPr>
            <w:tcW w:w="2841" w:type="dxa"/>
            <w:vAlign w:val="bottom"/>
          </w:tcPr>
          <w:p>
            <w:pPr>
              <w:widowControl/>
              <w:jc w:val="center"/>
              <w:rPr>
                <w:rFonts w:ascii="宋体" w:hAnsi="宋体" w:eastAsia="宋体" w:cs="宋体"/>
                <w:szCs w:val="21"/>
                <w:lang w:bidi="ar"/>
              </w:rPr>
            </w:pPr>
            <w:r>
              <w:rPr>
                <w:rFonts w:hint="eastAsia" w:ascii="宋体" w:hAnsi="宋体" w:eastAsia="宋体" w:cs="宋体"/>
                <w:szCs w:val="21"/>
                <w:lang w:bidi="ar"/>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9" w:type="dxa"/>
            <w:vAlign w:val="bottom"/>
          </w:tcPr>
          <w:p>
            <w:pPr>
              <w:widowControl/>
              <w:jc w:val="center"/>
              <w:rPr>
                <w:rFonts w:ascii="宋体" w:hAnsi="宋体" w:eastAsia="宋体" w:cs="宋体"/>
                <w:szCs w:val="21"/>
                <w:lang w:bidi="ar"/>
              </w:rPr>
            </w:pPr>
            <w:r>
              <w:rPr>
                <w:rFonts w:ascii="宋体" w:hAnsi="宋体" w:eastAsia="宋体" w:cs="宋体"/>
                <w:szCs w:val="21"/>
                <w:lang w:bidi="ar"/>
              </w:rPr>
              <w:t>[</w:t>
            </w:r>
            <w:r>
              <w:rPr>
                <w:rFonts w:hint="eastAsia" w:ascii="宋体" w:hAnsi="宋体" w:eastAsia="宋体" w:cs="宋体"/>
                <w:szCs w:val="21"/>
                <w:lang w:bidi="ar"/>
              </w:rPr>
              <w:t>71</w:t>
            </w:r>
            <w:r>
              <w:rPr>
                <w:rFonts w:ascii="宋体" w:hAnsi="宋体" w:eastAsia="宋体" w:cs="宋体"/>
                <w:szCs w:val="21"/>
                <w:lang w:bidi="ar"/>
              </w:rPr>
              <w:t>,</w:t>
            </w:r>
            <w:r>
              <w:rPr>
                <w:rFonts w:hint="eastAsia" w:ascii="宋体" w:hAnsi="宋体" w:eastAsia="宋体" w:cs="宋体"/>
                <w:szCs w:val="21"/>
                <w:lang w:bidi="ar"/>
              </w:rPr>
              <w:t>75</w:t>
            </w:r>
            <w:r>
              <w:rPr>
                <w:rFonts w:ascii="宋体" w:hAnsi="宋体" w:eastAsia="宋体" w:cs="宋体"/>
                <w:szCs w:val="21"/>
                <w:lang w:bidi="ar"/>
              </w:rPr>
              <w:t>]</w:t>
            </w:r>
          </w:p>
        </w:tc>
        <w:tc>
          <w:tcPr>
            <w:tcW w:w="2841" w:type="dxa"/>
            <w:vAlign w:val="bottom"/>
          </w:tcPr>
          <w:p>
            <w:pPr>
              <w:widowControl/>
              <w:jc w:val="center"/>
              <w:rPr>
                <w:rFonts w:ascii="宋体" w:hAnsi="宋体" w:eastAsia="宋体" w:cs="宋体"/>
                <w:szCs w:val="21"/>
                <w:lang w:bidi="ar"/>
              </w:rPr>
            </w:pPr>
            <w:r>
              <w:rPr>
                <w:rFonts w:hint="eastAsia" w:ascii="宋体" w:hAnsi="宋体" w:eastAsia="宋体" w:cs="宋体"/>
                <w:szCs w:val="21"/>
                <w:lang w:bidi="ar"/>
              </w:rPr>
              <w:t>1.4</w:t>
            </w:r>
          </w:p>
        </w:tc>
      </w:tr>
    </w:tbl>
    <w:p>
      <w:pPr>
        <w:spacing w:line="360" w:lineRule="auto"/>
        <w:ind w:firstLine="420" w:firstLineChars="200"/>
        <w:rPr>
          <w:rFonts w:ascii="宋体" w:hAnsi="宋体" w:eastAsia="宋体"/>
          <w:szCs w:val="21"/>
        </w:rPr>
      </w:pPr>
      <w:r>
        <w:rPr>
          <w:rFonts w:hint="eastAsia" w:ascii="宋体" w:hAnsi="宋体" w:eastAsia="宋体"/>
          <w:szCs w:val="21"/>
        </w:rPr>
        <w:t>2、</w:t>
      </w:r>
      <w:r>
        <w:rPr>
          <w:rFonts w:ascii="宋体" w:hAnsi="宋体" w:eastAsia="宋体"/>
          <w:szCs w:val="21"/>
        </w:rPr>
        <w:t>等待期调整系数</w:t>
      </w:r>
    </w:p>
    <w:tbl>
      <w:tblPr>
        <w:tblStyle w:val="8"/>
        <w:tblW w:w="5688" w:type="dxa"/>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b/>
                <w:bCs/>
                <w:szCs w:val="21"/>
                <w:lang w:bidi="ar"/>
              </w:rPr>
            </w:pPr>
            <w:r>
              <w:rPr>
                <w:rFonts w:hint="eastAsia" w:ascii="宋体" w:hAnsi="宋体" w:eastAsia="宋体" w:cs="宋体"/>
                <w:b/>
                <w:bCs/>
                <w:szCs w:val="21"/>
                <w:lang w:bidi="ar"/>
              </w:rPr>
              <w:t>等待期</w:t>
            </w:r>
          </w:p>
        </w:tc>
        <w:tc>
          <w:tcPr>
            <w:tcW w:w="2838" w:type="dxa"/>
          </w:tcPr>
          <w:p>
            <w:pPr>
              <w:widowControl/>
              <w:jc w:val="center"/>
              <w:rPr>
                <w:rFonts w:ascii="宋体" w:hAnsi="宋体" w:eastAsia="宋体" w:cs="宋体"/>
                <w:b/>
                <w:bCs/>
                <w:szCs w:val="21"/>
                <w:lang w:bidi="ar"/>
              </w:rPr>
            </w:pPr>
            <w:r>
              <w:rPr>
                <w:rFonts w:hint="eastAsia" w:ascii="宋体" w:hAnsi="宋体" w:eastAsia="宋体" w:cs="宋体"/>
                <w:b/>
                <w:bCs/>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0天</w:t>
            </w:r>
          </w:p>
        </w:tc>
        <w:tc>
          <w:tcPr>
            <w:tcW w:w="2838" w:type="dxa"/>
          </w:tcPr>
          <w:p>
            <w:pPr>
              <w:widowControl/>
              <w:jc w:val="center"/>
              <w:rPr>
                <w:rFonts w:ascii="宋体" w:hAnsi="宋体" w:eastAsia="宋体" w:cs="宋体"/>
                <w:szCs w:val="21"/>
                <w:lang w:bidi="ar"/>
              </w:rPr>
            </w:pPr>
            <w:r>
              <w:rPr>
                <w:rFonts w:hint="eastAsia" w:ascii="宋体" w:hAnsi="宋体" w:eastAsia="宋体" w:cs="宋体"/>
                <w:szCs w:val="21"/>
                <w:lang w:bidi="ar"/>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30天</w:t>
            </w:r>
          </w:p>
        </w:tc>
        <w:tc>
          <w:tcPr>
            <w:tcW w:w="2838" w:type="dxa"/>
          </w:tcPr>
          <w:p>
            <w:pPr>
              <w:widowControl/>
              <w:jc w:val="center"/>
              <w:rPr>
                <w:rFonts w:ascii="宋体" w:hAnsi="宋体" w:eastAsia="宋体" w:cs="宋体"/>
                <w:szCs w:val="21"/>
                <w:lang w:bidi="ar"/>
              </w:rPr>
            </w:pPr>
            <w:r>
              <w:rPr>
                <w:rFonts w:hint="eastAsia" w:ascii="宋体" w:hAnsi="宋体" w:eastAsia="宋体" w:cs="宋体"/>
                <w:szCs w:val="21"/>
                <w:lang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60天</w:t>
            </w:r>
          </w:p>
        </w:tc>
        <w:tc>
          <w:tcPr>
            <w:tcW w:w="2838" w:type="dxa"/>
          </w:tcPr>
          <w:p>
            <w:pPr>
              <w:widowControl/>
              <w:jc w:val="center"/>
              <w:rPr>
                <w:rFonts w:ascii="宋体" w:hAnsi="宋体" w:eastAsia="宋体" w:cs="宋体"/>
                <w:szCs w:val="21"/>
                <w:lang w:bidi="ar"/>
              </w:rPr>
            </w:pPr>
            <w:r>
              <w:rPr>
                <w:rFonts w:hint="eastAsia" w:ascii="宋体" w:hAnsi="宋体" w:eastAsia="宋体" w:cs="宋体"/>
                <w:szCs w:val="21"/>
                <w:lang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90天</w:t>
            </w:r>
          </w:p>
        </w:tc>
        <w:tc>
          <w:tcPr>
            <w:tcW w:w="2838" w:type="dxa"/>
          </w:tcPr>
          <w:p>
            <w:pPr>
              <w:widowControl/>
              <w:jc w:val="center"/>
              <w:rPr>
                <w:rFonts w:ascii="宋体" w:hAnsi="宋体" w:eastAsia="宋体" w:cs="宋体"/>
                <w:szCs w:val="21"/>
                <w:lang w:bidi="ar"/>
              </w:rPr>
            </w:pPr>
            <w:r>
              <w:rPr>
                <w:rFonts w:hint="eastAsia" w:ascii="宋体" w:hAnsi="宋体" w:eastAsia="宋体" w:cs="宋体"/>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120天</w:t>
            </w:r>
          </w:p>
        </w:tc>
        <w:tc>
          <w:tcPr>
            <w:tcW w:w="2838" w:type="dxa"/>
          </w:tcPr>
          <w:p>
            <w:pPr>
              <w:widowControl/>
              <w:jc w:val="center"/>
              <w:rPr>
                <w:rFonts w:ascii="宋体" w:hAnsi="宋体" w:eastAsia="宋体" w:cs="宋体"/>
                <w:szCs w:val="21"/>
                <w:lang w:bidi="ar"/>
              </w:rPr>
            </w:pPr>
            <w:r>
              <w:rPr>
                <w:rFonts w:hint="eastAsia" w:ascii="宋体" w:hAnsi="宋体" w:eastAsia="宋体" w:cs="宋体"/>
                <w:szCs w:val="21"/>
                <w:lang w:bidi="ar"/>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150天</w:t>
            </w:r>
          </w:p>
        </w:tc>
        <w:tc>
          <w:tcPr>
            <w:tcW w:w="2838" w:type="dxa"/>
          </w:tcPr>
          <w:p>
            <w:pPr>
              <w:widowControl/>
              <w:jc w:val="center"/>
              <w:rPr>
                <w:rFonts w:ascii="宋体" w:hAnsi="宋体" w:eastAsia="宋体" w:cs="宋体"/>
                <w:szCs w:val="21"/>
                <w:lang w:bidi="ar"/>
              </w:rPr>
            </w:pPr>
            <w:r>
              <w:rPr>
                <w:rFonts w:hint="eastAsia" w:ascii="宋体" w:hAnsi="宋体" w:eastAsia="宋体" w:cs="宋体"/>
                <w:szCs w:val="21"/>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180天</w:t>
            </w:r>
          </w:p>
        </w:tc>
        <w:tc>
          <w:tcPr>
            <w:tcW w:w="2838" w:type="dxa"/>
          </w:tcPr>
          <w:p>
            <w:pPr>
              <w:widowControl/>
              <w:jc w:val="center"/>
              <w:rPr>
                <w:rFonts w:ascii="宋体" w:hAnsi="宋体" w:eastAsia="宋体" w:cs="宋体"/>
                <w:szCs w:val="21"/>
                <w:lang w:bidi="ar"/>
              </w:rPr>
            </w:pPr>
            <w:r>
              <w:rPr>
                <w:rFonts w:hint="eastAsia" w:ascii="宋体" w:hAnsi="宋体" w:eastAsia="宋体" w:cs="宋体"/>
                <w:szCs w:val="21"/>
                <w:lang w:bidi="ar"/>
              </w:rPr>
              <w:t>0.7</w:t>
            </w:r>
          </w:p>
        </w:tc>
      </w:tr>
    </w:tbl>
    <w:p>
      <w:pPr>
        <w:spacing w:line="360" w:lineRule="auto"/>
        <w:ind w:firstLine="420" w:firstLineChars="200"/>
        <w:rPr>
          <w:rFonts w:ascii="宋体" w:hAnsi="宋体" w:eastAsia="宋体" w:cs="宋体"/>
          <w:b/>
          <w:szCs w:val="21"/>
        </w:rPr>
      </w:pPr>
      <w:r>
        <w:rPr>
          <w:rFonts w:hint="eastAsia" w:ascii="宋体" w:hAnsi="宋体" w:eastAsia="宋体"/>
          <w:szCs w:val="21"/>
        </w:rPr>
        <w:t>3、</w:t>
      </w:r>
      <w:r>
        <w:rPr>
          <w:rFonts w:hint="eastAsia" w:ascii="宋体" w:hAnsi="宋体" w:eastAsia="宋体" w:cs="宋体"/>
          <w:szCs w:val="21"/>
          <w:lang w:bidi="ar"/>
        </w:rPr>
        <w:t>免赔额调整系数</w:t>
      </w:r>
    </w:p>
    <w:tbl>
      <w:tblPr>
        <w:tblStyle w:val="8"/>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lang w:bidi="ar"/>
              </w:rPr>
            </w:pPr>
            <w:r>
              <w:rPr>
                <w:rFonts w:hint="eastAsia" w:ascii="宋体" w:hAnsi="宋体" w:eastAsia="宋体" w:cs="宋体"/>
                <w:b/>
                <w:bCs/>
                <w:szCs w:val="21"/>
                <w:lang w:bidi="ar"/>
              </w:rPr>
              <w:t>免赔额（元）</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lang w:bidi="ar"/>
              </w:rPr>
            </w:pPr>
            <w:r>
              <w:rPr>
                <w:rFonts w:hint="eastAsia" w:ascii="宋体" w:hAnsi="宋体" w:eastAsia="宋体" w:cs="宋体"/>
                <w:b/>
                <w:bCs/>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5000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10000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20000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30000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0.6</w:t>
            </w:r>
          </w:p>
        </w:tc>
      </w:tr>
    </w:tbl>
    <w:p>
      <w:pPr>
        <w:spacing w:line="360" w:lineRule="auto"/>
        <w:ind w:firstLine="420" w:firstLineChars="200"/>
        <w:rPr>
          <w:rFonts w:ascii="宋体" w:hAnsi="宋体" w:eastAsia="宋体" w:cs="宋体"/>
          <w:szCs w:val="21"/>
          <w:lang w:bidi="ar"/>
        </w:rPr>
      </w:pPr>
      <w:r>
        <w:rPr>
          <w:rFonts w:hint="eastAsia" w:ascii="宋体" w:hAnsi="宋体" w:eastAsia="宋体" w:cs="宋体"/>
          <w:szCs w:val="21"/>
          <w:lang w:bidi="ar"/>
        </w:rPr>
        <w:t>4、保险金额调整系数</w:t>
      </w:r>
    </w:p>
    <w:p>
      <w:pPr>
        <w:spacing w:line="360" w:lineRule="auto"/>
        <w:ind w:firstLine="420" w:firstLineChars="200"/>
        <w:rPr>
          <w:rFonts w:ascii="宋体" w:hAnsi="宋体" w:eastAsia="宋体" w:cs="宋体"/>
          <w:szCs w:val="21"/>
          <w:lang w:bidi="ar"/>
        </w:rPr>
      </w:pPr>
      <w:r>
        <w:rPr>
          <w:rFonts w:hint="eastAsia" w:ascii="宋体" w:hAnsi="宋体" w:eastAsia="宋体" w:cs="宋体"/>
          <w:szCs w:val="21"/>
          <w:lang w:bidi="ar"/>
        </w:rPr>
        <w:t>（1）乳腺恶性肿瘤复发医疗保险金</w:t>
      </w:r>
    </w:p>
    <w:tbl>
      <w:tblPr>
        <w:tblStyle w:val="8"/>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lang w:bidi="ar"/>
              </w:rPr>
            </w:pPr>
            <w:r>
              <w:rPr>
                <w:rFonts w:hint="eastAsia" w:ascii="宋体" w:hAnsi="宋体" w:eastAsia="宋体" w:cs="宋体"/>
                <w:b/>
                <w:bCs/>
                <w:szCs w:val="21"/>
                <w:lang w:bidi="ar"/>
              </w:rPr>
              <w:t>保险金额（万元）</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lang w:bidi="ar"/>
              </w:rPr>
            </w:pPr>
            <w:r>
              <w:rPr>
                <w:rFonts w:hint="eastAsia" w:ascii="宋体" w:hAnsi="宋体" w:eastAsia="宋体" w:cs="宋体"/>
                <w:b/>
                <w:bCs/>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1</w:t>
            </w:r>
            <w:r>
              <w:rPr>
                <w:rFonts w:hint="eastAsia" w:ascii="宋体" w:hAnsi="宋体" w:eastAsia="宋体" w:cs="宋体"/>
                <w:szCs w:val="21"/>
                <w:lang w:bidi="ar"/>
              </w:rPr>
              <w:t>0,40]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[1.0,1.6]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(40,80]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(1.6,2.5]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(80,100]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(2.5,2.8]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(100,150]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(2.8,3.2]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(150,200]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(3.2,3.4]</w:t>
            </w:r>
          </w:p>
        </w:tc>
      </w:tr>
    </w:tbl>
    <w:p>
      <w:pPr>
        <w:spacing w:line="360" w:lineRule="auto"/>
        <w:ind w:firstLine="420" w:firstLineChars="200"/>
        <w:rPr>
          <w:rFonts w:ascii="宋体" w:hAnsi="宋体" w:eastAsia="宋体" w:cs="宋体"/>
          <w:szCs w:val="21"/>
          <w:lang w:bidi="ar"/>
        </w:rPr>
      </w:pPr>
      <w:r>
        <w:rPr>
          <w:rFonts w:hint="eastAsia" w:ascii="宋体" w:hAnsi="宋体" w:eastAsia="宋体" w:cs="宋体"/>
          <w:szCs w:val="21"/>
          <w:lang w:bidi="ar"/>
        </w:rPr>
        <w:t>（2）对侧原发性乳腺恶性肿瘤医疗保险金</w:t>
      </w:r>
    </w:p>
    <w:tbl>
      <w:tblPr>
        <w:tblStyle w:val="8"/>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lang w:bidi="ar"/>
              </w:rPr>
            </w:pPr>
            <w:r>
              <w:rPr>
                <w:rFonts w:hint="eastAsia" w:ascii="宋体" w:hAnsi="宋体" w:eastAsia="宋体" w:cs="宋体"/>
                <w:b/>
                <w:bCs/>
                <w:szCs w:val="21"/>
                <w:lang w:bidi="ar"/>
              </w:rPr>
              <w:t>保险金额（万元）</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lang w:bidi="ar"/>
              </w:rPr>
            </w:pPr>
            <w:r>
              <w:rPr>
                <w:rFonts w:hint="eastAsia" w:ascii="宋体" w:hAnsi="宋体" w:eastAsia="宋体" w:cs="宋体"/>
                <w:b/>
                <w:bCs/>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[20,</w:t>
            </w:r>
            <w:r>
              <w:rPr>
                <w:rFonts w:ascii="宋体" w:hAnsi="宋体" w:eastAsia="宋体" w:cs="宋体"/>
                <w:szCs w:val="21"/>
                <w:lang w:bidi="ar"/>
              </w:rPr>
              <w:t>5</w:t>
            </w:r>
            <w:r>
              <w:rPr>
                <w:rFonts w:hint="eastAsia" w:ascii="宋体" w:hAnsi="宋体" w:eastAsia="宋体" w:cs="宋体"/>
                <w:szCs w:val="21"/>
                <w:lang w:bidi="ar"/>
              </w:rPr>
              <w:t>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0.5</w:t>
            </w:r>
            <w:r>
              <w:rPr>
                <w:rFonts w:hint="eastAsia" w:ascii="宋体" w:hAnsi="宋体" w:eastAsia="宋体" w:cs="宋体"/>
                <w:szCs w:val="21"/>
                <w:lang w:bidi="ar"/>
              </w:rPr>
              <w:t>,</w:t>
            </w:r>
            <w:r>
              <w:rPr>
                <w:rFonts w:ascii="宋体" w:hAnsi="宋体" w:eastAsia="宋体" w:cs="宋体"/>
                <w:szCs w:val="21"/>
                <w:lang w:bidi="ar"/>
              </w:rPr>
              <w:t>0.6</w:t>
            </w:r>
            <w:r>
              <w:rPr>
                <w:rFonts w:hint="eastAsia" w:ascii="宋体" w:hAnsi="宋体" w:eastAsia="宋体" w:cs="宋体"/>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5</w:t>
            </w:r>
            <w:r>
              <w:rPr>
                <w:rFonts w:hint="eastAsia" w:ascii="宋体" w:hAnsi="宋体" w:eastAsia="宋体" w:cs="宋体"/>
                <w:szCs w:val="21"/>
                <w:lang w:bidi="ar"/>
              </w:rPr>
              <w:t>0,80]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0</w:t>
            </w:r>
            <w:r>
              <w:rPr>
                <w:rFonts w:hint="eastAsia" w:ascii="宋体" w:hAnsi="宋体" w:eastAsia="宋体" w:cs="宋体"/>
                <w:szCs w:val="21"/>
                <w:lang w:bidi="ar"/>
              </w:rPr>
              <w:t>.6,</w:t>
            </w:r>
            <w:r>
              <w:rPr>
                <w:rFonts w:ascii="宋体" w:hAnsi="宋体" w:eastAsia="宋体" w:cs="宋体"/>
                <w:szCs w:val="21"/>
                <w:lang w:bidi="ar"/>
              </w:rPr>
              <w:t>0.8</w:t>
            </w:r>
            <w:r>
              <w:rPr>
                <w:rFonts w:hint="eastAsia" w:ascii="宋体" w:hAnsi="宋体" w:eastAsia="宋体" w:cs="宋体"/>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(80,100]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0.8</w:t>
            </w:r>
            <w:r>
              <w:rPr>
                <w:rFonts w:hint="eastAsia" w:ascii="宋体" w:hAnsi="宋体" w:eastAsia="宋体" w:cs="宋体"/>
                <w:szCs w:val="21"/>
                <w:lang w:bidi="ar"/>
              </w:rPr>
              <w:t>,</w:t>
            </w:r>
            <w:r>
              <w:rPr>
                <w:rFonts w:ascii="宋体" w:hAnsi="宋体" w:eastAsia="宋体" w:cs="宋体"/>
                <w:szCs w:val="21"/>
                <w:lang w:bidi="ar"/>
              </w:rPr>
              <w:t>1.0</w:t>
            </w:r>
            <w:r>
              <w:rPr>
                <w:rFonts w:hint="eastAsia" w:ascii="宋体" w:hAnsi="宋体" w:eastAsia="宋体" w:cs="宋体"/>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(100,150]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1.0</w:t>
            </w:r>
            <w:r>
              <w:rPr>
                <w:rFonts w:hint="eastAsia" w:ascii="宋体" w:hAnsi="宋体" w:eastAsia="宋体" w:cs="宋体"/>
                <w:szCs w:val="21"/>
                <w:lang w:bidi="ar"/>
              </w:rPr>
              <w:t>,</w:t>
            </w:r>
            <w:r>
              <w:rPr>
                <w:rFonts w:ascii="宋体" w:hAnsi="宋体" w:eastAsia="宋体" w:cs="宋体"/>
                <w:szCs w:val="21"/>
                <w:lang w:bidi="ar"/>
              </w:rPr>
              <w:t>1.5</w:t>
            </w:r>
            <w:r>
              <w:rPr>
                <w:rFonts w:hint="eastAsia" w:ascii="宋体" w:hAnsi="宋体" w:eastAsia="宋体" w:cs="宋体"/>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(150,200]</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1.5</w:t>
            </w:r>
            <w:r>
              <w:rPr>
                <w:rFonts w:hint="eastAsia" w:ascii="宋体" w:hAnsi="宋体" w:eastAsia="宋体" w:cs="宋体"/>
                <w:szCs w:val="21"/>
                <w:lang w:bidi="ar"/>
              </w:rPr>
              <w:t>,</w:t>
            </w:r>
            <w:r>
              <w:rPr>
                <w:rFonts w:ascii="宋体" w:hAnsi="宋体" w:eastAsia="宋体" w:cs="宋体"/>
                <w:szCs w:val="21"/>
                <w:lang w:bidi="ar"/>
              </w:rPr>
              <w:t>2.5</w:t>
            </w:r>
            <w:r>
              <w:rPr>
                <w:rFonts w:hint="eastAsia" w:ascii="宋体" w:hAnsi="宋体" w:eastAsia="宋体" w:cs="宋体"/>
                <w:szCs w:val="21"/>
                <w:lang w:bidi="ar"/>
              </w:rPr>
              <w:t>]</w:t>
            </w:r>
          </w:p>
        </w:tc>
      </w:tr>
    </w:tbl>
    <w:p>
      <w:pPr>
        <w:spacing w:line="360" w:lineRule="auto"/>
        <w:ind w:firstLine="420" w:firstLineChars="200"/>
        <w:rPr>
          <w:rFonts w:ascii="宋体" w:hAnsi="宋体" w:eastAsia="宋体" w:cs="Arial"/>
          <w:bCs/>
          <w:color w:val="000000"/>
          <w:szCs w:val="21"/>
        </w:rPr>
      </w:pPr>
      <w:r>
        <w:rPr>
          <w:rFonts w:hint="eastAsia" w:ascii="宋体" w:hAnsi="宋体" w:eastAsia="宋体" w:cs="宋体"/>
          <w:szCs w:val="21"/>
          <w:lang w:bidi="ar"/>
        </w:rPr>
        <w:t>5、</w:t>
      </w:r>
      <w:r>
        <w:rPr>
          <w:rFonts w:hint="eastAsia" w:ascii="宋体" w:hAnsi="宋体" w:eastAsia="宋体" w:cs="Arial"/>
          <w:bCs/>
          <w:color w:val="000000"/>
          <w:szCs w:val="21"/>
        </w:rPr>
        <w:t>赔付比例调整系数</w:t>
      </w:r>
    </w:p>
    <w:tbl>
      <w:tblPr>
        <w:tblStyle w:val="7"/>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spacing w:line="260" w:lineRule="auto"/>
              <w:jc w:val="center"/>
              <w:rPr>
                <w:rFonts w:ascii="宋体" w:hAnsi="宋体" w:eastAsia="宋体" w:cs="宋体"/>
                <w:b/>
                <w:bCs/>
                <w:szCs w:val="21"/>
                <w:lang w:bidi="ar"/>
              </w:rPr>
            </w:pPr>
            <w:r>
              <w:rPr>
                <w:rFonts w:hint="eastAsia" w:ascii="宋体" w:hAnsi="宋体" w:eastAsia="宋体" w:cs="宋体"/>
                <w:b/>
                <w:bCs/>
                <w:szCs w:val="21"/>
                <w:lang w:bidi="ar"/>
              </w:rPr>
              <w:t>赔付比例</w:t>
            </w:r>
          </w:p>
        </w:tc>
        <w:tc>
          <w:tcPr>
            <w:tcW w:w="2850" w:type="dxa"/>
          </w:tcPr>
          <w:p>
            <w:pPr>
              <w:widowControl/>
              <w:spacing w:line="260" w:lineRule="auto"/>
              <w:jc w:val="center"/>
              <w:rPr>
                <w:rFonts w:ascii="宋体" w:hAnsi="宋体" w:eastAsia="宋体" w:cs="宋体"/>
                <w:b/>
                <w:bCs/>
                <w:szCs w:val="21"/>
                <w:lang w:bidi="ar"/>
              </w:rPr>
            </w:pPr>
            <w:r>
              <w:rPr>
                <w:rFonts w:hint="eastAsia" w:ascii="宋体" w:hAnsi="宋体" w:eastAsia="宋体" w:cs="宋体"/>
                <w:b/>
                <w:bCs/>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80%-100%</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(0.9,</w:t>
            </w:r>
            <w:r>
              <w:rPr>
                <w:rFonts w:hint="eastAsia" w:ascii="宋体" w:hAnsi="宋体" w:cs="Arial"/>
                <w:bCs/>
                <w:color w:val="000000"/>
                <w:szCs w:val="21"/>
              </w:rPr>
              <w:t>1.0</w:t>
            </w:r>
            <w:r>
              <w:rPr>
                <w:rFonts w:hint="eastAsia" w:ascii="宋体" w:hAnsi="宋体" w:eastAsia="宋体" w:cs="Arial"/>
                <w:bCs/>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60%-80%（含）</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(0.6,0.9]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40%-60%（含）</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(0.3,0.6]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&lt;=40%</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[0.1,0.3]</w:t>
            </w:r>
          </w:p>
        </w:tc>
      </w:tr>
    </w:tbl>
    <w:p>
      <w:pPr>
        <w:spacing w:line="360" w:lineRule="auto"/>
        <w:ind w:firstLine="420" w:firstLineChars="200"/>
        <w:rPr>
          <w:rFonts w:ascii="宋体" w:hAnsi="宋体" w:eastAsia="宋体" w:cs="宋体"/>
          <w:szCs w:val="21"/>
          <w:lang w:bidi="ar"/>
        </w:rPr>
      </w:pPr>
      <w:r>
        <w:rPr>
          <w:rFonts w:hint="eastAsia" w:ascii="宋体" w:hAnsi="宋体" w:eastAsia="宋体" w:cs="宋体"/>
          <w:szCs w:val="21"/>
          <w:lang w:bidi="ar"/>
        </w:rPr>
        <w:t>6、被保险人风险状况调整系数</w:t>
      </w:r>
    </w:p>
    <w:tbl>
      <w:tblPr>
        <w:tblStyle w:val="8"/>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lang w:bidi="ar"/>
              </w:rPr>
            </w:pPr>
            <w:r>
              <w:rPr>
                <w:rFonts w:hint="eastAsia" w:ascii="宋体" w:hAnsi="宋体" w:eastAsia="宋体" w:cs="宋体"/>
                <w:b/>
                <w:bCs/>
                <w:szCs w:val="21"/>
                <w:lang w:bidi="ar"/>
              </w:rPr>
              <w:t>被保险人风险状况</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lang w:bidi="ar"/>
              </w:rPr>
            </w:pPr>
            <w:r>
              <w:rPr>
                <w:rFonts w:hint="eastAsia" w:ascii="宋体" w:hAnsi="宋体" w:eastAsia="宋体" w:cs="宋体"/>
                <w:b/>
                <w:bCs/>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低风险</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[0.5,1.0]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中等风险</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(1.0,1.3]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高风险</w:t>
            </w:r>
          </w:p>
        </w:tc>
        <w:tc>
          <w:tcPr>
            <w:tcW w:w="251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(1.3,2.0]</w:t>
            </w:r>
          </w:p>
        </w:tc>
      </w:tr>
    </w:tbl>
    <w:p>
      <w:pPr>
        <w:ind w:firstLine="420" w:firstLineChars="200"/>
        <w:rPr>
          <w:rFonts w:ascii="宋体" w:hAnsi="宋体" w:eastAsia="宋体" w:cs="宋体"/>
          <w:szCs w:val="21"/>
          <w:lang w:bidi="ar"/>
        </w:rPr>
      </w:pPr>
      <w:r>
        <w:rPr>
          <w:rFonts w:hint="eastAsia" w:ascii="宋体" w:hAnsi="宋体" w:eastAsia="宋体" w:cs="宋体"/>
          <w:szCs w:val="21"/>
          <w:lang w:bidi="ar"/>
        </w:rPr>
        <w:t>注：低风险：指被保险人接受治疗后健康状况很好，生活方式健康，风险意识较强；</w:t>
      </w:r>
    </w:p>
    <w:p>
      <w:pPr>
        <w:ind w:firstLine="420" w:firstLineChars="200"/>
        <w:rPr>
          <w:rFonts w:ascii="宋体" w:hAnsi="宋体" w:eastAsia="宋体" w:cs="宋体"/>
          <w:szCs w:val="21"/>
          <w:lang w:bidi="ar"/>
        </w:rPr>
      </w:pPr>
      <w:r>
        <w:rPr>
          <w:rFonts w:hint="eastAsia" w:ascii="宋体" w:hAnsi="宋体" w:eastAsia="宋体" w:cs="宋体"/>
          <w:szCs w:val="21"/>
          <w:lang w:bidi="ar"/>
        </w:rPr>
        <w:t>中等风险：指被保险人接受治疗后健康状况中等，生活方式中等，风险意识中等；</w:t>
      </w:r>
    </w:p>
    <w:p>
      <w:pPr>
        <w:ind w:firstLine="420" w:firstLineChars="200"/>
        <w:rPr>
          <w:rFonts w:ascii="宋体" w:hAnsi="宋体" w:eastAsia="宋体" w:cs="宋体"/>
          <w:szCs w:val="21"/>
          <w:lang w:bidi="ar"/>
        </w:rPr>
      </w:pPr>
      <w:r>
        <w:rPr>
          <w:rFonts w:hint="eastAsia" w:ascii="宋体" w:hAnsi="宋体" w:eastAsia="宋体" w:cs="宋体"/>
          <w:szCs w:val="21"/>
          <w:lang w:bidi="ar"/>
        </w:rPr>
        <w:t>高风险：指被保险人接受治疗后健康状况较差，生活方式较差，风险意识较差。</w:t>
      </w:r>
    </w:p>
    <w:p>
      <w:pPr>
        <w:spacing w:line="360" w:lineRule="auto"/>
        <w:ind w:firstLine="420" w:firstLineChars="200"/>
        <w:rPr>
          <w:rFonts w:ascii="宋体" w:hAnsi="宋体" w:eastAsia="宋体" w:cs="宋体"/>
          <w:szCs w:val="21"/>
        </w:rPr>
      </w:pPr>
      <w:r>
        <w:rPr>
          <w:rFonts w:hint="eastAsia" w:ascii="宋体" w:hAnsi="宋体" w:eastAsia="宋体" w:cs="宋体"/>
          <w:szCs w:val="21"/>
          <w:lang w:bidi="ar"/>
        </w:rPr>
        <w:t>7、规模调整系数</w:t>
      </w:r>
    </w:p>
    <w:tbl>
      <w:tblPr>
        <w:tblStyle w:val="7"/>
        <w:tblW w:w="5270" w:type="dxa"/>
        <w:jc w:val="center"/>
        <w:tblLayout w:type="fixed"/>
        <w:tblCellMar>
          <w:top w:w="0" w:type="dxa"/>
          <w:left w:w="108" w:type="dxa"/>
          <w:bottom w:w="0" w:type="dxa"/>
          <w:right w:w="108" w:type="dxa"/>
        </w:tblCellMar>
      </w:tblPr>
      <w:tblGrid>
        <w:gridCol w:w="3505"/>
        <w:gridCol w:w="1765"/>
      </w:tblGrid>
      <w:tr>
        <w:tblPrEx>
          <w:tblCellMar>
            <w:top w:w="0" w:type="dxa"/>
            <w:left w:w="108" w:type="dxa"/>
            <w:bottom w:w="0" w:type="dxa"/>
            <w:right w:w="108" w:type="dxa"/>
          </w:tblCellMar>
        </w:tblPrEx>
        <w:trPr>
          <w:trHeight w:val="300" w:hRule="atLeast"/>
          <w:jc w:val="center"/>
        </w:trPr>
        <w:tc>
          <w:tcPr>
            <w:tcW w:w="35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lang w:bidi="ar"/>
              </w:rPr>
              <w:t>年度投保人数（</w:t>
            </w:r>
            <w:r>
              <w:rPr>
                <w:rFonts w:ascii="宋体" w:hAnsi="宋体" w:eastAsia="宋体" w:cs="宋体"/>
                <w:b/>
                <w:bCs/>
                <w:szCs w:val="21"/>
                <w:lang w:bidi="ar"/>
              </w:rPr>
              <w:t>N</w:t>
            </w:r>
            <w:r>
              <w:rPr>
                <w:rFonts w:hint="eastAsia" w:ascii="宋体" w:hAnsi="宋体" w:eastAsia="宋体" w:cs="宋体"/>
                <w:b/>
                <w:bCs/>
                <w:szCs w:val="21"/>
                <w:lang w:bidi="ar"/>
              </w:rPr>
              <w:t>人</w:t>
            </w:r>
            <w:r>
              <w:rPr>
                <w:rFonts w:ascii="宋体" w:hAnsi="宋体" w:eastAsia="宋体" w:cs="宋体"/>
                <w:b/>
                <w:bCs/>
                <w:szCs w:val="21"/>
                <w:lang w:bidi="ar"/>
              </w:rPr>
              <w:t>）</w:t>
            </w:r>
          </w:p>
        </w:tc>
        <w:tc>
          <w:tcPr>
            <w:tcW w:w="1765"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lang w:bidi="ar"/>
              </w:rPr>
              <w:t>调整系数</w:t>
            </w:r>
          </w:p>
        </w:tc>
      </w:tr>
      <w:tr>
        <w:tblPrEx>
          <w:tblCellMar>
            <w:top w:w="0" w:type="dxa"/>
            <w:left w:w="108" w:type="dxa"/>
            <w:bottom w:w="0" w:type="dxa"/>
            <w:right w:w="108" w:type="dxa"/>
          </w:tblCellMar>
        </w:tblPrEx>
        <w:trPr>
          <w:trHeight w:val="90" w:hRule="atLeast"/>
          <w:jc w:val="center"/>
        </w:trPr>
        <w:tc>
          <w:tcPr>
            <w:tcW w:w="3505"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N&gt;200</w:t>
            </w:r>
            <w:r>
              <w:rPr>
                <w:rFonts w:hint="eastAsia" w:ascii="宋体" w:hAnsi="宋体" w:eastAsia="宋体" w:cs="宋体"/>
                <w:szCs w:val="21"/>
                <w:lang w:bidi="ar"/>
              </w:rPr>
              <w:t>00</w:t>
            </w:r>
          </w:p>
        </w:tc>
        <w:tc>
          <w:tcPr>
            <w:tcW w:w="1765" w:type="dxa"/>
            <w:tcBorders>
              <w:top w:val="nil"/>
              <w:left w:val="nil"/>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[0.6,0.7)</w:t>
            </w:r>
          </w:p>
        </w:tc>
      </w:tr>
      <w:tr>
        <w:tblPrEx>
          <w:tblCellMar>
            <w:top w:w="0" w:type="dxa"/>
            <w:left w:w="108" w:type="dxa"/>
            <w:bottom w:w="0" w:type="dxa"/>
            <w:right w:w="108" w:type="dxa"/>
          </w:tblCellMar>
        </w:tblPrEx>
        <w:trPr>
          <w:trHeight w:val="300" w:hRule="atLeast"/>
          <w:jc w:val="center"/>
        </w:trPr>
        <w:tc>
          <w:tcPr>
            <w:tcW w:w="3505"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hint="eastAsia" w:ascii="宋体" w:hAnsi="宋体" w:eastAsia="宋体" w:cs="宋体"/>
                <w:szCs w:val="21"/>
                <w:lang w:bidi="ar"/>
              </w:rPr>
              <w:t>100</w:t>
            </w:r>
            <w:r>
              <w:rPr>
                <w:rFonts w:ascii="宋体" w:hAnsi="宋体" w:eastAsia="宋体" w:cs="宋体"/>
                <w:szCs w:val="21"/>
                <w:lang w:bidi="ar"/>
              </w:rPr>
              <w:t>00&lt;N≤</w:t>
            </w:r>
            <w:r>
              <w:rPr>
                <w:rFonts w:hint="eastAsia" w:ascii="宋体" w:hAnsi="宋体" w:eastAsia="宋体" w:cs="宋体"/>
                <w:szCs w:val="21"/>
                <w:lang w:bidi="ar"/>
              </w:rPr>
              <w:t>200</w:t>
            </w:r>
            <w:r>
              <w:rPr>
                <w:rFonts w:ascii="宋体" w:hAnsi="宋体" w:eastAsia="宋体" w:cs="宋体"/>
                <w:szCs w:val="21"/>
                <w:lang w:bidi="ar"/>
              </w:rPr>
              <w:t>00</w:t>
            </w:r>
          </w:p>
        </w:tc>
        <w:tc>
          <w:tcPr>
            <w:tcW w:w="1765" w:type="dxa"/>
            <w:tcBorders>
              <w:top w:val="nil"/>
              <w:left w:val="nil"/>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[0.7,0.9)</w:t>
            </w:r>
          </w:p>
        </w:tc>
      </w:tr>
      <w:tr>
        <w:tblPrEx>
          <w:tblCellMar>
            <w:top w:w="0" w:type="dxa"/>
            <w:left w:w="108" w:type="dxa"/>
            <w:bottom w:w="0" w:type="dxa"/>
            <w:right w:w="108" w:type="dxa"/>
          </w:tblCellMar>
        </w:tblPrEx>
        <w:trPr>
          <w:trHeight w:val="300" w:hRule="atLeast"/>
          <w:jc w:val="center"/>
        </w:trPr>
        <w:tc>
          <w:tcPr>
            <w:tcW w:w="3505"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hint="eastAsia" w:ascii="宋体" w:hAnsi="宋体" w:eastAsia="宋体" w:cs="宋体"/>
                <w:szCs w:val="21"/>
                <w:lang w:bidi="ar"/>
              </w:rPr>
              <w:t>50</w:t>
            </w:r>
            <w:r>
              <w:rPr>
                <w:rFonts w:ascii="宋体" w:hAnsi="宋体" w:eastAsia="宋体" w:cs="宋体"/>
                <w:szCs w:val="21"/>
                <w:lang w:bidi="ar"/>
              </w:rPr>
              <w:t>00&lt;N≤</w:t>
            </w:r>
            <w:r>
              <w:rPr>
                <w:rFonts w:hint="eastAsia" w:ascii="宋体" w:hAnsi="宋体" w:eastAsia="宋体" w:cs="宋体"/>
                <w:szCs w:val="21"/>
                <w:lang w:bidi="ar"/>
              </w:rPr>
              <w:t>100</w:t>
            </w:r>
            <w:r>
              <w:rPr>
                <w:rFonts w:ascii="宋体" w:hAnsi="宋体" w:eastAsia="宋体" w:cs="宋体"/>
                <w:szCs w:val="21"/>
                <w:lang w:bidi="ar"/>
              </w:rPr>
              <w:t>00</w:t>
            </w:r>
          </w:p>
        </w:tc>
        <w:tc>
          <w:tcPr>
            <w:tcW w:w="1765" w:type="dxa"/>
            <w:tcBorders>
              <w:top w:val="nil"/>
              <w:left w:val="nil"/>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[0.9,1.1)</w:t>
            </w:r>
          </w:p>
        </w:tc>
      </w:tr>
      <w:tr>
        <w:tblPrEx>
          <w:tblCellMar>
            <w:top w:w="0" w:type="dxa"/>
            <w:left w:w="108" w:type="dxa"/>
            <w:bottom w:w="0" w:type="dxa"/>
            <w:right w:w="108" w:type="dxa"/>
          </w:tblCellMar>
        </w:tblPrEx>
        <w:trPr>
          <w:trHeight w:val="300" w:hRule="atLeast"/>
          <w:jc w:val="center"/>
        </w:trPr>
        <w:tc>
          <w:tcPr>
            <w:tcW w:w="3505"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N≤</w:t>
            </w:r>
            <w:r>
              <w:rPr>
                <w:rFonts w:hint="eastAsia" w:ascii="宋体" w:hAnsi="宋体" w:eastAsia="宋体" w:cs="宋体"/>
                <w:szCs w:val="21"/>
                <w:lang w:bidi="ar"/>
              </w:rPr>
              <w:t>5</w:t>
            </w:r>
            <w:r>
              <w:rPr>
                <w:rFonts w:ascii="宋体" w:hAnsi="宋体" w:eastAsia="宋体" w:cs="宋体"/>
                <w:szCs w:val="21"/>
                <w:lang w:bidi="ar"/>
              </w:rPr>
              <w:t>00</w:t>
            </w:r>
            <w:r>
              <w:rPr>
                <w:rFonts w:hint="eastAsia" w:ascii="宋体" w:hAnsi="宋体" w:eastAsia="宋体" w:cs="宋体"/>
                <w:szCs w:val="21"/>
                <w:lang w:bidi="ar"/>
              </w:rPr>
              <w:t>0</w:t>
            </w:r>
          </w:p>
        </w:tc>
        <w:tc>
          <w:tcPr>
            <w:tcW w:w="1765" w:type="dxa"/>
            <w:tcBorders>
              <w:top w:val="nil"/>
              <w:left w:val="nil"/>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[1.1,1.5]</w:t>
            </w:r>
          </w:p>
        </w:tc>
      </w:tr>
    </w:tbl>
    <w:p>
      <w:pPr>
        <w:spacing w:line="360" w:lineRule="auto"/>
        <w:ind w:firstLine="420" w:firstLineChars="200"/>
        <w:rPr>
          <w:rFonts w:ascii="宋体" w:hAnsi="宋体" w:eastAsia="宋体" w:cs="宋体"/>
          <w:szCs w:val="21"/>
        </w:rPr>
      </w:pPr>
      <w:r>
        <w:rPr>
          <w:rFonts w:hint="eastAsia" w:ascii="宋体" w:hAnsi="宋体" w:eastAsia="宋体" w:cs="宋体"/>
          <w:szCs w:val="21"/>
          <w:lang w:bidi="ar"/>
        </w:rPr>
        <w:t>8、预期赔付率调整系数</w:t>
      </w:r>
    </w:p>
    <w:tbl>
      <w:tblPr>
        <w:tblStyle w:val="7"/>
        <w:tblW w:w="5160" w:type="dxa"/>
        <w:jc w:val="center"/>
        <w:tblLayout w:type="fixed"/>
        <w:tblCellMar>
          <w:top w:w="0" w:type="dxa"/>
          <w:left w:w="108" w:type="dxa"/>
          <w:bottom w:w="0" w:type="dxa"/>
          <w:right w:w="108" w:type="dxa"/>
        </w:tblCellMar>
      </w:tblPr>
      <w:tblGrid>
        <w:gridCol w:w="2720"/>
        <w:gridCol w:w="2440"/>
      </w:tblGrid>
      <w:tr>
        <w:tblPrEx>
          <w:tblCellMar>
            <w:top w:w="0" w:type="dxa"/>
            <w:left w:w="108" w:type="dxa"/>
            <w:bottom w:w="0" w:type="dxa"/>
            <w:right w:w="108" w:type="dxa"/>
          </w:tblCellMar>
        </w:tblPrEx>
        <w:trPr>
          <w:trHeight w:val="300" w:hRule="atLeast"/>
          <w:jc w:val="center"/>
        </w:trPr>
        <w:tc>
          <w:tcPr>
            <w:tcW w:w="27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lang w:bidi="ar"/>
              </w:rPr>
              <w:t>预期赔付率</w:t>
            </w:r>
          </w:p>
        </w:tc>
        <w:tc>
          <w:tcPr>
            <w:tcW w:w="244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lang w:bidi="ar"/>
              </w:rPr>
              <w:t>调整系数</w:t>
            </w:r>
          </w:p>
        </w:tc>
      </w:tr>
      <w:tr>
        <w:tblPrEx>
          <w:tblCellMar>
            <w:top w:w="0" w:type="dxa"/>
            <w:left w:w="108" w:type="dxa"/>
            <w:bottom w:w="0" w:type="dxa"/>
            <w:right w:w="108" w:type="dxa"/>
          </w:tblCellMar>
        </w:tblPrEx>
        <w:trPr>
          <w:trHeight w:val="300" w:hRule="atLeast"/>
          <w:jc w:val="center"/>
        </w:trPr>
        <w:tc>
          <w:tcPr>
            <w:tcW w:w="2720"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0%-30%（含）</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[0.5,0.7]</w:t>
            </w:r>
          </w:p>
        </w:tc>
      </w:tr>
      <w:tr>
        <w:tblPrEx>
          <w:tblCellMar>
            <w:top w:w="0" w:type="dxa"/>
            <w:left w:w="108" w:type="dxa"/>
            <w:bottom w:w="0" w:type="dxa"/>
            <w:right w:w="108" w:type="dxa"/>
          </w:tblCellMar>
        </w:tblPrEx>
        <w:trPr>
          <w:trHeight w:val="300" w:hRule="atLeast"/>
          <w:jc w:val="center"/>
        </w:trPr>
        <w:tc>
          <w:tcPr>
            <w:tcW w:w="2720"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30%-50%（含）</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(0.7,0.9]</w:t>
            </w:r>
          </w:p>
        </w:tc>
      </w:tr>
      <w:tr>
        <w:tblPrEx>
          <w:tblCellMar>
            <w:top w:w="0" w:type="dxa"/>
            <w:left w:w="108" w:type="dxa"/>
            <w:bottom w:w="0" w:type="dxa"/>
            <w:right w:w="108" w:type="dxa"/>
          </w:tblCellMar>
        </w:tblPrEx>
        <w:trPr>
          <w:trHeight w:val="242" w:hRule="atLeast"/>
          <w:jc w:val="center"/>
        </w:trPr>
        <w:tc>
          <w:tcPr>
            <w:tcW w:w="2720"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50%-80%（含）</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(0.9,1.1]</w:t>
            </w:r>
          </w:p>
        </w:tc>
      </w:tr>
      <w:tr>
        <w:tblPrEx>
          <w:tblCellMar>
            <w:top w:w="0" w:type="dxa"/>
            <w:left w:w="108" w:type="dxa"/>
            <w:bottom w:w="0" w:type="dxa"/>
            <w:right w:w="108" w:type="dxa"/>
          </w:tblCellMar>
        </w:tblPrEx>
        <w:trPr>
          <w:trHeight w:val="300" w:hRule="atLeast"/>
          <w:jc w:val="center"/>
        </w:trPr>
        <w:tc>
          <w:tcPr>
            <w:tcW w:w="2720"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80%以上</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eastAsia="宋体" w:cs="宋体"/>
                <w:szCs w:val="21"/>
              </w:rPr>
            </w:pPr>
            <w:r>
              <w:rPr>
                <w:rFonts w:ascii="宋体" w:hAnsi="宋体" w:eastAsia="宋体" w:cs="宋体"/>
                <w:szCs w:val="21"/>
                <w:lang w:bidi="ar"/>
              </w:rPr>
              <w:t>(1.1,1.5]</w:t>
            </w:r>
          </w:p>
        </w:tc>
      </w:tr>
    </w:tbl>
    <w:p>
      <w:pPr>
        <w:spacing w:line="360" w:lineRule="auto"/>
        <w:ind w:firstLine="420" w:firstLineChars="200"/>
        <w:rPr>
          <w:rFonts w:ascii="宋体" w:hAnsi="宋体" w:eastAsia="宋体" w:cs="宋体"/>
          <w:szCs w:val="21"/>
          <w:lang w:bidi="ar"/>
        </w:rPr>
      </w:pPr>
      <w:r>
        <w:rPr>
          <w:rFonts w:hint="eastAsia" w:ascii="宋体" w:hAnsi="宋体" w:eastAsia="宋体" w:cs="宋体"/>
          <w:szCs w:val="21"/>
          <w:lang w:bidi="ar"/>
        </w:rPr>
        <w:t>9、销售渠道调整系数</w:t>
      </w:r>
    </w:p>
    <w:tbl>
      <w:tblPr>
        <w:tblStyle w:val="7"/>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b/>
                <w:bCs/>
                <w:szCs w:val="21"/>
                <w:lang w:bidi="ar"/>
              </w:rPr>
            </w:pPr>
            <w:r>
              <w:rPr>
                <w:rFonts w:hint="eastAsia" w:ascii="宋体" w:hAnsi="宋体" w:eastAsia="宋体" w:cs="宋体"/>
                <w:b/>
                <w:bCs/>
                <w:szCs w:val="21"/>
                <w:lang w:bidi="ar"/>
              </w:rPr>
              <w:t>销售方式</w:t>
            </w:r>
          </w:p>
        </w:tc>
        <w:tc>
          <w:tcPr>
            <w:tcW w:w="2850" w:type="dxa"/>
          </w:tcPr>
          <w:p>
            <w:pPr>
              <w:widowControl/>
              <w:jc w:val="center"/>
              <w:rPr>
                <w:rFonts w:ascii="宋体" w:hAnsi="宋体" w:eastAsia="宋体" w:cs="宋体"/>
                <w:b/>
                <w:bCs/>
                <w:szCs w:val="21"/>
                <w:lang w:bidi="ar"/>
              </w:rPr>
            </w:pPr>
            <w:r>
              <w:rPr>
                <w:rFonts w:hint="eastAsia" w:ascii="宋体" w:hAnsi="宋体" w:eastAsia="宋体" w:cs="宋体"/>
                <w:b/>
                <w:bCs/>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网络直销</w:t>
            </w:r>
          </w:p>
        </w:tc>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[0.9,1.1]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网络中介</w:t>
            </w:r>
          </w:p>
        </w:tc>
        <w:tc>
          <w:tcPr>
            <w:tcW w:w="2850" w:type="dxa"/>
          </w:tcPr>
          <w:p>
            <w:pPr>
              <w:widowControl/>
              <w:jc w:val="center"/>
              <w:rPr>
                <w:rFonts w:ascii="宋体" w:hAnsi="宋体" w:eastAsia="宋体" w:cs="宋体"/>
                <w:szCs w:val="21"/>
                <w:lang w:bidi="ar"/>
              </w:rPr>
            </w:pPr>
            <w:r>
              <w:rPr>
                <w:rFonts w:hint="eastAsia" w:ascii="宋体" w:hAnsi="宋体" w:eastAsia="宋体" w:cs="宋体"/>
                <w:szCs w:val="21"/>
                <w:lang w:bidi="ar"/>
              </w:rPr>
              <w:t>[0.8,1.2]</w:t>
            </w:r>
          </w:p>
        </w:tc>
      </w:tr>
    </w:tbl>
    <w:p>
      <w:pPr>
        <w:spacing w:line="360" w:lineRule="auto"/>
        <w:ind w:firstLine="422" w:firstLineChars="200"/>
        <w:jc w:val="left"/>
        <w:rPr>
          <w:rFonts w:ascii="宋体" w:hAnsi="宋体" w:eastAsia="宋体"/>
          <w:b/>
          <w:szCs w:val="21"/>
        </w:rPr>
      </w:pPr>
      <w:r>
        <w:rPr>
          <w:rFonts w:ascii="宋体" w:hAnsi="宋体" w:eastAsia="宋体"/>
          <w:b/>
          <w:szCs w:val="21"/>
        </w:rPr>
        <w:t>四</w:t>
      </w:r>
      <w:r>
        <w:rPr>
          <w:rFonts w:hint="eastAsia" w:ascii="宋体" w:hAnsi="宋体" w:eastAsia="宋体"/>
          <w:b/>
          <w:szCs w:val="21"/>
        </w:rPr>
        <w:t>、保险费计算</w:t>
      </w:r>
    </w:p>
    <w:p>
      <w:pPr>
        <w:keepNext w:val="0"/>
        <w:keepLines w:val="0"/>
        <w:pageBreakBefore w:val="0"/>
        <w:widowControl w:val="0"/>
        <w:kinsoku/>
        <w:wordWrap/>
        <w:overflowPunct/>
        <w:topLinePunct w:val="0"/>
        <w:autoSpaceDE/>
        <w:autoSpaceDN/>
        <w:bidi w:val="0"/>
        <w:adjustRightInd/>
        <w:snapToGrid w:val="0"/>
        <w:spacing w:line="360" w:lineRule="auto"/>
        <w:ind w:firstLine="482"/>
        <w:textAlignment w:val="auto"/>
        <w:rPr>
          <w:rFonts w:ascii="宋体" w:hAnsi="宋体" w:eastAsia="宋体" w:cs="宋体"/>
          <w:bCs/>
          <w:szCs w:val="21"/>
        </w:rPr>
      </w:pPr>
      <w:r>
        <w:rPr>
          <w:rFonts w:hint="eastAsia" w:ascii="宋体" w:hAnsi="宋体" w:eastAsia="宋体" w:cs="宋体"/>
          <w:b w:val="0"/>
          <w:bCs/>
          <w:szCs w:val="21"/>
        </w:rPr>
        <w:t>乳腺恶性肿瘤复发医疗保险金</w:t>
      </w:r>
      <w:r>
        <w:rPr>
          <w:rFonts w:hint="eastAsia" w:ascii="宋体" w:hAnsi="宋体" w:eastAsia="宋体" w:cs="宋体"/>
          <w:bCs/>
          <w:szCs w:val="21"/>
        </w:rPr>
        <w:t>年</w:t>
      </w:r>
      <w:r>
        <w:rPr>
          <w:rFonts w:ascii="宋体" w:hAnsi="宋体" w:eastAsia="宋体" w:cs="宋体"/>
          <w:bCs/>
          <w:szCs w:val="21"/>
        </w:rPr>
        <w:t>保险费</w:t>
      </w:r>
      <w:r>
        <w:rPr>
          <w:rFonts w:hint="eastAsia" w:ascii="宋体" w:hAnsi="宋体" w:eastAsia="宋体" w:cs="宋体"/>
          <w:bCs/>
          <w:szCs w:val="21"/>
          <w:lang w:eastAsia="zh-CN"/>
        </w:rPr>
        <w:t>（</w:t>
      </w:r>
      <w:r>
        <w:rPr>
          <w:rFonts w:hint="eastAsia" w:ascii="宋体" w:hAnsi="宋体" w:eastAsia="宋体" w:cs="宋体"/>
          <w:bCs/>
          <w:szCs w:val="21"/>
          <w:lang w:val="en-US" w:eastAsia="zh-CN"/>
        </w:rPr>
        <w:t>必选责任</w:t>
      </w:r>
      <w:r>
        <w:rPr>
          <w:rFonts w:hint="eastAsia" w:ascii="宋体" w:hAnsi="宋体" w:eastAsia="宋体" w:cs="宋体"/>
          <w:bCs/>
          <w:szCs w:val="21"/>
          <w:lang w:eastAsia="zh-CN"/>
        </w:rPr>
        <w:t>）</w:t>
      </w:r>
      <w:r>
        <w:rPr>
          <w:rFonts w:ascii="宋体" w:hAnsi="宋体" w:eastAsia="宋体" w:cs="宋体"/>
          <w:bCs/>
          <w:szCs w:val="21"/>
        </w:rPr>
        <w:t>=</w:t>
      </w:r>
      <w:r>
        <w:rPr>
          <w:rFonts w:hint="eastAsia" w:ascii="宋体" w:hAnsi="宋体" w:eastAsia="宋体" w:cs="宋体"/>
          <w:bCs/>
          <w:szCs w:val="21"/>
        </w:rPr>
        <w:t>乳腺恶性肿瘤复发医疗保险金</w:t>
      </w:r>
      <w:r>
        <w:rPr>
          <w:rFonts w:ascii="宋体" w:hAnsi="宋体" w:eastAsia="宋体" w:cs="宋体"/>
          <w:bCs/>
          <w:szCs w:val="21"/>
        </w:rPr>
        <w:t>基准</w:t>
      </w:r>
      <w:r>
        <w:rPr>
          <w:rFonts w:hint="eastAsia" w:ascii="宋体" w:hAnsi="宋体" w:eastAsia="宋体" w:cs="宋体"/>
          <w:bCs/>
          <w:szCs w:val="21"/>
        </w:rPr>
        <w:t>年</w:t>
      </w:r>
      <w:r>
        <w:rPr>
          <w:rFonts w:ascii="宋体" w:hAnsi="宋体" w:eastAsia="宋体" w:cs="宋体"/>
          <w:bCs/>
          <w:szCs w:val="21"/>
        </w:rPr>
        <w:t>保险费×</w:t>
      </w:r>
      <w:r>
        <w:rPr>
          <w:rFonts w:hint="eastAsia" w:ascii="宋体" w:hAnsi="宋体" w:eastAsia="宋体" w:cs="宋体"/>
          <w:bCs/>
          <w:szCs w:val="21"/>
        </w:rPr>
        <w:t>年龄调整系数</w:t>
      </w:r>
      <w:r>
        <w:rPr>
          <w:rFonts w:ascii="宋体" w:hAnsi="宋体" w:eastAsia="宋体" w:cs="宋体"/>
          <w:bCs/>
          <w:szCs w:val="21"/>
        </w:rPr>
        <w:t>×等待期调整系数×</w:t>
      </w:r>
      <w:r>
        <w:rPr>
          <w:rFonts w:hint="eastAsia" w:ascii="宋体" w:hAnsi="宋体" w:eastAsia="宋体" w:cs="宋体"/>
          <w:szCs w:val="21"/>
          <w:lang w:bidi="ar"/>
        </w:rPr>
        <w:t>免赔额调整系数</w:t>
      </w:r>
      <w:r>
        <w:rPr>
          <w:rFonts w:ascii="宋体" w:hAnsi="宋体" w:eastAsia="宋体" w:cs="宋体"/>
          <w:bCs/>
          <w:szCs w:val="21"/>
        </w:rPr>
        <w:t>×</w:t>
      </w:r>
      <w:r>
        <w:rPr>
          <w:rFonts w:hint="eastAsia" w:ascii="宋体" w:hAnsi="宋体" w:eastAsia="宋体" w:cs="宋体"/>
          <w:bCs/>
          <w:szCs w:val="21"/>
        </w:rPr>
        <w:t>乳腺恶性肿瘤复发医疗保险金额调整系数</w:t>
      </w:r>
      <w:r>
        <w:rPr>
          <w:rFonts w:hint="eastAsia" w:ascii="宋体" w:hAnsi="宋体" w:eastAsia="宋体" w:cs="宋体"/>
          <w:szCs w:val="21"/>
          <w:lang w:bidi="ar"/>
        </w:rPr>
        <w:t>×</w:t>
      </w:r>
      <w:r>
        <w:rPr>
          <w:rFonts w:hint="eastAsia" w:ascii="宋体" w:hAnsi="宋体" w:eastAsia="宋体" w:cs="Arial"/>
          <w:bCs/>
          <w:color w:val="000000"/>
          <w:szCs w:val="21"/>
        </w:rPr>
        <w:t>赔付比例调整系数</w:t>
      </w:r>
      <w:r>
        <w:rPr>
          <w:rFonts w:hint="eastAsia" w:ascii="宋体" w:hAnsi="宋体" w:eastAsia="宋体" w:cs="宋体"/>
          <w:szCs w:val="21"/>
          <w:lang w:bidi="ar"/>
        </w:rPr>
        <w:t>×被保险人风险状况调整系数×</w:t>
      </w:r>
      <w:r>
        <w:rPr>
          <w:rFonts w:ascii="宋体" w:hAnsi="宋体" w:eastAsia="宋体" w:cs="宋体"/>
          <w:bCs/>
          <w:szCs w:val="21"/>
        </w:rPr>
        <w:t>规模调整系数×</w:t>
      </w:r>
      <w:r>
        <w:rPr>
          <w:rFonts w:hint="eastAsia" w:ascii="宋体" w:hAnsi="宋体" w:eastAsia="宋体" w:cs="宋体"/>
          <w:bCs/>
          <w:szCs w:val="21"/>
        </w:rPr>
        <w:t>预期</w:t>
      </w:r>
      <w:r>
        <w:rPr>
          <w:rFonts w:ascii="宋体" w:hAnsi="宋体" w:eastAsia="宋体" w:cs="宋体"/>
          <w:bCs/>
          <w:szCs w:val="21"/>
        </w:rPr>
        <w:t>赔付率调整系数×</w:t>
      </w:r>
      <w:r>
        <w:rPr>
          <w:rFonts w:hint="eastAsia" w:ascii="宋体" w:hAnsi="宋体" w:eastAsia="宋体" w:cs="宋体"/>
          <w:bCs/>
          <w:szCs w:val="21"/>
        </w:rPr>
        <w:t>销售渠道调整系数</w:t>
      </w:r>
    </w:p>
    <w:p>
      <w:pPr>
        <w:keepNext w:val="0"/>
        <w:keepLines w:val="0"/>
        <w:pageBreakBefore w:val="0"/>
        <w:widowControl w:val="0"/>
        <w:kinsoku/>
        <w:wordWrap/>
        <w:overflowPunct/>
        <w:topLinePunct w:val="0"/>
        <w:autoSpaceDE/>
        <w:autoSpaceDN/>
        <w:bidi w:val="0"/>
        <w:adjustRightInd/>
        <w:snapToGrid w:val="0"/>
        <w:spacing w:line="360" w:lineRule="auto"/>
        <w:ind w:firstLine="482"/>
        <w:textAlignment w:val="auto"/>
        <w:rPr>
          <w:rFonts w:ascii="宋体" w:hAnsi="宋体" w:eastAsia="宋体" w:cs="宋体"/>
          <w:bCs/>
          <w:szCs w:val="21"/>
        </w:rPr>
      </w:pPr>
      <w:r>
        <w:rPr>
          <w:rFonts w:hint="eastAsia" w:ascii="宋体" w:hAnsi="宋体" w:eastAsia="宋体" w:cs="宋体"/>
          <w:bCs/>
          <w:szCs w:val="21"/>
        </w:rPr>
        <w:t>对侧原发性乳腺恶性肿瘤医疗保险金年</w:t>
      </w:r>
      <w:r>
        <w:rPr>
          <w:rFonts w:ascii="宋体" w:hAnsi="宋体" w:eastAsia="宋体" w:cs="宋体"/>
          <w:bCs/>
          <w:szCs w:val="21"/>
        </w:rPr>
        <w:t>保险费</w:t>
      </w:r>
      <w:r>
        <w:rPr>
          <w:rFonts w:hint="eastAsia" w:ascii="宋体" w:hAnsi="宋体" w:eastAsia="宋体" w:cs="宋体"/>
          <w:bCs/>
          <w:szCs w:val="21"/>
          <w:lang w:eastAsia="zh-CN"/>
        </w:rPr>
        <w:t>（</w:t>
      </w:r>
      <w:r>
        <w:rPr>
          <w:rFonts w:hint="eastAsia" w:ascii="宋体" w:hAnsi="宋体" w:eastAsia="宋体" w:cs="宋体"/>
          <w:bCs/>
          <w:szCs w:val="21"/>
          <w:lang w:val="en-US" w:eastAsia="zh-CN"/>
        </w:rPr>
        <w:t>可选责任</w:t>
      </w:r>
      <w:r>
        <w:rPr>
          <w:rFonts w:hint="eastAsia" w:ascii="宋体" w:hAnsi="宋体" w:eastAsia="宋体" w:cs="宋体"/>
          <w:bCs/>
          <w:szCs w:val="21"/>
          <w:lang w:eastAsia="zh-CN"/>
        </w:rPr>
        <w:t>）</w:t>
      </w:r>
      <w:r>
        <w:rPr>
          <w:rFonts w:ascii="宋体" w:hAnsi="宋体" w:eastAsia="宋体" w:cs="宋体"/>
          <w:bCs/>
          <w:szCs w:val="21"/>
        </w:rPr>
        <w:t>=</w:t>
      </w:r>
      <w:r>
        <w:rPr>
          <w:rFonts w:hint="eastAsia" w:ascii="宋体" w:hAnsi="宋体" w:eastAsia="宋体" w:cs="宋体"/>
          <w:bCs/>
          <w:szCs w:val="21"/>
        </w:rPr>
        <w:t>对侧原发性乳腺恶性肿瘤医疗保险金</w:t>
      </w:r>
      <w:r>
        <w:rPr>
          <w:rFonts w:ascii="宋体" w:hAnsi="宋体" w:eastAsia="宋体" w:cs="宋体"/>
          <w:bCs/>
          <w:szCs w:val="21"/>
        </w:rPr>
        <w:t>基准</w:t>
      </w:r>
      <w:r>
        <w:rPr>
          <w:rFonts w:hint="eastAsia" w:ascii="宋体" w:hAnsi="宋体" w:eastAsia="宋体" w:cs="宋体"/>
          <w:bCs/>
          <w:szCs w:val="21"/>
        </w:rPr>
        <w:t>年</w:t>
      </w:r>
      <w:r>
        <w:rPr>
          <w:rFonts w:ascii="宋体" w:hAnsi="宋体" w:eastAsia="宋体" w:cs="宋体"/>
          <w:bCs/>
          <w:szCs w:val="21"/>
        </w:rPr>
        <w:t>保险费×</w:t>
      </w:r>
      <w:r>
        <w:rPr>
          <w:rFonts w:hint="eastAsia" w:ascii="宋体" w:hAnsi="宋体" w:eastAsia="宋体" w:cs="宋体"/>
          <w:bCs/>
          <w:szCs w:val="21"/>
        </w:rPr>
        <w:t>年龄调整系数</w:t>
      </w:r>
      <w:r>
        <w:rPr>
          <w:rFonts w:ascii="宋体" w:hAnsi="宋体" w:eastAsia="宋体" w:cs="宋体"/>
          <w:bCs/>
          <w:szCs w:val="21"/>
        </w:rPr>
        <w:t>×等待期调整系数×</w:t>
      </w:r>
      <w:r>
        <w:rPr>
          <w:rFonts w:hint="eastAsia" w:ascii="宋体" w:hAnsi="宋体" w:eastAsia="宋体" w:cs="宋体"/>
          <w:szCs w:val="21"/>
          <w:lang w:bidi="ar"/>
        </w:rPr>
        <w:t>免赔额调整系数</w:t>
      </w:r>
      <w:r>
        <w:rPr>
          <w:rFonts w:ascii="宋体" w:hAnsi="宋体" w:eastAsia="宋体" w:cs="宋体"/>
          <w:bCs/>
          <w:szCs w:val="21"/>
        </w:rPr>
        <w:t>×</w:t>
      </w:r>
      <w:r>
        <w:rPr>
          <w:rFonts w:hint="eastAsia" w:ascii="宋体" w:hAnsi="宋体" w:eastAsia="宋体" w:cs="宋体"/>
          <w:bCs/>
          <w:szCs w:val="21"/>
        </w:rPr>
        <w:t>对侧原发性乳腺恶性肿瘤医疗保险金额调整系数</w:t>
      </w:r>
      <w:r>
        <w:rPr>
          <w:rFonts w:hint="eastAsia" w:ascii="宋体" w:hAnsi="宋体" w:eastAsia="宋体" w:cs="宋体"/>
          <w:szCs w:val="21"/>
          <w:lang w:bidi="ar"/>
        </w:rPr>
        <w:t>×</w:t>
      </w:r>
      <w:r>
        <w:rPr>
          <w:rFonts w:hint="eastAsia" w:ascii="宋体" w:hAnsi="宋体" w:eastAsia="宋体" w:cs="Arial"/>
          <w:bCs/>
          <w:color w:val="000000"/>
          <w:szCs w:val="21"/>
        </w:rPr>
        <w:t>赔付比例调整系数</w:t>
      </w:r>
      <w:r>
        <w:rPr>
          <w:rFonts w:hint="eastAsia" w:ascii="宋体" w:hAnsi="宋体" w:eastAsia="宋体" w:cs="宋体"/>
          <w:szCs w:val="21"/>
          <w:lang w:bidi="ar"/>
        </w:rPr>
        <w:t>×被保险人风险状况调整系数×</w:t>
      </w:r>
      <w:r>
        <w:rPr>
          <w:rFonts w:ascii="宋体" w:hAnsi="宋体" w:eastAsia="宋体" w:cs="宋体"/>
          <w:bCs/>
          <w:szCs w:val="21"/>
        </w:rPr>
        <w:t>规模调整系数×</w:t>
      </w:r>
      <w:r>
        <w:rPr>
          <w:rFonts w:hint="eastAsia" w:ascii="宋体" w:hAnsi="宋体" w:eastAsia="宋体" w:cs="宋体"/>
          <w:bCs/>
          <w:szCs w:val="21"/>
        </w:rPr>
        <w:t>预期</w:t>
      </w:r>
      <w:r>
        <w:rPr>
          <w:rFonts w:ascii="宋体" w:hAnsi="宋体" w:eastAsia="宋体" w:cs="宋体"/>
          <w:bCs/>
          <w:szCs w:val="21"/>
        </w:rPr>
        <w:t>赔付率调整系数×</w:t>
      </w:r>
      <w:r>
        <w:rPr>
          <w:rFonts w:hint="eastAsia" w:ascii="宋体" w:hAnsi="宋体" w:eastAsia="宋体" w:cs="宋体"/>
          <w:bCs/>
          <w:szCs w:val="21"/>
        </w:rPr>
        <w:t>销售渠道调整系数</w:t>
      </w:r>
    </w:p>
    <w:p>
      <w:pPr>
        <w:keepNext w:val="0"/>
        <w:keepLines w:val="0"/>
        <w:pageBreakBefore w:val="0"/>
        <w:widowControl w:val="0"/>
        <w:kinsoku/>
        <w:wordWrap/>
        <w:overflowPunct/>
        <w:topLinePunct w:val="0"/>
        <w:autoSpaceDE/>
        <w:autoSpaceDN/>
        <w:bidi w:val="0"/>
        <w:adjustRightInd/>
        <w:snapToGrid w:val="0"/>
        <w:spacing w:line="360" w:lineRule="auto"/>
        <w:ind w:firstLine="482"/>
        <w:textAlignment w:val="auto"/>
        <w:rPr>
          <w:rFonts w:hint="eastAsia" w:ascii="宋体" w:hAnsi="宋体" w:eastAsia="宋体" w:cs="宋体"/>
          <w:bCs/>
          <w:szCs w:val="21"/>
          <w:lang w:eastAsia="zh-CN"/>
        </w:rPr>
      </w:pPr>
      <w:r>
        <w:rPr>
          <w:rFonts w:hint="eastAsia" w:ascii="宋体" w:hAnsi="宋体" w:eastAsia="宋体" w:cs="宋体"/>
          <w:bCs/>
          <w:szCs w:val="21"/>
        </w:rPr>
        <w:t>总年保险费=乳腺恶性肿瘤复发医疗保险金年保险费</w:t>
      </w:r>
      <w:r>
        <w:rPr>
          <w:rFonts w:hint="eastAsia" w:ascii="宋体" w:hAnsi="宋体" w:eastAsia="宋体" w:cs="宋体"/>
          <w:bCs/>
          <w:szCs w:val="21"/>
          <w:lang w:eastAsia="zh-CN"/>
        </w:rPr>
        <w:t>（</w:t>
      </w:r>
      <w:r>
        <w:rPr>
          <w:rFonts w:hint="eastAsia" w:ascii="宋体" w:hAnsi="宋体" w:eastAsia="宋体" w:cs="宋体"/>
          <w:bCs/>
          <w:szCs w:val="21"/>
          <w:lang w:val="en-US" w:eastAsia="zh-CN"/>
        </w:rPr>
        <w:t>必选责任</w:t>
      </w:r>
      <w:r>
        <w:rPr>
          <w:rFonts w:hint="eastAsia" w:ascii="宋体" w:hAnsi="宋体" w:eastAsia="宋体" w:cs="宋体"/>
          <w:bCs/>
          <w:szCs w:val="21"/>
          <w:lang w:eastAsia="zh-CN"/>
        </w:rPr>
        <w:t>）</w:t>
      </w:r>
      <w:r>
        <w:rPr>
          <w:rFonts w:hint="eastAsia" w:ascii="宋体" w:hAnsi="宋体" w:eastAsia="宋体" w:cs="宋体"/>
          <w:bCs/>
          <w:szCs w:val="21"/>
        </w:rPr>
        <w:t>+对侧原发性乳腺恶性肿瘤医疗保险金年保险费</w:t>
      </w:r>
      <w:r>
        <w:rPr>
          <w:rFonts w:hint="eastAsia" w:ascii="宋体" w:hAnsi="宋体" w:eastAsia="宋体" w:cs="宋体"/>
          <w:bCs/>
          <w:szCs w:val="21"/>
          <w:lang w:eastAsia="zh-CN"/>
        </w:rPr>
        <w:t>（</w:t>
      </w:r>
      <w:r>
        <w:rPr>
          <w:rFonts w:hint="eastAsia" w:ascii="宋体" w:hAnsi="宋体" w:eastAsia="宋体" w:cs="宋体"/>
          <w:bCs/>
          <w:szCs w:val="21"/>
          <w:lang w:val="en-US" w:eastAsia="zh-CN"/>
        </w:rPr>
        <w:t>可选责任）</w:t>
      </w:r>
    </w:p>
    <w:p>
      <w:pPr>
        <w:spacing w:line="360" w:lineRule="auto"/>
        <w:ind w:firstLine="422" w:firstLineChars="200"/>
        <w:jc w:val="left"/>
        <w:rPr>
          <w:rFonts w:ascii="宋体" w:hAnsi="宋体" w:eastAsia="宋体" w:cs="Times New Roman"/>
          <w:b/>
          <w:kern w:val="0"/>
        </w:rPr>
      </w:pPr>
      <w:r>
        <w:rPr>
          <w:rFonts w:hint="eastAsia" w:ascii="宋体" w:hAnsi="宋体" w:eastAsia="宋体" w:cs="Times New Roman"/>
          <w:b/>
          <w:kern w:val="0"/>
        </w:rPr>
        <w:t>五、短期</w:t>
      </w:r>
      <w:r>
        <w:rPr>
          <w:rFonts w:hint="eastAsia" w:ascii="宋体" w:hAnsi="宋体" w:eastAsia="宋体"/>
          <w:b/>
          <w:szCs w:val="21"/>
        </w:rPr>
        <w:t>费率</w:t>
      </w:r>
      <w:r>
        <w:rPr>
          <w:rFonts w:hint="eastAsia" w:ascii="宋体" w:hAnsi="宋体" w:eastAsia="宋体" w:cs="Times New Roman"/>
          <w:b/>
          <w:kern w:val="0"/>
        </w:rPr>
        <w:t>表</w:t>
      </w:r>
    </w:p>
    <w:p>
      <w:pPr>
        <w:snapToGrid w:val="0"/>
        <w:spacing w:line="288" w:lineRule="auto"/>
        <w:ind w:firstLine="482"/>
        <w:rPr>
          <w:rFonts w:ascii="宋体" w:hAnsi="宋体" w:eastAsia="宋体" w:cs="Times New Roman"/>
          <w:kern w:val="0"/>
        </w:rPr>
      </w:pPr>
      <w:r>
        <w:rPr>
          <w:rFonts w:hint="eastAsia" w:ascii="宋体" w:hAnsi="宋体" w:eastAsia="宋体" w:cs="Times New Roman"/>
          <w:kern w:val="0"/>
        </w:rPr>
        <w:t>保险期间不足一年的，按以下标准计算短期保险费（按年保险费的百分比计算，不足一个月的按一个月计算）：</w:t>
      </w:r>
    </w:p>
    <w:tbl>
      <w:tblPr>
        <w:tblStyle w:val="7"/>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673"/>
        <w:gridCol w:w="673"/>
        <w:gridCol w:w="673"/>
        <w:gridCol w:w="673"/>
        <w:gridCol w:w="673"/>
        <w:gridCol w:w="673"/>
        <w:gridCol w:w="673"/>
        <w:gridCol w:w="673"/>
        <w:gridCol w:w="673"/>
        <w:gridCol w:w="673"/>
        <w:gridCol w:w="673"/>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保险期间（月）</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2</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3</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4</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6</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7</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11</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年保险费的百分比</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20%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30%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40%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50%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60%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70%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95%</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100%</w:t>
            </w:r>
          </w:p>
        </w:tc>
      </w:tr>
    </w:tbl>
    <w:p>
      <w:pPr>
        <w:spacing w:line="14" w:lineRule="exact"/>
        <w:ind w:firstLine="420" w:firstLineChars="200"/>
        <w:jc w:val="left"/>
        <w:rPr>
          <w:rFonts w:ascii="宋体" w:hAnsi="宋体" w:eastAsia="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0250955"/>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F627F0"/>
    <w:rsid w:val="000230D3"/>
    <w:rsid w:val="00023DE6"/>
    <w:rsid w:val="000504D9"/>
    <w:rsid w:val="00061794"/>
    <w:rsid w:val="00061975"/>
    <w:rsid w:val="000A3789"/>
    <w:rsid w:val="000C2C4B"/>
    <w:rsid w:val="000E0AF6"/>
    <w:rsid w:val="000E3F63"/>
    <w:rsid w:val="000F60A7"/>
    <w:rsid w:val="001244FF"/>
    <w:rsid w:val="001B7379"/>
    <w:rsid w:val="002128DD"/>
    <w:rsid w:val="00225CBB"/>
    <w:rsid w:val="00245901"/>
    <w:rsid w:val="002542C8"/>
    <w:rsid w:val="00274A88"/>
    <w:rsid w:val="0029332F"/>
    <w:rsid w:val="00295C8F"/>
    <w:rsid w:val="002C6F96"/>
    <w:rsid w:val="002E3E7E"/>
    <w:rsid w:val="00333B66"/>
    <w:rsid w:val="00341A35"/>
    <w:rsid w:val="00346E83"/>
    <w:rsid w:val="0039306A"/>
    <w:rsid w:val="003F4393"/>
    <w:rsid w:val="00484CB0"/>
    <w:rsid w:val="004902B3"/>
    <w:rsid w:val="004F5E20"/>
    <w:rsid w:val="005000A6"/>
    <w:rsid w:val="00506C87"/>
    <w:rsid w:val="00514DA3"/>
    <w:rsid w:val="005D4A60"/>
    <w:rsid w:val="005D75B7"/>
    <w:rsid w:val="006007A7"/>
    <w:rsid w:val="0064352C"/>
    <w:rsid w:val="00662F31"/>
    <w:rsid w:val="00696B15"/>
    <w:rsid w:val="006B589E"/>
    <w:rsid w:val="006E3F0C"/>
    <w:rsid w:val="00700687"/>
    <w:rsid w:val="00702F75"/>
    <w:rsid w:val="00733558"/>
    <w:rsid w:val="00767CE8"/>
    <w:rsid w:val="007A668C"/>
    <w:rsid w:val="0082675D"/>
    <w:rsid w:val="00864233"/>
    <w:rsid w:val="00887B04"/>
    <w:rsid w:val="00893364"/>
    <w:rsid w:val="008E2FC6"/>
    <w:rsid w:val="00905109"/>
    <w:rsid w:val="00907BDA"/>
    <w:rsid w:val="009414F5"/>
    <w:rsid w:val="009B4947"/>
    <w:rsid w:val="009D156E"/>
    <w:rsid w:val="00A0448E"/>
    <w:rsid w:val="00A5472D"/>
    <w:rsid w:val="00A55EAC"/>
    <w:rsid w:val="00A80F65"/>
    <w:rsid w:val="00AA7B60"/>
    <w:rsid w:val="00AB1435"/>
    <w:rsid w:val="00AE7EFF"/>
    <w:rsid w:val="00BA132C"/>
    <w:rsid w:val="00BF06B9"/>
    <w:rsid w:val="00BF5669"/>
    <w:rsid w:val="00C41AEB"/>
    <w:rsid w:val="00C6391C"/>
    <w:rsid w:val="00C80BEE"/>
    <w:rsid w:val="00C87BF0"/>
    <w:rsid w:val="00CA3CCA"/>
    <w:rsid w:val="00CA4C69"/>
    <w:rsid w:val="00CC0447"/>
    <w:rsid w:val="00CD1F3F"/>
    <w:rsid w:val="00CF6683"/>
    <w:rsid w:val="00CF76C6"/>
    <w:rsid w:val="00D20287"/>
    <w:rsid w:val="00D2245A"/>
    <w:rsid w:val="00D278AD"/>
    <w:rsid w:val="00DF2154"/>
    <w:rsid w:val="00E06983"/>
    <w:rsid w:val="00E30098"/>
    <w:rsid w:val="00E7065F"/>
    <w:rsid w:val="00E940E8"/>
    <w:rsid w:val="00EE5519"/>
    <w:rsid w:val="00EE6978"/>
    <w:rsid w:val="00F37085"/>
    <w:rsid w:val="00F627F0"/>
    <w:rsid w:val="00FA3EA6"/>
    <w:rsid w:val="01A611B0"/>
    <w:rsid w:val="023D5009"/>
    <w:rsid w:val="04205EB1"/>
    <w:rsid w:val="04671EF4"/>
    <w:rsid w:val="05AC63F4"/>
    <w:rsid w:val="0678682D"/>
    <w:rsid w:val="078809D2"/>
    <w:rsid w:val="08241C4A"/>
    <w:rsid w:val="09812ECE"/>
    <w:rsid w:val="0B14530F"/>
    <w:rsid w:val="0B650573"/>
    <w:rsid w:val="0C071098"/>
    <w:rsid w:val="0C1E36B4"/>
    <w:rsid w:val="0CE60BCD"/>
    <w:rsid w:val="0D935B07"/>
    <w:rsid w:val="0F5534D9"/>
    <w:rsid w:val="10DE709A"/>
    <w:rsid w:val="11B619F3"/>
    <w:rsid w:val="13864296"/>
    <w:rsid w:val="1415741C"/>
    <w:rsid w:val="1489141C"/>
    <w:rsid w:val="14C117C9"/>
    <w:rsid w:val="15182A6F"/>
    <w:rsid w:val="15434F89"/>
    <w:rsid w:val="15E52977"/>
    <w:rsid w:val="1630439D"/>
    <w:rsid w:val="16FC1186"/>
    <w:rsid w:val="17780F8F"/>
    <w:rsid w:val="178839B1"/>
    <w:rsid w:val="17CA1CD8"/>
    <w:rsid w:val="18580D0E"/>
    <w:rsid w:val="1CD852E5"/>
    <w:rsid w:val="1DA578BD"/>
    <w:rsid w:val="1F14355E"/>
    <w:rsid w:val="2028386D"/>
    <w:rsid w:val="214F546F"/>
    <w:rsid w:val="21FA6A29"/>
    <w:rsid w:val="239D4B92"/>
    <w:rsid w:val="25DD07DA"/>
    <w:rsid w:val="27CC5136"/>
    <w:rsid w:val="2A1E1EC7"/>
    <w:rsid w:val="2BD471DA"/>
    <w:rsid w:val="2D6A01DB"/>
    <w:rsid w:val="2ED4418A"/>
    <w:rsid w:val="2F4F00FA"/>
    <w:rsid w:val="30BF5808"/>
    <w:rsid w:val="31AF2660"/>
    <w:rsid w:val="34CB02E2"/>
    <w:rsid w:val="363851A6"/>
    <w:rsid w:val="366F318F"/>
    <w:rsid w:val="36CA7CCE"/>
    <w:rsid w:val="396E017E"/>
    <w:rsid w:val="398753C5"/>
    <w:rsid w:val="3BAA6DE9"/>
    <w:rsid w:val="3C6F3118"/>
    <w:rsid w:val="43AA70B0"/>
    <w:rsid w:val="48A13A0E"/>
    <w:rsid w:val="496B4457"/>
    <w:rsid w:val="4A055EC7"/>
    <w:rsid w:val="4A381310"/>
    <w:rsid w:val="4A3E05CE"/>
    <w:rsid w:val="4A48467D"/>
    <w:rsid w:val="4A7807D3"/>
    <w:rsid w:val="5052092F"/>
    <w:rsid w:val="51494826"/>
    <w:rsid w:val="516D1FD0"/>
    <w:rsid w:val="521F5665"/>
    <w:rsid w:val="573D749D"/>
    <w:rsid w:val="586631C9"/>
    <w:rsid w:val="59A62C9C"/>
    <w:rsid w:val="59E93FE0"/>
    <w:rsid w:val="5ED725C3"/>
    <w:rsid w:val="5EFE0567"/>
    <w:rsid w:val="63473BF7"/>
    <w:rsid w:val="66415276"/>
    <w:rsid w:val="66F63E97"/>
    <w:rsid w:val="68067F28"/>
    <w:rsid w:val="6A2536C5"/>
    <w:rsid w:val="6B6A4927"/>
    <w:rsid w:val="71074787"/>
    <w:rsid w:val="730333A6"/>
    <w:rsid w:val="73FE3E08"/>
    <w:rsid w:val="76571277"/>
    <w:rsid w:val="76B973FB"/>
    <w:rsid w:val="777A05E8"/>
    <w:rsid w:val="77A1081E"/>
    <w:rsid w:val="790740FD"/>
    <w:rsid w:val="7A431165"/>
    <w:rsid w:val="7BBE3FC8"/>
    <w:rsid w:val="7C376E8E"/>
    <w:rsid w:val="7CAF3128"/>
    <w:rsid w:val="7E2766A8"/>
    <w:rsid w:val="7F5A6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批注框文本 字符"/>
    <w:basedOn w:val="9"/>
    <w:link w:val="3"/>
    <w:semiHidden/>
    <w:qFormat/>
    <w:uiPriority w:val="99"/>
    <w:rPr>
      <w:sz w:val="18"/>
      <w:szCs w:val="18"/>
    </w:rPr>
  </w:style>
  <w:style w:type="character" w:customStyle="1" w:styleId="12">
    <w:name w:val="页眉 字符"/>
    <w:basedOn w:val="9"/>
    <w:link w:val="5"/>
    <w:qFormat/>
    <w:uiPriority w:val="99"/>
    <w:rPr>
      <w:sz w:val="18"/>
      <w:szCs w:val="18"/>
    </w:rPr>
  </w:style>
  <w:style w:type="character" w:customStyle="1" w:styleId="13">
    <w:name w:val="页脚 字符"/>
    <w:basedOn w:val="9"/>
    <w:link w:val="4"/>
    <w:qFormat/>
    <w:uiPriority w:val="99"/>
    <w:rPr>
      <w:sz w:val="18"/>
      <w:szCs w:val="18"/>
    </w:rPr>
  </w:style>
  <w:style w:type="character" w:customStyle="1" w:styleId="14">
    <w:name w:val="批注文字 字符"/>
    <w:basedOn w:val="9"/>
    <w:link w:val="2"/>
    <w:semiHidden/>
    <w:qFormat/>
    <w:uiPriority w:val="99"/>
    <w:rPr>
      <w:rFonts w:asciiTheme="minorHAnsi" w:hAnsiTheme="minorHAnsi" w:eastAsiaTheme="minorEastAsia" w:cstheme="minorBidi"/>
      <w:kern w:val="2"/>
      <w:sz w:val="21"/>
      <w:szCs w:val="22"/>
    </w:rPr>
  </w:style>
  <w:style w:type="character" w:customStyle="1" w:styleId="15">
    <w:name w:val="批注主题 字符"/>
    <w:basedOn w:val="14"/>
    <w:link w:val="6"/>
    <w:semiHidden/>
    <w:qFormat/>
    <w:uiPriority w:val="99"/>
    <w:rPr>
      <w:rFonts w:asciiTheme="minorHAnsi" w:hAnsiTheme="minorHAnsi" w:eastAsiaTheme="minorEastAsia" w:cstheme="minorBidi"/>
      <w:b/>
      <w:bCs/>
      <w:kern w:val="2"/>
      <w:sz w:val="21"/>
      <w:szCs w:val="22"/>
    </w:rPr>
  </w:style>
  <w:style w:type="paragraph" w:customStyle="1" w:styleId="16">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7">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419</Words>
  <Characters>2392</Characters>
  <Lines>19</Lines>
  <Paragraphs>5</Paragraphs>
  <TotalTime>0</TotalTime>
  <ScaleCrop>false</ScaleCrop>
  <LinksUpToDate>false</LinksUpToDate>
  <CharactersWithSpaces>2806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2020-02-18T03:53:00Z</dcterms:created>
  <dc:creator>林男 曹</dc:creator>
  <cp:lastModifiedBy>Zixuan Shen</cp:lastModifiedBy>
  <dcterms:modified xsi:type="dcterms:W3CDTF">2023-09-22T10:50:11Z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07C7ACF2E12743B7A27770C56FA79FD2</vt:lpwstr>
  </property>
  <property fmtid="{D5CDD505-2E9C-101B-9397-08002B2CF9AE}" pid="4" name="commondata">
    <vt:lpwstr>eyJoZGlkIjoiMDRiMmE0ZjljZDExM2YyODdkMDQ1ZGRhYjY0YmQ5MmQifQ==</vt:lpwstr>
  </property>
</Properties>
</file>