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156"/>
        <w:jc w:val="center"/>
        <w:rPr>
          <w:b/>
          <w:sz w:val="28"/>
        </w:rPr>
      </w:pPr>
      <w:r>
        <w:rPr>
          <w:rFonts w:hint="eastAsia"/>
          <w:b/>
          <w:sz w:val="28"/>
        </w:rPr>
        <w:t>华农财产保险股份有限公司</w:t>
      </w:r>
    </w:p>
    <w:p>
      <w:pPr>
        <w:widowControl/>
        <w:snapToGrid w:val="0"/>
        <w:spacing w:after="156"/>
        <w:jc w:val="center"/>
        <w:outlineLvl w:val="1"/>
        <w:rPr>
          <w:b/>
          <w:sz w:val="21"/>
        </w:rPr>
      </w:pPr>
      <w:r>
        <w:rPr>
          <w:rFonts w:hint="eastAsia"/>
          <w:b/>
          <w:sz w:val="28"/>
        </w:rPr>
        <w:t>预防接种个人意外伤害保险费率表</w:t>
      </w:r>
    </w:p>
    <w:p>
      <w:pPr>
        <w:widowControl/>
        <w:numPr>
          <w:ilvl w:val="0"/>
          <w:numId w:val="1"/>
        </w:numPr>
        <w:spacing w:after="156"/>
        <w:rPr>
          <w:b/>
          <w:sz w:val="21"/>
        </w:rPr>
      </w:pPr>
      <w:r>
        <w:rPr>
          <w:rFonts w:hint="eastAsia"/>
          <w:b/>
          <w:sz w:val="21"/>
        </w:rPr>
        <w:t>基准费率（不含税）</w:t>
      </w:r>
    </w:p>
    <w:p>
      <w:pPr>
        <w:widowControl/>
        <w:spacing w:after="156"/>
        <w:jc w:val="left"/>
        <w:rPr>
          <w:b/>
          <w:sz w:val="21"/>
        </w:rPr>
      </w:pPr>
      <w:r>
        <w:rPr>
          <w:rFonts w:hint="eastAsia"/>
          <w:b/>
          <w:sz w:val="21"/>
        </w:rPr>
        <w:t>（一）按年收费</w:t>
      </w:r>
    </w:p>
    <w:tbl>
      <w:tblPr>
        <w:tblStyle w:val="7"/>
        <w:tblW w:w="7658" w:type="dxa"/>
        <w:jc w:val="center"/>
        <w:tblLayout w:type="fixed"/>
        <w:tblCellMar>
          <w:top w:w="0" w:type="dxa"/>
          <w:left w:w="108" w:type="dxa"/>
          <w:bottom w:w="0" w:type="dxa"/>
          <w:right w:w="108" w:type="dxa"/>
        </w:tblCellMar>
      </w:tblPr>
      <w:tblGrid>
        <w:gridCol w:w="1872"/>
        <w:gridCol w:w="4269"/>
        <w:gridCol w:w="1517"/>
      </w:tblGrid>
      <w:tr>
        <w:tblPrEx>
          <w:tblCellMar>
            <w:top w:w="0" w:type="dxa"/>
            <w:left w:w="108" w:type="dxa"/>
            <w:bottom w:w="0" w:type="dxa"/>
            <w:right w:w="108" w:type="dxa"/>
          </w:tblCellMar>
        </w:tblPrEx>
        <w:trPr>
          <w:trHeight w:val="213" w:hRule="atLeast"/>
          <w:jc w:val="center"/>
        </w:trPr>
        <w:tc>
          <w:tcPr>
            <w:tcW w:w="6141" w:type="dxa"/>
            <w:gridSpan w:val="2"/>
            <w:tcBorders>
              <w:top w:val="single" w:color="000000" w:sz="4" w:space="0"/>
              <w:left w:val="single" w:color="000000" w:sz="4" w:space="0"/>
              <w:bottom w:val="single" w:color="auto" w:sz="4" w:space="0"/>
              <w:right w:val="single" w:color="000000" w:sz="4" w:space="0"/>
            </w:tcBorders>
          </w:tcPr>
          <w:p>
            <w:pPr>
              <w:widowControl/>
              <w:jc w:val="center"/>
              <w:rPr>
                <w:rFonts w:hAnsi="宋体" w:cs="宋体"/>
                <w:b/>
                <w:sz w:val="21"/>
              </w:rPr>
            </w:pPr>
            <w:r>
              <w:rPr>
                <w:rFonts w:hint="eastAsia" w:hAnsi="宋体" w:cs="宋体"/>
                <w:b/>
                <w:sz w:val="21"/>
              </w:rPr>
              <w:t>保险责任</w:t>
            </w:r>
          </w:p>
        </w:tc>
        <w:tc>
          <w:tcPr>
            <w:tcW w:w="1517" w:type="dxa"/>
            <w:tcBorders>
              <w:top w:val="single" w:color="000000" w:sz="4" w:space="0"/>
              <w:left w:val="nil"/>
              <w:bottom w:val="single" w:color="auto" w:sz="4" w:space="0"/>
              <w:right w:val="single" w:color="000000" w:sz="4" w:space="0"/>
            </w:tcBorders>
            <w:vAlign w:val="center"/>
          </w:tcPr>
          <w:p>
            <w:pPr>
              <w:widowControl/>
              <w:jc w:val="center"/>
              <w:rPr>
                <w:rFonts w:hAnsi="宋体" w:cs="宋体"/>
                <w:b/>
                <w:sz w:val="21"/>
              </w:rPr>
            </w:pPr>
            <w:r>
              <w:rPr>
                <w:rFonts w:hint="eastAsia" w:hAnsi="宋体" w:cs="宋体"/>
                <w:b/>
                <w:sz w:val="21"/>
              </w:rPr>
              <w:t>年基准费率</w:t>
            </w:r>
          </w:p>
        </w:tc>
      </w:tr>
      <w:tr>
        <w:tblPrEx>
          <w:tblCellMar>
            <w:top w:w="0" w:type="dxa"/>
            <w:left w:w="108" w:type="dxa"/>
            <w:bottom w:w="0" w:type="dxa"/>
            <w:right w:w="108" w:type="dxa"/>
          </w:tblCellMar>
        </w:tblPrEx>
        <w:trPr>
          <w:trHeight w:val="624" w:hRule="atLeast"/>
          <w:jc w:val="center"/>
        </w:trPr>
        <w:tc>
          <w:tcPr>
            <w:tcW w:w="1872" w:type="dxa"/>
            <w:tcBorders>
              <w:top w:val="single" w:color="auto" w:sz="4" w:space="0"/>
              <w:left w:val="single" w:color="000000" w:sz="4" w:space="0"/>
              <w:right w:val="single" w:color="auto" w:sz="4" w:space="0"/>
            </w:tcBorders>
          </w:tcPr>
          <w:p>
            <w:pPr>
              <w:spacing w:line="480" w:lineRule="auto"/>
              <w:ind w:firstLine="422" w:firstLineChars="200"/>
              <w:rPr>
                <w:rFonts w:hAnsi="宋体" w:cs="宋体"/>
                <w:b/>
                <w:sz w:val="21"/>
              </w:rPr>
            </w:pPr>
            <w:r>
              <w:rPr>
                <w:rFonts w:hint="eastAsia" w:hAnsi="宋体" w:cs="宋体"/>
                <w:b/>
                <w:sz w:val="21"/>
              </w:rPr>
              <w:t>基本责任</w:t>
            </w:r>
          </w:p>
        </w:tc>
        <w:tc>
          <w:tcPr>
            <w:tcW w:w="4269"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4"/>
              </w:rPr>
            </w:pPr>
            <w:r>
              <w:rPr>
                <w:rFonts w:hint="eastAsia" w:hAnsi="宋体" w:cs="宋体"/>
                <w:sz w:val="21"/>
              </w:rPr>
              <w:t>预防接种意外身故保险责任</w:t>
            </w:r>
          </w:p>
        </w:tc>
        <w:tc>
          <w:tcPr>
            <w:tcW w:w="1517" w:type="dxa"/>
            <w:tcBorders>
              <w:top w:val="single" w:color="auto" w:sz="4" w:space="0"/>
              <w:left w:val="single" w:color="auto" w:sz="4" w:space="0"/>
              <w:bottom w:val="single" w:color="auto" w:sz="4" w:space="0"/>
              <w:right w:val="single" w:color="000000" w:sz="4" w:space="0"/>
            </w:tcBorders>
            <w:vAlign w:val="center"/>
          </w:tcPr>
          <w:p>
            <w:pPr>
              <w:jc w:val="center"/>
              <w:rPr>
                <w:rFonts w:hAnsi="宋体" w:cs="宋体"/>
                <w:sz w:val="24"/>
              </w:rPr>
            </w:pPr>
            <w:r>
              <w:rPr>
                <w:rFonts w:hint="eastAsia" w:hAnsi="宋体" w:cs="宋体"/>
                <w:sz w:val="21"/>
              </w:rPr>
              <w:t>0.08‰</w:t>
            </w:r>
          </w:p>
        </w:tc>
      </w:tr>
      <w:tr>
        <w:tblPrEx>
          <w:tblCellMar>
            <w:top w:w="0" w:type="dxa"/>
            <w:left w:w="108" w:type="dxa"/>
            <w:bottom w:w="0" w:type="dxa"/>
            <w:right w:w="108" w:type="dxa"/>
          </w:tblCellMar>
        </w:tblPrEx>
        <w:trPr>
          <w:trHeight w:val="286" w:hRule="atLeast"/>
          <w:jc w:val="center"/>
        </w:trPr>
        <w:tc>
          <w:tcPr>
            <w:tcW w:w="1872" w:type="dxa"/>
            <w:vMerge w:val="restart"/>
            <w:tcBorders>
              <w:top w:val="single" w:color="auto" w:sz="4" w:space="0"/>
              <w:left w:val="single" w:color="auto" w:sz="4" w:space="0"/>
              <w:right w:val="single" w:color="auto" w:sz="4" w:space="0"/>
            </w:tcBorders>
          </w:tcPr>
          <w:p>
            <w:pPr>
              <w:spacing w:line="720" w:lineRule="auto"/>
              <w:ind w:firstLine="422" w:firstLineChars="200"/>
              <w:rPr>
                <w:rFonts w:hAnsi="宋体" w:cs="宋体"/>
                <w:sz w:val="21"/>
              </w:rPr>
            </w:pPr>
            <w:r>
              <w:rPr>
                <w:rFonts w:hint="eastAsia" w:hAnsi="宋体" w:cs="宋体"/>
                <w:b/>
                <w:sz w:val="21"/>
              </w:rPr>
              <w:t>可选责任</w:t>
            </w:r>
          </w:p>
        </w:tc>
        <w:tc>
          <w:tcPr>
            <w:tcW w:w="4269"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rPr>
            </w:pPr>
            <w:r>
              <w:rPr>
                <w:rFonts w:hint="eastAsia" w:hAnsi="宋体" w:cs="宋体"/>
                <w:sz w:val="21"/>
              </w:rPr>
              <w:t>预防接种意外</w:t>
            </w:r>
            <w:r>
              <w:rPr>
                <w:rFonts w:hint="eastAsia" w:hAnsi="宋体" w:cs="宋体"/>
                <w:sz w:val="21"/>
                <w:lang w:val="en-US" w:eastAsia="zh-CN"/>
              </w:rPr>
              <w:t>伤残</w:t>
            </w:r>
            <w:r>
              <w:rPr>
                <w:rFonts w:hint="eastAsia" w:hAnsi="宋体" w:cs="宋体"/>
                <w:sz w:val="21"/>
              </w:rPr>
              <w:t>保险责任</w:t>
            </w:r>
          </w:p>
        </w:tc>
        <w:tc>
          <w:tcPr>
            <w:tcW w:w="1517" w:type="dxa"/>
            <w:tcBorders>
              <w:top w:val="single" w:color="auto" w:sz="4" w:space="0"/>
              <w:left w:val="single" w:color="auto" w:sz="4" w:space="0"/>
              <w:bottom w:val="single" w:color="auto" w:sz="4" w:space="0"/>
              <w:right w:val="single" w:color="000000" w:sz="4" w:space="0"/>
            </w:tcBorders>
            <w:vAlign w:val="center"/>
          </w:tcPr>
          <w:p>
            <w:pPr>
              <w:jc w:val="center"/>
              <w:rPr>
                <w:rFonts w:hAnsi="宋体" w:cs="宋体"/>
                <w:sz w:val="21"/>
              </w:rPr>
            </w:pPr>
            <w:r>
              <w:rPr>
                <w:rFonts w:hint="eastAsia" w:hAnsi="宋体" w:cs="宋体"/>
                <w:sz w:val="21"/>
              </w:rPr>
              <w:t>0.04‰</w:t>
            </w:r>
          </w:p>
        </w:tc>
      </w:tr>
      <w:tr>
        <w:tblPrEx>
          <w:tblCellMar>
            <w:top w:w="0" w:type="dxa"/>
            <w:left w:w="108" w:type="dxa"/>
            <w:bottom w:w="0" w:type="dxa"/>
            <w:right w:w="108" w:type="dxa"/>
          </w:tblCellMar>
        </w:tblPrEx>
        <w:trPr>
          <w:trHeight w:val="286" w:hRule="atLeast"/>
          <w:jc w:val="center"/>
        </w:trPr>
        <w:tc>
          <w:tcPr>
            <w:tcW w:w="1872" w:type="dxa"/>
            <w:vMerge w:val="continue"/>
            <w:tcBorders>
              <w:left w:val="single" w:color="auto" w:sz="4" w:space="0"/>
              <w:right w:val="single" w:color="auto" w:sz="4" w:space="0"/>
            </w:tcBorders>
          </w:tcPr>
          <w:p>
            <w:pPr>
              <w:spacing w:line="720" w:lineRule="auto"/>
              <w:ind w:firstLine="420" w:firstLineChars="200"/>
              <w:rPr>
                <w:rFonts w:hAnsi="宋体" w:cs="宋体"/>
                <w:sz w:val="21"/>
              </w:rPr>
            </w:pPr>
          </w:p>
        </w:tc>
        <w:tc>
          <w:tcPr>
            <w:tcW w:w="4269"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rPr>
            </w:pPr>
            <w:r>
              <w:rPr>
                <w:rFonts w:hint="eastAsia" w:hAnsi="宋体" w:cs="宋体"/>
                <w:sz w:val="21"/>
              </w:rPr>
              <w:t>预防接种一般反应医疗保险责任</w:t>
            </w:r>
          </w:p>
        </w:tc>
        <w:tc>
          <w:tcPr>
            <w:tcW w:w="1517" w:type="dxa"/>
            <w:tcBorders>
              <w:top w:val="single" w:color="auto" w:sz="4" w:space="0"/>
              <w:left w:val="single" w:color="auto" w:sz="4" w:space="0"/>
              <w:bottom w:val="single" w:color="auto" w:sz="4" w:space="0"/>
              <w:right w:val="single" w:color="000000" w:sz="4" w:space="0"/>
            </w:tcBorders>
            <w:vAlign w:val="center"/>
          </w:tcPr>
          <w:p>
            <w:pPr>
              <w:jc w:val="center"/>
              <w:rPr>
                <w:rFonts w:hAnsi="宋体" w:cs="宋体"/>
                <w:sz w:val="21"/>
              </w:rPr>
            </w:pPr>
            <w:r>
              <w:rPr>
                <w:rFonts w:hint="eastAsia" w:hAnsi="宋体" w:cs="宋体"/>
                <w:sz w:val="21"/>
              </w:rPr>
              <w:t>0.5‰</w:t>
            </w:r>
          </w:p>
        </w:tc>
      </w:tr>
      <w:tr>
        <w:tblPrEx>
          <w:tblCellMar>
            <w:top w:w="0" w:type="dxa"/>
            <w:left w:w="108" w:type="dxa"/>
            <w:bottom w:w="0" w:type="dxa"/>
            <w:right w:w="108" w:type="dxa"/>
          </w:tblCellMar>
        </w:tblPrEx>
        <w:trPr>
          <w:trHeight w:val="286" w:hRule="atLeast"/>
          <w:jc w:val="center"/>
        </w:trPr>
        <w:tc>
          <w:tcPr>
            <w:tcW w:w="1872" w:type="dxa"/>
            <w:vMerge w:val="continue"/>
            <w:tcBorders>
              <w:left w:val="single" w:color="auto" w:sz="4" w:space="0"/>
              <w:right w:val="single" w:color="auto" w:sz="4" w:space="0"/>
            </w:tcBorders>
          </w:tcPr>
          <w:p>
            <w:pPr>
              <w:rPr>
                <w:rFonts w:hAnsi="宋体" w:cs="宋体"/>
                <w:sz w:val="21"/>
              </w:rPr>
            </w:pPr>
          </w:p>
        </w:tc>
        <w:tc>
          <w:tcPr>
            <w:tcW w:w="4269"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4"/>
              </w:rPr>
            </w:pPr>
            <w:r>
              <w:rPr>
                <w:rFonts w:hint="eastAsia" w:hAnsi="宋体" w:cs="宋体"/>
                <w:sz w:val="21"/>
              </w:rPr>
              <w:t>预防接种异常反应、偶合症医疗保险责任</w:t>
            </w:r>
          </w:p>
        </w:tc>
        <w:tc>
          <w:tcPr>
            <w:tcW w:w="1517" w:type="dxa"/>
            <w:tcBorders>
              <w:top w:val="single" w:color="auto" w:sz="4" w:space="0"/>
              <w:left w:val="single" w:color="auto" w:sz="4" w:space="0"/>
              <w:bottom w:val="single" w:color="auto" w:sz="4" w:space="0"/>
              <w:right w:val="single" w:color="000000" w:sz="4" w:space="0"/>
            </w:tcBorders>
            <w:vAlign w:val="center"/>
          </w:tcPr>
          <w:p>
            <w:pPr>
              <w:jc w:val="center"/>
              <w:rPr>
                <w:rFonts w:hAnsi="宋体" w:cs="宋体"/>
                <w:sz w:val="24"/>
              </w:rPr>
            </w:pPr>
            <w:r>
              <w:rPr>
                <w:rFonts w:hint="eastAsia" w:hAnsi="宋体" w:cs="宋体"/>
                <w:sz w:val="21"/>
              </w:rPr>
              <w:t>0.2‰</w:t>
            </w:r>
          </w:p>
        </w:tc>
      </w:tr>
      <w:tr>
        <w:tblPrEx>
          <w:tblCellMar>
            <w:top w:w="0" w:type="dxa"/>
            <w:left w:w="108" w:type="dxa"/>
            <w:bottom w:w="0" w:type="dxa"/>
            <w:right w:w="108" w:type="dxa"/>
          </w:tblCellMar>
        </w:tblPrEx>
        <w:trPr>
          <w:trHeight w:val="256" w:hRule="atLeast"/>
          <w:jc w:val="center"/>
        </w:trPr>
        <w:tc>
          <w:tcPr>
            <w:tcW w:w="1872" w:type="dxa"/>
            <w:vMerge w:val="continue"/>
            <w:tcBorders>
              <w:left w:val="single" w:color="auto" w:sz="4" w:space="0"/>
              <w:bottom w:val="single" w:color="auto" w:sz="4" w:space="0"/>
              <w:right w:val="single" w:color="auto" w:sz="4" w:space="0"/>
            </w:tcBorders>
          </w:tcPr>
          <w:p>
            <w:pPr>
              <w:rPr>
                <w:rFonts w:hAnsi="宋体" w:cs="宋体"/>
                <w:sz w:val="21"/>
              </w:rPr>
            </w:pPr>
          </w:p>
        </w:tc>
        <w:tc>
          <w:tcPr>
            <w:tcW w:w="4269" w:type="dxa"/>
            <w:tcBorders>
              <w:top w:val="single" w:color="auto" w:sz="4" w:space="0"/>
              <w:left w:val="single" w:color="auto" w:sz="4" w:space="0"/>
              <w:bottom w:val="single" w:color="000000" w:sz="4" w:space="0"/>
              <w:right w:val="single" w:color="auto" w:sz="4" w:space="0"/>
            </w:tcBorders>
            <w:vAlign w:val="center"/>
          </w:tcPr>
          <w:p>
            <w:pPr>
              <w:jc w:val="center"/>
              <w:rPr>
                <w:rFonts w:hAnsi="宋体" w:cs="宋体"/>
                <w:sz w:val="24"/>
              </w:rPr>
            </w:pPr>
            <w:r>
              <w:rPr>
                <w:rFonts w:hint="eastAsia" w:hAnsi="宋体" w:cs="宋体"/>
                <w:sz w:val="21"/>
              </w:rPr>
              <w:t>住院津贴保险责任</w:t>
            </w:r>
          </w:p>
        </w:tc>
        <w:tc>
          <w:tcPr>
            <w:tcW w:w="1517" w:type="dxa"/>
            <w:tcBorders>
              <w:top w:val="single" w:color="auto" w:sz="4" w:space="0"/>
              <w:left w:val="single" w:color="auto" w:sz="4" w:space="0"/>
              <w:bottom w:val="single" w:color="000000" w:sz="4" w:space="0"/>
              <w:right w:val="single" w:color="000000" w:sz="4" w:space="0"/>
            </w:tcBorders>
            <w:vAlign w:val="center"/>
          </w:tcPr>
          <w:p>
            <w:pPr>
              <w:jc w:val="center"/>
              <w:rPr>
                <w:rFonts w:hAnsi="宋体" w:cs="宋体"/>
                <w:sz w:val="24"/>
              </w:rPr>
            </w:pPr>
            <w:r>
              <w:rPr>
                <w:rFonts w:hint="eastAsia" w:hAnsi="宋体" w:cs="宋体"/>
                <w:sz w:val="21"/>
              </w:rPr>
              <w:t>每10元/日津贴保费0.7元</w:t>
            </w:r>
          </w:p>
        </w:tc>
      </w:tr>
    </w:tbl>
    <w:p>
      <w:pPr>
        <w:widowControl/>
        <w:spacing w:after="156"/>
        <w:rPr>
          <w:b/>
          <w:sz w:val="21"/>
        </w:rPr>
      </w:pPr>
      <w:r>
        <w:rPr>
          <w:rFonts w:hint="eastAsia"/>
          <w:b/>
          <w:sz w:val="21"/>
        </w:rPr>
        <w:t>（二）按次收费</w:t>
      </w:r>
    </w:p>
    <w:tbl>
      <w:tblPr>
        <w:tblStyle w:val="7"/>
        <w:tblW w:w="76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4269"/>
        <w:gridCol w:w="1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6179" w:type="dxa"/>
            <w:gridSpan w:val="2"/>
            <w:tcBorders>
              <w:top w:val="single" w:color="auto" w:sz="4" w:space="0"/>
              <w:left w:val="single" w:color="auto" w:sz="4" w:space="0"/>
              <w:bottom w:val="single" w:color="auto" w:sz="4" w:space="0"/>
              <w:right w:val="single" w:color="auto" w:sz="4" w:space="0"/>
            </w:tcBorders>
          </w:tcPr>
          <w:p>
            <w:pPr>
              <w:widowControl/>
              <w:jc w:val="center"/>
              <w:rPr>
                <w:rFonts w:hAnsi="宋体" w:cs="宋体"/>
                <w:b/>
                <w:sz w:val="21"/>
              </w:rPr>
            </w:pPr>
            <w:r>
              <w:rPr>
                <w:rFonts w:hint="eastAsia" w:hAnsi="宋体" w:cs="宋体"/>
                <w:b/>
                <w:sz w:val="21"/>
              </w:rPr>
              <w:t>保险责任</w:t>
            </w:r>
          </w:p>
        </w:tc>
        <w:tc>
          <w:tcPr>
            <w:tcW w:w="1517"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cs="宋体"/>
                <w:b/>
                <w:sz w:val="21"/>
              </w:rPr>
            </w:pPr>
            <w:r>
              <w:rPr>
                <w:rFonts w:hint="eastAsia" w:hAnsi="宋体" w:cs="宋体"/>
                <w:b/>
                <w:sz w:val="21"/>
              </w:rPr>
              <w:t>次基准费率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910" w:type="dxa"/>
            <w:tcBorders>
              <w:top w:val="single" w:color="auto" w:sz="4" w:space="0"/>
              <w:left w:val="single" w:color="auto" w:sz="4" w:space="0"/>
              <w:right w:val="single" w:color="auto" w:sz="4" w:space="0"/>
            </w:tcBorders>
          </w:tcPr>
          <w:p>
            <w:pPr>
              <w:spacing w:line="480" w:lineRule="auto"/>
              <w:ind w:firstLine="422" w:firstLineChars="200"/>
              <w:rPr>
                <w:rFonts w:hAnsi="宋体" w:cs="宋体"/>
                <w:sz w:val="21"/>
              </w:rPr>
            </w:pPr>
            <w:r>
              <w:rPr>
                <w:rFonts w:hint="eastAsia" w:hAnsi="宋体" w:cs="宋体"/>
                <w:b/>
                <w:sz w:val="21"/>
              </w:rPr>
              <w:t>基本责任</w:t>
            </w:r>
          </w:p>
        </w:tc>
        <w:tc>
          <w:tcPr>
            <w:tcW w:w="4269"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4"/>
              </w:rPr>
            </w:pPr>
            <w:r>
              <w:rPr>
                <w:rFonts w:hint="eastAsia" w:hAnsi="宋体" w:cs="宋体"/>
                <w:sz w:val="21"/>
              </w:rPr>
              <w:t>预防接种意外身故保险责任</w:t>
            </w:r>
          </w:p>
        </w:tc>
        <w:tc>
          <w:tcPr>
            <w:tcW w:w="1517"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rPr>
            </w:pPr>
            <w:r>
              <w:rPr>
                <w:rFonts w:hint="eastAsia" w:hAnsi="宋体" w:cs="宋体"/>
                <w:sz w:val="21"/>
              </w:rPr>
              <w:t>0.015‰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910" w:type="dxa"/>
            <w:vMerge w:val="restart"/>
            <w:tcBorders>
              <w:left w:val="single" w:color="auto" w:sz="4" w:space="0"/>
              <w:right w:val="single" w:color="auto" w:sz="4" w:space="0"/>
            </w:tcBorders>
          </w:tcPr>
          <w:p>
            <w:pPr>
              <w:spacing w:line="720" w:lineRule="auto"/>
              <w:ind w:firstLine="422" w:firstLineChars="200"/>
              <w:rPr>
                <w:rFonts w:hAnsi="宋体" w:cs="宋体"/>
                <w:sz w:val="21"/>
              </w:rPr>
            </w:pPr>
            <w:r>
              <w:rPr>
                <w:rFonts w:hint="eastAsia" w:hAnsi="宋体" w:cs="宋体"/>
                <w:b/>
                <w:sz w:val="21"/>
              </w:rPr>
              <w:t>可选责任</w:t>
            </w:r>
          </w:p>
        </w:tc>
        <w:tc>
          <w:tcPr>
            <w:tcW w:w="4269"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4"/>
              </w:rPr>
            </w:pPr>
            <w:r>
              <w:rPr>
                <w:rFonts w:hint="eastAsia" w:hAnsi="宋体" w:cs="宋体"/>
                <w:sz w:val="21"/>
              </w:rPr>
              <w:t>预防接种意外</w:t>
            </w:r>
            <w:r>
              <w:rPr>
                <w:rFonts w:hint="eastAsia" w:hAnsi="宋体" w:cs="宋体"/>
                <w:sz w:val="21"/>
                <w:lang w:val="en-US" w:eastAsia="zh-CN"/>
              </w:rPr>
              <w:t>伤残</w:t>
            </w:r>
            <w:r>
              <w:rPr>
                <w:rFonts w:hint="eastAsia" w:hAnsi="宋体" w:cs="宋体"/>
                <w:sz w:val="21"/>
              </w:rPr>
              <w:t>保险责任</w:t>
            </w:r>
          </w:p>
        </w:tc>
        <w:tc>
          <w:tcPr>
            <w:tcW w:w="1517"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rPr>
            </w:pPr>
            <w:r>
              <w:rPr>
                <w:rFonts w:hint="eastAsia" w:hAnsi="宋体" w:cs="宋体"/>
                <w:sz w:val="21"/>
              </w:rPr>
              <w:t>0.005‰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910" w:type="dxa"/>
            <w:vMerge w:val="continue"/>
            <w:tcBorders>
              <w:left w:val="single" w:color="auto" w:sz="4" w:space="0"/>
              <w:right w:val="single" w:color="auto" w:sz="4" w:space="0"/>
            </w:tcBorders>
          </w:tcPr>
          <w:p>
            <w:pPr>
              <w:spacing w:line="720" w:lineRule="auto"/>
              <w:ind w:firstLine="420" w:firstLineChars="200"/>
              <w:rPr>
                <w:rFonts w:hAnsi="宋体" w:cs="宋体"/>
                <w:sz w:val="21"/>
              </w:rPr>
            </w:pPr>
          </w:p>
        </w:tc>
        <w:tc>
          <w:tcPr>
            <w:tcW w:w="4269"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rPr>
            </w:pPr>
            <w:r>
              <w:rPr>
                <w:rFonts w:hint="eastAsia" w:hAnsi="宋体" w:cs="宋体"/>
                <w:sz w:val="21"/>
              </w:rPr>
              <w:t>预防接种一般反应医疗保险责任</w:t>
            </w:r>
          </w:p>
        </w:tc>
        <w:tc>
          <w:tcPr>
            <w:tcW w:w="1517" w:type="dxa"/>
            <w:tcBorders>
              <w:top w:val="single" w:color="auto" w:sz="4" w:space="0"/>
              <w:left w:val="single" w:color="auto" w:sz="4" w:space="0"/>
              <w:bottom w:val="single" w:color="auto" w:sz="4" w:space="0"/>
              <w:right w:val="single" w:color="auto" w:sz="4" w:space="0"/>
            </w:tcBorders>
          </w:tcPr>
          <w:p>
            <w:pPr>
              <w:jc w:val="center"/>
              <w:rPr>
                <w:rFonts w:hAnsi="宋体" w:cs="宋体"/>
                <w:sz w:val="21"/>
              </w:rPr>
            </w:pPr>
            <w:r>
              <w:rPr>
                <w:rFonts w:hint="eastAsia" w:hAnsi="宋体" w:cs="宋体"/>
                <w:sz w:val="21"/>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910" w:type="dxa"/>
            <w:vMerge w:val="continue"/>
            <w:tcBorders>
              <w:left w:val="single" w:color="auto" w:sz="4" w:space="0"/>
              <w:right w:val="single" w:color="auto" w:sz="4" w:space="0"/>
            </w:tcBorders>
          </w:tcPr>
          <w:p>
            <w:pPr>
              <w:rPr>
                <w:rFonts w:hAnsi="宋体" w:cs="宋体"/>
                <w:sz w:val="21"/>
              </w:rPr>
            </w:pPr>
          </w:p>
        </w:tc>
        <w:tc>
          <w:tcPr>
            <w:tcW w:w="4269"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4"/>
              </w:rPr>
            </w:pPr>
            <w:r>
              <w:rPr>
                <w:rFonts w:hint="eastAsia" w:hAnsi="宋体" w:cs="宋体"/>
                <w:sz w:val="21"/>
              </w:rPr>
              <w:t>预防接种异常反应、偶合症医疗保险责任</w:t>
            </w:r>
          </w:p>
        </w:tc>
        <w:tc>
          <w:tcPr>
            <w:tcW w:w="1517"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rPr>
            </w:pPr>
            <w:r>
              <w:rPr>
                <w:rFonts w:hint="eastAsia" w:hAnsi="宋体" w:cs="宋体"/>
                <w:sz w:val="21"/>
              </w:rPr>
              <w:t>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1910" w:type="dxa"/>
            <w:vMerge w:val="continue"/>
            <w:tcBorders>
              <w:left w:val="single" w:color="auto" w:sz="4" w:space="0"/>
              <w:bottom w:val="single" w:color="auto" w:sz="4" w:space="0"/>
              <w:right w:val="single" w:color="auto" w:sz="4" w:space="0"/>
            </w:tcBorders>
          </w:tcPr>
          <w:p>
            <w:pPr>
              <w:rPr>
                <w:rFonts w:hAnsi="宋体" w:cs="宋体"/>
                <w:color w:val="000000"/>
                <w:sz w:val="21"/>
              </w:rPr>
            </w:pPr>
          </w:p>
        </w:tc>
        <w:tc>
          <w:tcPr>
            <w:tcW w:w="4269"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color w:val="000000"/>
                <w:sz w:val="21"/>
              </w:rPr>
            </w:pPr>
            <w:r>
              <w:rPr>
                <w:rFonts w:hint="eastAsia" w:hAnsi="宋体" w:cs="宋体"/>
                <w:color w:val="000000"/>
                <w:sz w:val="21"/>
              </w:rPr>
              <w:t>住院津贴保险责任</w:t>
            </w:r>
          </w:p>
        </w:tc>
        <w:tc>
          <w:tcPr>
            <w:tcW w:w="1517"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color w:val="000000"/>
                <w:sz w:val="21"/>
              </w:rPr>
            </w:pPr>
            <w:r>
              <w:rPr>
                <w:rFonts w:hint="eastAsia" w:hAnsi="宋体" w:cs="宋体"/>
                <w:color w:val="000000"/>
                <w:sz w:val="21"/>
              </w:rPr>
              <w:t>每10元/日津贴保费0.7元</w:t>
            </w:r>
          </w:p>
        </w:tc>
      </w:tr>
    </w:tbl>
    <w:p>
      <w:pPr>
        <w:widowControl/>
        <w:spacing w:after="156"/>
        <w:rPr>
          <w:b/>
          <w:sz w:val="21"/>
        </w:rPr>
      </w:pPr>
    </w:p>
    <w:p>
      <w:pPr>
        <w:widowControl/>
        <w:spacing w:after="156"/>
        <w:rPr>
          <w:b/>
          <w:sz w:val="21"/>
        </w:rPr>
      </w:pPr>
      <w:r>
        <w:rPr>
          <w:rFonts w:hint="eastAsia"/>
          <w:b/>
          <w:sz w:val="21"/>
        </w:rPr>
        <w:t>二、调整系数</w:t>
      </w:r>
    </w:p>
    <w:p>
      <w:pPr>
        <w:widowControl/>
        <w:spacing w:after="156"/>
        <w:ind w:firstLine="420" w:firstLineChars="200"/>
        <w:rPr>
          <w:sz w:val="21"/>
        </w:rPr>
      </w:pPr>
      <w:r>
        <w:rPr>
          <w:sz w:val="21"/>
        </w:rPr>
        <w:t>1</w:t>
      </w:r>
      <w:r>
        <w:rPr>
          <w:rFonts w:hint="eastAsia"/>
          <w:sz w:val="21"/>
        </w:rPr>
        <w:t>、人数规模调整系数：根据承保人数规模，进行划分。</w:t>
      </w:r>
    </w:p>
    <w:tbl>
      <w:tblPr>
        <w:tblStyle w:val="7"/>
        <w:tblW w:w="7144" w:type="dxa"/>
        <w:jc w:val="center"/>
        <w:tblLayout w:type="fixed"/>
        <w:tblCellMar>
          <w:top w:w="0" w:type="dxa"/>
          <w:left w:w="108" w:type="dxa"/>
          <w:bottom w:w="0" w:type="dxa"/>
          <w:right w:w="108" w:type="dxa"/>
        </w:tblCellMar>
      </w:tblPr>
      <w:tblGrid>
        <w:gridCol w:w="4108"/>
        <w:gridCol w:w="3036"/>
      </w:tblGrid>
      <w:tr>
        <w:tblPrEx>
          <w:tblCellMar>
            <w:top w:w="0" w:type="dxa"/>
            <w:left w:w="108" w:type="dxa"/>
            <w:bottom w:w="0" w:type="dxa"/>
            <w:right w:w="108" w:type="dxa"/>
          </w:tblCellMar>
        </w:tblPrEx>
        <w:trPr>
          <w:trHeight w:val="285" w:hRule="atLeast"/>
          <w:jc w:val="center"/>
        </w:trPr>
        <w:tc>
          <w:tcPr>
            <w:tcW w:w="4108"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rFonts w:hint="eastAsia"/>
                <w:sz w:val="21"/>
              </w:rPr>
              <w:t>人数规模</w:t>
            </w:r>
          </w:p>
        </w:tc>
        <w:tc>
          <w:tcPr>
            <w:tcW w:w="3036"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rFonts w:hint="eastAsia"/>
                <w:sz w:val="21"/>
              </w:rPr>
              <w:t>调整系数</w:t>
            </w:r>
          </w:p>
        </w:tc>
      </w:tr>
      <w:tr>
        <w:tblPrEx>
          <w:tblCellMar>
            <w:top w:w="0" w:type="dxa"/>
            <w:left w:w="108" w:type="dxa"/>
            <w:bottom w:w="0" w:type="dxa"/>
            <w:right w:w="108" w:type="dxa"/>
          </w:tblCellMar>
        </w:tblPrEx>
        <w:trPr>
          <w:trHeight w:val="285" w:hRule="atLeast"/>
          <w:jc w:val="center"/>
        </w:trPr>
        <w:tc>
          <w:tcPr>
            <w:tcW w:w="4108"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1</w:t>
            </w:r>
            <w:r>
              <w:rPr>
                <w:rFonts w:hint="eastAsia"/>
                <w:sz w:val="21"/>
              </w:rPr>
              <w:t>万人以上</w:t>
            </w:r>
          </w:p>
        </w:tc>
        <w:tc>
          <w:tcPr>
            <w:tcW w:w="3036"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[0.6</w:t>
            </w:r>
            <w:r>
              <w:rPr>
                <w:rFonts w:hint="eastAsia"/>
                <w:sz w:val="21"/>
              </w:rPr>
              <w:t>,0.</w:t>
            </w:r>
            <w:r>
              <w:rPr>
                <w:sz w:val="21"/>
              </w:rPr>
              <w:t>8)</w:t>
            </w:r>
          </w:p>
        </w:tc>
      </w:tr>
      <w:tr>
        <w:tblPrEx>
          <w:tblCellMar>
            <w:top w:w="0" w:type="dxa"/>
            <w:left w:w="108" w:type="dxa"/>
            <w:bottom w:w="0" w:type="dxa"/>
            <w:right w:w="108" w:type="dxa"/>
          </w:tblCellMar>
        </w:tblPrEx>
        <w:trPr>
          <w:trHeight w:val="285" w:hRule="atLeast"/>
          <w:jc w:val="center"/>
        </w:trPr>
        <w:tc>
          <w:tcPr>
            <w:tcW w:w="4108"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5000</w:t>
            </w:r>
            <w:r>
              <w:rPr>
                <w:rFonts w:hint="eastAsia"/>
                <w:sz w:val="21"/>
              </w:rPr>
              <w:t>人-1万人（含）</w:t>
            </w:r>
          </w:p>
        </w:tc>
        <w:tc>
          <w:tcPr>
            <w:tcW w:w="3036"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[0.8</w:t>
            </w:r>
            <w:r>
              <w:rPr>
                <w:rFonts w:hint="eastAsia"/>
                <w:sz w:val="21"/>
              </w:rPr>
              <w:t>,</w:t>
            </w:r>
            <w:r>
              <w:rPr>
                <w:sz w:val="21"/>
              </w:rPr>
              <w:t>1.0)</w:t>
            </w:r>
          </w:p>
        </w:tc>
      </w:tr>
      <w:tr>
        <w:tblPrEx>
          <w:tblCellMar>
            <w:top w:w="0" w:type="dxa"/>
            <w:left w:w="108" w:type="dxa"/>
            <w:bottom w:w="0" w:type="dxa"/>
            <w:right w:w="108" w:type="dxa"/>
          </w:tblCellMar>
        </w:tblPrEx>
        <w:trPr>
          <w:trHeight w:val="285" w:hRule="atLeast"/>
          <w:jc w:val="center"/>
        </w:trPr>
        <w:tc>
          <w:tcPr>
            <w:tcW w:w="4108"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2000</w:t>
            </w:r>
            <w:r>
              <w:rPr>
                <w:rFonts w:hint="eastAsia"/>
                <w:sz w:val="21"/>
              </w:rPr>
              <w:t>人（含）-5000人（含）</w:t>
            </w:r>
          </w:p>
        </w:tc>
        <w:tc>
          <w:tcPr>
            <w:tcW w:w="3036"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[1.0</w:t>
            </w:r>
            <w:r>
              <w:rPr>
                <w:rFonts w:hint="eastAsia"/>
                <w:sz w:val="21"/>
              </w:rPr>
              <w:t>,1.</w:t>
            </w:r>
            <w:r>
              <w:rPr>
                <w:sz w:val="21"/>
              </w:rPr>
              <w:t>2]</w:t>
            </w:r>
          </w:p>
        </w:tc>
      </w:tr>
      <w:tr>
        <w:tblPrEx>
          <w:tblCellMar>
            <w:top w:w="0" w:type="dxa"/>
            <w:left w:w="108" w:type="dxa"/>
            <w:bottom w:w="0" w:type="dxa"/>
            <w:right w:w="108" w:type="dxa"/>
          </w:tblCellMar>
        </w:tblPrEx>
        <w:trPr>
          <w:trHeight w:val="285" w:hRule="atLeast"/>
          <w:jc w:val="center"/>
        </w:trPr>
        <w:tc>
          <w:tcPr>
            <w:tcW w:w="4108"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2000</w:t>
            </w:r>
            <w:r>
              <w:rPr>
                <w:rFonts w:hint="eastAsia"/>
                <w:sz w:val="21"/>
              </w:rPr>
              <w:t>人以下</w:t>
            </w:r>
          </w:p>
        </w:tc>
        <w:tc>
          <w:tcPr>
            <w:tcW w:w="3036"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(1.2</w:t>
            </w:r>
            <w:r>
              <w:rPr>
                <w:rFonts w:hint="eastAsia"/>
                <w:sz w:val="21"/>
              </w:rPr>
              <w:t>,1.</w:t>
            </w:r>
            <w:r>
              <w:rPr>
                <w:sz w:val="21"/>
              </w:rPr>
              <w:t>5]</w:t>
            </w:r>
          </w:p>
        </w:tc>
      </w:tr>
    </w:tbl>
    <w:p>
      <w:pPr>
        <w:widowControl/>
        <w:spacing w:after="156"/>
        <w:ind w:firstLine="420" w:firstLineChars="200"/>
        <w:rPr>
          <w:sz w:val="21"/>
        </w:rPr>
      </w:pPr>
      <w:r>
        <w:rPr>
          <w:sz w:val="21"/>
        </w:rPr>
        <w:t>2</w:t>
      </w:r>
      <w:r>
        <w:rPr>
          <w:rFonts w:hint="eastAsia"/>
          <w:sz w:val="21"/>
        </w:rPr>
        <w:t>、历史赔付率调整系数：根据渠道近三年赔付率，进行划分。</w:t>
      </w:r>
    </w:p>
    <w:tbl>
      <w:tblPr>
        <w:tblStyle w:val="7"/>
        <w:tblW w:w="8522" w:type="dxa"/>
        <w:tblInd w:w="108" w:type="dxa"/>
        <w:tblLayout w:type="fixed"/>
        <w:tblCellMar>
          <w:top w:w="0" w:type="dxa"/>
          <w:left w:w="108" w:type="dxa"/>
          <w:bottom w:w="0" w:type="dxa"/>
          <w:right w:w="108" w:type="dxa"/>
        </w:tblCellMar>
      </w:tblPr>
      <w:tblGrid>
        <w:gridCol w:w="4440"/>
        <w:gridCol w:w="4082"/>
      </w:tblGrid>
      <w:tr>
        <w:tblPrEx>
          <w:tblCellMar>
            <w:top w:w="0" w:type="dxa"/>
            <w:left w:w="108" w:type="dxa"/>
            <w:bottom w:w="0" w:type="dxa"/>
            <w:right w:w="108" w:type="dxa"/>
          </w:tblCellMar>
        </w:tblPrEx>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rFonts w:hint="eastAsia"/>
                <w:sz w:val="21"/>
              </w:rPr>
              <w:t>历史赔付率</w:t>
            </w:r>
          </w:p>
        </w:tc>
        <w:tc>
          <w:tcPr>
            <w:tcW w:w="4082"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rFonts w:hint="eastAsia"/>
                <w:sz w:val="21"/>
              </w:rPr>
              <w:t>调整系数</w:t>
            </w:r>
          </w:p>
        </w:tc>
      </w:tr>
      <w:tr>
        <w:tblPrEx>
          <w:tblCellMar>
            <w:top w:w="0" w:type="dxa"/>
            <w:left w:w="108" w:type="dxa"/>
            <w:bottom w:w="0" w:type="dxa"/>
            <w:right w:w="108" w:type="dxa"/>
          </w:tblCellMar>
        </w:tblPrEx>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0%</w:t>
            </w:r>
            <w:r>
              <w:rPr>
                <w:rFonts w:hint="eastAsia"/>
                <w:sz w:val="21"/>
              </w:rPr>
              <w:t>（含）-20%</w:t>
            </w:r>
          </w:p>
        </w:tc>
        <w:tc>
          <w:tcPr>
            <w:tcW w:w="4082" w:type="dxa"/>
            <w:tcBorders>
              <w:top w:val="single" w:color="000000" w:sz="4" w:space="0"/>
              <w:left w:val="nil"/>
              <w:bottom w:val="single" w:color="000000" w:sz="4" w:space="0"/>
              <w:right w:val="single" w:color="000000" w:sz="4" w:space="0"/>
            </w:tcBorders>
            <w:vAlign w:val="center"/>
          </w:tcPr>
          <w:p>
            <w:pPr>
              <w:widowControl/>
              <w:snapToGrid w:val="0"/>
              <w:spacing w:after="156" w:line="312" w:lineRule="auto"/>
              <w:jc w:val="center"/>
              <w:rPr>
                <w:sz w:val="21"/>
              </w:rPr>
            </w:pPr>
            <w:r>
              <w:rPr>
                <w:sz w:val="21"/>
              </w:rPr>
              <w:t>[0.5</w:t>
            </w:r>
            <w:r>
              <w:rPr>
                <w:rFonts w:hint="eastAsia"/>
                <w:sz w:val="21"/>
              </w:rPr>
              <w:t>,0.7</w:t>
            </w:r>
            <w:r>
              <w:rPr>
                <w:sz w:val="21"/>
              </w:rPr>
              <w:t>)</w:t>
            </w:r>
          </w:p>
        </w:tc>
      </w:tr>
      <w:tr>
        <w:tblPrEx>
          <w:tblCellMar>
            <w:top w:w="0" w:type="dxa"/>
            <w:left w:w="108" w:type="dxa"/>
            <w:bottom w:w="0" w:type="dxa"/>
            <w:right w:w="108" w:type="dxa"/>
          </w:tblCellMar>
        </w:tblPrEx>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20%</w:t>
            </w:r>
            <w:r>
              <w:rPr>
                <w:rFonts w:hint="eastAsia"/>
                <w:sz w:val="21"/>
              </w:rPr>
              <w:t>（含）-30%</w:t>
            </w:r>
          </w:p>
        </w:tc>
        <w:tc>
          <w:tcPr>
            <w:tcW w:w="4082" w:type="dxa"/>
            <w:tcBorders>
              <w:top w:val="single" w:color="000000" w:sz="4" w:space="0"/>
              <w:left w:val="nil"/>
              <w:bottom w:val="single" w:color="000000" w:sz="4" w:space="0"/>
              <w:right w:val="single" w:color="000000" w:sz="4" w:space="0"/>
            </w:tcBorders>
            <w:vAlign w:val="center"/>
          </w:tcPr>
          <w:p>
            <w:pPr>
              <w:widowControl/>
              <w:snapToGrid w:val="0"/>
              <w:spacing w:after="156" w:line="312" w:lineRule="auto"/>
              <w:jc w:val="center"/>
              <w:rPr>
                <w:sz w:val="21"/>
              </w:rPr>
            </w:pPr>
            <w:r>
              <w:rPr>
                <w:sz w:val="21"/>
              </w:rPr>
              <w:t>[0.7</w:t>
            </w:r>
            <w:r>
              <w:rPr>
                <w:rFonts w:hint="eastAsia"/>
                <w:sz w:val="21"/>
              </w:rPr>
              <w:t>,0.85</w:t>
            </w:r>
            <w:r>
              <w:rPr>
                <w:sz w:val="21"/>
              </w:rPr>
              <w:t>)</w:t>
            </w:r>
          </w:p>
        </w:tc>
      </w:tr>
      <w:tr>
        <w:tblPrEx>
          <w:tblCellMar>
            <w:top w:w="0" w:type="dxa"/>
            <w:left w:w="108" w:type="dxa"/>
            <w:bottom w:w="0" w:type="dxa"/>
            <w:right w:w="108" w:type="dxa"/>
          </w:tblCellMar>
        </w:tblPrEx>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30%</w:t>
            </w:r>
            <w:r>
              <w:rPr>
                <w:rFonts w:hint="eastAsia"/>
                <w:sz w:val="21"/>
              </w:rPr>
              <w:t>（含）-40%</w:t>
            </w:r>
          </w:p>
        </w:tc>
        <w:tc>
          <w:tcPr>
            <w:tcW w:w="4082" w:type="dxa"/>
            <w:tcBorders>
              <w:top w:val="single" w:color="000000" w:sz="4" w:space="0"/>
              <w:left w:val="nil"/>
              <w:bottom w:val="single" w:color="000000" w:sz="4" w:space="0"/>
              <w:right w:val="single" w:color="000000" w:sz="4" w:space="0"/>
            </w:tcBorders>
            <w:vAlign w:val="center"/>
          </w:tcPr>
          <w:p>
            <w:pPr>
              <w:widowControl/>
              <w:snapToGrid w:val="0"/>
              <w:spacing w:after="156" w:line="312" w:lineRule="auto"/>
              <w:jc w:val="center"/>
              <w:rPr>
                <w:sz w:val="21"/>
              </w:rPr>
            </w:pPr>
            <w:r>
              <w:rPr>
                <w:sz w:val="21"/>
              </w:rPr>
              <w:t>[0.85</w:t>
            </w:r>
            <w:r>
              <w:rPr>
                <w:rFonts w:hint="eastAsia"/>
                <w:sz w:val="21"/>
              </w:rPr>
              <w:t>,1.0</w:t>
            </w:r>
            <w:r>
              <w:rPr>
                <w:sz w:val="21"/>
              </w:rPr>
              <w:t>)</w:t>
            </w:r>
          </w:p>
        </w:tc>
      </w:tr>
      <w:tr>
        <w:tblPrEx>
          <w:tblCellMar>
            <w:top w:w="0" w:type="dxa"/>
            <w:left w:w="108" w:type="dxa"/>
            <w:bottom w:w="0" w:type="dxa"/>
            <w:right w:w="108" w:type="dxa"/>
          </w:tblCellMar>
        </w:tblPrEx>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40%</w:t>
            </w:r>
            <w:r>
              <w:rPr>
                <w:rFonts w:hint="eastAsia"/>
                <w:sz w:val="21"/>
              </w:rPr>
              <w:t>（含）-50%</w:t>
            </w:r>
          </w:p>
        </w:tc>
        <w:tc>
          <w:tcPr>
            <w:tcW w:w="4082" w:type="dxa"/>
            <w:tcBorders>
              <w:top w:val="single" w:color="000000" w:sz="4" w:space="0"/>
              <w:left w:val="nil"/>
              <w:bottom w:val="single" w:color="000000" w:sz="4" w:space="0"/>
              <w:right w:val="single" w:color="000000" w:sz="4" w:space="0"/>
            </w:tcBorders>
            <w:vAlign w:val="center"/>
          </w:tcPr>
          <w:p>
            <w:pPr>
              <w:widowControl/>
              <w:snapToGrid w:val="0"/>
              <w:spacing w:after="156" w:line="312" w:lineRule="auto"/>
              <w:jc w:val="center"/>
              <w:rPr>
                <w:sz w:val="21"/>
              </w:rPr>
            </w:pPr>
            <w:r>
              <w:rPr>
                <w:sz w:val="21"/>
              </w:rPr>
              <w:t>[1.0</w:t>
            </w:r>
            <w:r>
              <w:rPr>
                <w:rFonts w:hint="eastAsia"/>
                <w:sz w:val="21"/>
              </w:rPr>
              <w:t>,1.2</w:t>
            </w:r>
            <w:r>
              <w:rPr>
                <w:sz w:val="21"/>
              </w:rPr>
              <w:t>)</w:t>
            </w:r>
          </w:p>
        </w:tc>
      </w:tr>
      <w:tr>
        <w:tblPrEx>
          <w:tblCellMar>
            <w:top w:w="0" w:type="dxa"/>
            <w:left w:w="108" w:type="dxa"/>
            <w:bottom w:w="0" w:type="dxa"/>
            <w:right w:w="108" w:type="dxa"/>
          </w:tblCellMar>
        </w:tblPrEx>
        <w:trPr>
          <w:trHeight w:val="445"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50%</w:t>
            </w:r>
            <w:r>
              <w:rPr>
                <w:rFonts w:hint="eastAsia"/>
                <w:sz w:val="21"/>
              </w:rPr>
              <w:t>（含）以上</w:t>
            </w:r>
          </w:p>
        </w:tc>
        <w:tc>
          <w:tcPr>
            <w:tcW w:w="4082"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[1.2</w:t>
            </w:r>
            <w:r>
              <w:rPr>
                <w:rFonts w:hint="eastAsia"/>
                <w:sz w:val="21"/>
              </w:rPr>
              <w:t>,</w:t>
            </w:r>
            <w:r>
              <w:rPr>
                <w:sz w:val="21"/>
              </w:rPr>
              <w:t>2.0)</w:t>
            </w:r>
          </w:p>
        </w:tc>
      </w:tr>
      <w:tr>
        <w:tblPrEx>
          <w:tblCellMar>
            <w:top w:w="0" w:type="dxa"/>
            <w:left w:w="108" w:type="dxa"/>
            <w:bottom w:w="0" w:type="dxa"/>
            <w:right w:w="108" w:type="dxa"/>
          </w:tblCellMar>
        </w:tblPrEx>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rFonts w:hint="eastAsia"/>
                <w:sz w:val="21"/>
              </w:rPr>
              <w:t>无历史赔付率</w:t>
            </w:r>
          </w:p>
        </w:tc>
        <w:tc>
          <w:tcPr>
            <w:tcW w:w="4082"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1.0</w:t>
            </w:r>
          </w:p>
        </w:tc>
      </w:tr>
    </w:tbl>
    <w:p>
      <w:pPr>
        <w:widowControl/>
        <w:spacing w:after="156"/>
        <w:ind w:firstLine="420" w:firstLineChars="200"/>
        <w:rPr>
          <w:sz w:val="21"/>
        </w:rPr>
      </w:pPr>
      <w:r>
        <w:rPr>
          <w:sz w:val="21"/>
        </w:rPr>
        <w:t>3</w:t>
      </w:r>
      <w:r>
        <w:rPr>
          <w:rFonts w:hint="eastAsia"/>
          <w:sz w:val="21"/>
        </w:rPr>
        <w:t>、疫苗种类调整系数：根据疫苗种类进行划分。</w:t>
      </w:r>
    </w:p>
    <w:tbl>
      <w:tblPr>
        <w:tblStyle w:val="7"/>
        <w:tblW w:w="85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single" w:color="auto" w:sz="4" w:space="0"/>
              <w:left w:val="single" w:color="auto" w:sz="4" w:space="0"/>
              <w:bottom w:val="single" w:color="auto" w:sz="4" w:space="0"/>
              <w:right w:val="single" w:color="auto" w:sz="4" w:space="0"/>
            </w:tcBorders>
            <w:vAlign w:val="bottom"/>
          </w:tcPr>
          <w:p>
            <w:pPr>
              <w:widowControl/>
              <w:spacing w:after="156"/>
              <w:jc w:val="center"/>
              <w:rPr>
                <w:sz w:val="21"/>
              </w:rPr>
            </w:pPr>
            <w:r>
              <w:rPr>
                <w:rFonts w:hint="eastAsia"/>
                <w:sz w:val="21"/>
              </w:rPr>
              <w:t>疫苗类型</w:t>
            </w:r>
          </w:p>
        </w:tc>
        <w:tc>
          <w:tcPr>
            <w:tcW w:w="4261" w:type="dxa"/>
            <w:tcBorders>
              <w:top w:val="single" w:color="auto" w:sz="4" w:space="0"/>
              <w:left w:val="single" w:color="auto" w:sz="4" w:space="0"/>
              <w:bottom w:val="single" w:color="auto" w:sz="4" w:space="0"/>
              <w:right w:val="single" w:color="auto" w:sz="4" w:space="0"/>
            </w:tcBorders>
            <w:vAlign w:val="bottom"/>
          </w:tcPr>
          <w:p>
            <w:pPr>
              <w:widowControl/>
              <w:spacing w:after="156"/>
              <w:jc w:val="center"/>
              <w:rPr>
                <w:sz w:val="21"/>
              </w:rPr>
            </w:pPr>
            <w:r>
              <w:rPr>
                <w:rFonts w:hint="eastAsia"/>
                <w:sz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一类疫苗</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sz w:val="21"/>
              </w:rPr>
              <w:t>[0.8</w:t>
            </w:r>
            <w:r>
              <w:rPr>
                <w:rFonts w:hint="eastAsia"/>
                <w:sz w:val="21"/>
              </w:rPr>
              <w:t>,</w:t>
            </w:r>
            <w:r>
              <w:rPr>
                <w:sz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二类疫苗</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sz w:val="21"/>
              </w:rPr>
              <w:t>[1.0</w:t>
            </w:r>
            <w:r>
              <w:rPr>
                <w:rFonts w:hint="eastAsia"/>
                <w:sz w:val="21"/>
              </w:rPr>
              <w:t>,2.0</w:t>
            </w:r>
            <w:r>
              <w:rPr>
                <w:sz w:val="21"/>
              </w:rPr>
              <w:t>]</w:t>
            </w:r>
          </w:p>
        </w:tc>
      </w:tr>
    </w:tbl>
    <w:p>
      <w:pPr>
        <w:widowControl/>
        <w:spacing w:after="156"/>
        <w:ind w:firstLine="420" w:firstLineChars="200"/>
        <w:rPr>
          <w:sz w:val="21"/>
        </w:rPr>
      </w:pPr>
      <w:bookmarkStart w:id="0" w:name="_Hlk24730857"/>
      <w:r>
        <w:rPr>
          <w:rFonts w:hint="eastAsia"/>
          <w:sz w:val="21"/>
        </w:rPr>
        <w:t>注：</w:t>
      </w:r>
    </w:p>
    <w:p>
      <w:pPr>
        <w:widowControl/>
        <w:spacing w:after="156"/>
        <w:ind w:firstLine="420" w:firstLineChars="200"/>
        <w:rPr>
          <w:sz w:val="21"/>
        </w:rPr>
      </w:pPr>
      <w:r>
        <w:rPr>
          <w:rFonts w:hint="eastAsia"/>
          <w:sz w:val="21"/>
        </w:rPr>
        <w:t>一类疫苗：是指政府免费向公民提供，公民应当依照政府的规定受种的疫苗，包括国家免疫规划确定的疫苗，省、自治区、直辖市人民政府在执行国家免疫规划时增加的疫苗，以及县级以上人民政府或者其卫生主管部门组织的应急接种或者群体性预防接种所使用的疫苗。</w:t>
      </w:r>
    </w:p>
    <w:p>
      <w:pPr>
        <w:widowControl/>
        <w:spacing w:after="156"/>
        <w:ind w:firstLine="420" w:firstLineChars="200"/>
        <w:rPr>
          <w:sz w:val="21"/>
        </w:rPr>
      </w:pPr>
      <w:r>
        <w:rPr>
          <w:rFonts w:hint="eastAsia"/>
          <w:sz w:val="21"/>
        </w:rPr>
        <w:t>二类疫苗：是指由公民自费并且自愿受种的除一类疫苗以外的其他疫苗。</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Ansi="宋体" w:cs="宋体"/>
          <w:kern w:val="2"/>
          <w:sz w:val="21"/>
          <w:szCs w:val="21"/>
        </w:rPr>
      </w:pPr>
      <w:r>
        <w:rPr>
          <w:rFonts w:hint="eastAsia" w:hAnsi="宋体" w:cs="宋体"/>
          <w:kern w:val="2"/>
          <w:sz w:val="21"/>
          <w:szCs w:val="21"/>
        </w:rPr>
        <w:t>4、参加社保状况调整系数：按被保险人参加社会保险状况，进行划分。</w:t>
      </w:r>
    </w:p>
    <w:tbl>
      <w:tblPr>
        <w:tblStyle w:val="7"/>
        <w:tblW w:w="8522" w:type="dxa"/>
        <w:jc w:val="center"/>
        <w:tblLayout w:type="fixed"/>
        <w:tblCellMar>
          <w:top w:w="0" w:type="dxa"/>
          <w:left w:w="108" w:type="dxa"/>
          <w:bottom w:w="0" w:type="dxa"/>
          <w:right w:w="108" w:type="dxa"/>
        </w:tblCellMar>
      </w:tblPr>
      <w:tblGrid>
        <w:gridCol w:w="6185"/>
        <w:gridCol w:w="2337"/>
      </w:tblGrid>
      <w:tr>
        <w:tblPrEx>
          <w:tblCellMar>
            <w:top w:w="0" w:type="dxa"/>
            <w:left w:w="108" w:type="dxa"/>
            <w:bottom w:w="0" w:type="dxa"/>
            <w:right w:w="108" w:type="dxa"/>
          </w:tblCellMar>
        </w:tblPrEx>
        <w:trPr>
          <w:trHeight w:val="467" w:hRule="atLeast"/>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b/>
                <w:sz w:val="21"/>
                <w:szCs w:val="21"/>
              </w:rPr>
            </w:pPr>
            <w:r>
              <w:rPr>
                <w:rFonts w:hint="eastAsia" w:hAnsi="宋体" w:cs="宋体"/>
                <w:b/>
                <w:sz w:val="21"/>
                <w:szCs w:val="21"/>
                <w:lang w:bidi="ar"/>
              </w:rPr>
              <w:t>被保险人社会保险状况</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b/>
                <w:sz w:val="21"/>
                <w:szCs w:val="21"/>
              </w:rPr>
            </w:pPr>
            <w:r>
              <w:rPr>
                <w:rFonts w:hint="eastAsia" w:hAnsi="宋体" w:cs="宋体"/>
                <w:b/>
                <w:sz w:val="21"/>
                <w:szCs w:val="21"/>
                <w:lang w:bidi="ar"/>
              </w:rPr>
              <w:t>调整系数</w:t>
            </w:r>
          </w:p>
        </w:tc>
      </w:tr>
      <w:tr>
        <w:tblPrEx>
          <w:tblCellMar>
            <w:top w:w="0" w:type="dxa"/>
            <w:left w:w="108" w:type="dxa"/>
            <w:bottom w:w="0" w:type="dxa"/>
            <w:right w:w="108" w:type="dxa"/>
          </w:tblCellMar>
        </w:tblPrEx>
        <w:trPr>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已参加城镇居民基本医疗保险或新型农村合作医疗保险</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0.75</w:t>
            </w:r>
          </w:p>
        </w:tc>
      </w:tr>
      <w:tr>
        <w:tblPrEx>
          <w:tblCellMar>
            <w:top w:w="0" w:type="dxa"/>
            <w:left w:w="108" w:type="dxa"/>
            <w:bottom w:w="0" w:type="dxa"/>
            <w:right w:w="108" w:type="dxa"/>
          </w:tblCellMar>
        </w:tblPrEx>
        <w:trPr>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已参加城镇职工基本医疗或公费医疗保险</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0.70</w:t>
            </w:r>
          </w:p>
        </w:tc>
      </w:tr>
      <w:tr>
        <w:tblPrEx>
          <w:tblCellMar>
            <w:top w:w="0" w:type="dxa"/>
            <w:left w:w="108" w:type="dxa"/>
            <w:bottom w:w="0" w:type="dxa"/>
            <w:right w:w="108" w:type="dxa"/>
          </w:tblCellMar>
        </w:tblPrEx>
        <w:trPr>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已参加其他费用补偿型医疗保险计划</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0.9</w:t>
            </w:r>
          </w:p>
        </w:tc>
      </w:tr>
      <w:tr>
        <w:tblPrEx>
          <w:tblCellMar>
            <w:top w:w="0" w:type="dxa"/>
            <w:left w:w="108" w:type="dxa"/>
            <w:bottom w:w="0" w:type="dxa"/>
            <w:right w:w="108" w:type="dxa"/>
          </w:tblCellMar>
        </w:tblPrEx>
        <w:trPr>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参加以上三项中的任意两项或以上</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0.6</w:t>
            </w:r>
          </w:p>
        </w:tc>
      </w:tr>
      <w:tr>
        <w:tblPrEx>
          <w:tblCellMar>
            <w:top w:w="0" w:type="dxa"/>
            <w:left w:w="108" w:type="dxa"/>
            <w:bottom w:w="0" w:type="dxa"/>
            <w:right w:w="108" w:type="dxa"/>
          </w:tblCellMar>
        </w:tblPrEx>
        <w:trPr>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未参加任何费用补偿型医疗保险</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1.1</w:t>
            </w:r>
          </w:p>
        </w:tc>
      </w:tr>
      <w:bookmarkEnd w:id="0"/>
    </w:tbl>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0" w:leftChars="0" w:firstLine="420" w:firstLineChars="200"/>
        <w:textAlignment w:val="auto"/>
        <w:rPr>
          <w:rFonts w:hint="eastAsia" w:hAnsi="宋体" w:cs="宋体"/>
          <w:kern w:val="2"/>
          <w:sz w:val="21"/>
          <w:szCs w:val="21"/>
          <w:lang w:val="en-US" w:eastAsia="zh-CN"/>
        </w:rPr>
      </w:pPr>
      <w:r>
        <w:rPr>
          <w:rFonts w:hint="eastAsia" w:hAnsi="宋体" w:cs="宋体"/>
          <w:kern w:val="2"/>
          <w:sz w:val="21"/>
          <w:szCs w:val="21"/>
          <w:lang w:val="en-US" w:eastAsia="zh-CN"/>
        </w:rPr>
        <w:t>5、免赔额调整系数：根据约定的免赔额进行划分。</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int="eastAsia" w:ascii="宋体" w:hAnsi="宋体" w:eastAsia="宋体" w:cs="宋体"/>
                <w:b/>
                <w:bCs w:val="0"/>
                <w:sz w:val="21"/>
                <w:szCs w:val="21"/>
                <w:lang w:bidi="ar"/>
              </w:rPr>
            </w:pPr>
            <w:r>
              <w:rPr>
                <w:rFonts w:hint="eastAsia" w:ascii="宋体" w:hAnsi="宋体" w:eastAsia="宋体" w:cs="宋体"/>
                <w:b/>
                <w:bCs w:val="0"/>
                <w:sz w:val="21"/>
                <w:szCs w:val="21"/>
                <w:lang w:bidi="ar"/>
              </w:rPr>
              <w:t>免赔额（元）</w:t>
            </w:r>
          </w:p>
        </w:tc>
        <w:tc>
          <w:tcPr>
            <w:tcW w:w="4261" w:type="dxa"/>
          </w:tcPr>
          <w:p>
            <w:pPr>
              <w:widowControl/>
              <w:spacing w:line="312" w:lineRule="auto"/>
              <w:jc w:val="center"/>
              <w:rPr>
                <w:rFonts w:hint="eastAsia" w:ascii="宋体" w:hAnsi="宋体" w:eastAsia="宋体" w:cs="宋体"/>
                <w:b/>
                <w:bCs w:val="0"/>
                <w:sz w:val="21"/>
                <w:szCs w:val="21"/>
                <w:lang w:bidi="ar"/>
              </w:rPr>
            </w:pPr>
            <w:r>
              <w:rPr>
                <w:rFonts w:hint="eastAsia" w:ascii="宋体" w:hAnsi="宋体" w:eastAsia="宋体" w:cs="宋体"/>
                <w:b/>
                <w:bCs w:val="0"/>
                <w:sz w:val="21"/>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≤100</w:t>
            </w:r>
          </w:p>
        </w:tc>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[1.3,1.5]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(100,300]</w:t>
            </w:r>
          </w:p>
        </w:tc>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[1</w:t>
            </w:r>
            <w:r>
              <w:rPr>
                <w:rFonts w:hint="eastAsia" w:ascii="宋体" w:hAnsi="宋体" w:eastAsia="宋体" w:cs="宋体"/>
                <w:sz w:val="21"/>
                <w:szCs w:val="21"/>
                <w:lang w:eastAsia="zh-Hans" w:bidi="ar"/>
              </w:rPr>
              <w:t>.2</w:t>
            </w:r>
            <w:r>
              <w:rPr>
                <w:rFonts w:hint="eastAsia" w:ascii="宋体" w:hAnsi="宋体" w:eastAsia="宋体" w:cs="宋体"/>
                <w:sz w:val="21"/>
                <w:szCs w:val="21"/>
                <w:lang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(300,500]</w:t>
            </w:r>
          </w:p>
        </w:tc>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[1</w:t>
            </w:r>
            <w:r>
              <w:rPr>
                <w:rFonts w:hint="eastAsia" w:ascii="宋体" w:hAnsi="宋体" w:eastAsia="宋体" w:cs="宋体"/>
                <w:sz w:val="21"/>
                <w:szCs w:val="21"/>
                <w:lang w:eastAsia="zh-Hans" w:bidi="ar"/>
              </w:rPr>
              <w:t>.0</w:t>
            </w:r>
            <w:r>
              <w:rPr>
                <w:rFonts w:hint="eastAsia" w:ascii="宋体" w:hAnsi="宋体" w:eastAsia="宋体" w:cs="宋体"/>
                <w:sz w:val="21"/>
                <w:szCs w:val="21"/>
                <w:lang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(500,1000]</w:t>
            </w:r>
          </w:p>
        </w:tc>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[0</w:t>
            </w:r>
            <w:r>
              <w:rPr>
                <w:rFonts w:hint="eastAsia" w:ascii="宋体" w:hAnsi="宋体" w:eastAsia="宋体" w:cs="宋体"/>
                <w:sz w:val="21"/>
                <w:szCs w:val="21"/>
                <w:lang w:eastAsia="zh-Hans" w:bidi="ar"/>
              </w:rPr>
              <w:t>.8</w:t>
            </w:r>
            <w:r>
              <w:rPr>
                <w:rFonts w:hint="eastAsia" w:ascii="宋体" w:hAnsi="宋体" w:eastAsia="宋体" w:cs="宋体"/>
                <w:sz w:val="21"/>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＞1000</w:t>
            </w:r>
          </w:p>
        </w:tc>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[0</w:t>
            </w:r>
            <w:r>
              <w:rPr>
                <w:rFonts w:hint="eastAsia" w:ascii="宋体" w:hAnsi="宋体" w:eastAsia="宋体" w:cs="宋体"/>
                <w:sz w:val="21"/>
                <w:szCs w:val="21"/>
                <w:lang w:eastAsia="zh-Hans" w:bidi="ar"/>
              </w:rPr>
              <w:t>.6</w:t>
            </w:r>
            <w:r>
              <w:rPr>
                <w:rFonts w:hint="eastAsia" w:ascii="宋体" w:hAnsi="宋体" w:eastAsia="宋体" w:cs="宋体"/>
                <w:sz w:val="21"/>
                <w:szCs w:val="21"/>
                <w:lang w:bidi="ar"/>
              </w:rPr>
              <w:t>,0</w:t>
            </w:r>
            <w:r>
              <w:rPr>
                <w:rFonts w:hint="eastAsia" w:ascii="宋体" w:hAnsi="宋体" w:eastAsia="宋体" w:cs="宋体"/>
                <w:sz w:val="21"/>
                <w:szCs w:val="21"/>
                <w:lang w:eastAsia="zh-Hans" w:bidi="ar"/>
              </w:rPr>
              <w:t>.8</w:t>
            </w:r>
            <w:r>
              <w:rPr>
                <w:rFonts w:hint="eastAsia" w:ascii="宋体" w:hAnsi="宋体" w:eastAsia="宋体" w:cs="宋体"/>
                <w:sz w:val="21"/>
                <w:szCs w:val="21"/>
                <w:lang w:bidi="ar"/>
              </w:rPr>
              <w:t>)</w:t>
            </w:r>
          </w:p>
        </w:tc>
      </w:tr>
    </w:tbl>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0" w:leftChars="0" w:firstLine="420" w:firstLineChars="200"/>
        <w:textAlignment w:val="auto"/>
        <w:rPr>
          <w:rFonts w:hint="eastAsia" w:hAnsi="宋体" w:cs="宋体"/>
          <w:kern w:val="2"/>
          <w:sz w:val="21"/>
          <w:szCs w:val="21"/>
          <w:lang w:val="en-US" w:eastAsia="zh-CN"/>
        </w:rPr>
      </w:pPr>
      <w:r>
        <w:rPr>
          <w:rFonts w:hint="eastAsia" w:hAnsi="宋体" w:cs="宋体"/>
          <w:kern w:val="2"/>
          <w:sz w:val="21"/>
          <w:szCs w:val="21"/>
          <w:lang w:val="en-US" w:eastAsia="zh-CN"/>
        </w:rPr>
        <w:t>6、给付比例调整系数：根据约定的给付比例进行划分。</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int="eastAsia" w:ascii="宋体" w:hAnsi="宋体" w:eastAsia="宋体" w:cs="宋体"/>
                <w:b/>
                <w:bCs w:val="0"/>
                <w:sz w:val="21"/>
                <w:szCs w:val="21"/>
                <w:lang w:bidi="ar"/>
              </w:rPr>
            </w:pPr>
            <w:r>
              <w:rPr>
                <w:rFonts w:hint="eastAsia" w:ascii="宋体" w:hAnsi="宋体" w:eastAsia="宋体" w:cs="宋体"/>
                <w:b/>
                <w:bCs w:val="0"/>
                <w:sz w:val="21"/>
                <w:szCs w:val="21"/>
                <w:lang w:bidi="ar"/>
              </w:rPr>
              <w:t>给付比例</w:t>
            </w:r>
          </w:p>
        </w:tc>
        <w:tc>
          <w:tcPr>
            <w:tcW w:w="4261" w:type="dxa"/>
          </w:tcPr>
          <w:p>
            <w:pPr>
              <w:widowControl/>
              <w:spacing w:line="312" w:lineRule="auto"/>
              <w:jc w:val="center"/>
              <w:rPr>
                <w:rFonts w:hint="eastAsia" w:ascii="宋体" w:hAnsi="宋体" w:eastAsia="宋体" w:cs="宋体"/>
                <w:b/>
                <w:bCs w:val="0"/>
                <w:sz w:val="21"/>
                <w:szCs w:val="21"/>
                <w:lang w:bidi="ar"/>
              </w:rPr>
            </w:pPr>
            <w:r>
              <w:rPr>
                <w:rFonts w:hint="eastAsia" w:ascii="宋体" w:hAnsi="宋体" w:eastAsia="宋体" w:cs="宋体"/>
                <w:b/>
                <w:bCs w:val="0"/>
                <w:sz w:val="21"/>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100%</w:t>
            </w:r>
          </w:p>
        </w:tc>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90%</w:t>
            </w:r>
          </w:p>
        </w:tc>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val="en-US" w:eastAsia="zh-CN" w:bidi="ar"/>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80%</w:t>
            </w:r>
          </w:p>
        </w:tc>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val="en-US" w:eastAsia="zh-CN"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70%</w:t>
            </w:r>
          </w:p>
        </w:tc>
        <w:tc>
          <w:tcPr>
            <w:tcW w:w="4261" w:type="dxa"/>
          </w:tcPr>
          <w:p>
            <w:pPr>
              <w:widowControl/>
              <w:spacing w:line="312" w:lineRule="auto"/>
              <w:jc w:val="center"/>
              <w:rPr>
                <w:rFonts w:hint="eastAsia" w:ascii="宋体" w:hAnsi="宋体" w:eastAsia="宋体" w:cs="宋体"/>
                <w:sz w:val="21"/>
                <w:szCs w:val="21"/>
                <w:lang w:bidi="ar"/>
              </w:rPr>
            </w:pPr>
            <w:r>
              <w:rPr>
                <w:rFonts w:hint="eastAsia" w:ascii="宋体" w:hAnsi="宋体" w:eastAsia="宋体" w:cs="宋体"/>
                <w:sz w:val="21"/>
                <w:szCs w:val="21"/>
                <w:lang w:val="en-US" w:eastAsia="zh-CN"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12" w:lineRule="auto"/>
              <w:jc w:val="center"/>
              <w:rPr>
                <w:rFonts w:hint="eastAsia" w:ascii="宋体" w:hAnsi="宋体" w:eastAsia="宋体" w:cs="宋体"/>
                <w:sz w:val="21"/>
                <w:szCs w:val="21"/>
                <w:lang w:val="en-US" w:eastAsia="zh-CN" w:bidi="ar"/>
              </w:rPr>
            </w:pPr>
            <w:r>
              <w:rPr>
                <w:rFonts w:hint="eastAsia" w:hAnsi="宋体" w:cs="宋体"/>
                <w:sz w:val="21"/>
                <w:szCs w:val="21"/>
                <w:lang w:val="en-US" w:eastAsia="zh-CN" w:bidi="ar"/>
              </w:rPr>
              <w:t>60%</w:t>
            </w:r>
          </w:p>
        </w:tc>
        <w:tc>
          <w:tcPr>
            <w:tcW w:w="4261" w:type="dxa"/>
          </w:tcPr>
          <w:p>
            <w:pPr>
              <w:widowControl/>
              <w:spacing w:line="312" w:lineRule="auto"/>
              <w:jc w:val="center"/>
              <w:rPr>
                <w:rFonts w:hint="eastAsia" w:ascii="宋体" w:hAnsi="宋体" w:eastAsia="宋体" w:cs="宋体"/>
                <w:sz w:val="21"/>
                <w:szCs w:val="21"/>
                <w:lang w:val="en-US" w:eastAsia="zh-CN" w:bidi="ar"/>
              </w:rPr>
            </w:pPr>
            <w:r>
              <w:rPr>
                <w:rFonts w:hint="eastAsia" w:hAnsi="宋体" w:cs="宋体"/>
                <w:sz w:val="21"/>
                <w:szCs w:val="21"/>
                <w:lang w:val="en-US" w:eastAsia="zh-CN" w:bidi="ar"/>
              </w:rPr>
              <w:t>0.6</w:t>
            </w:r>
          </w:p>
        </w:tc>
      </w:tr>
    </w:tbl>
    <w:p>
      <w:pPr>
        <w:widowControl w:val="0"/>
        <w:numPr>
          <w:ilvl w:val="-1"/>
          <w:numId w:val="0"/>
        </w:numPr>
        <w:spacing w:after="0" w:line="288" w:lineRule="auto"/>
        <w:ind w:firstLine="0" w:firstLineChars="0"/>
        <w:rPr>
          <w:rFonts w:hint="eastAsia" w:hAnsi="宋体" w:eastAsia="宋体" w:cs="宋体"/>
          <w:kern w:val="2"/>
          <w:sz w:val="21"/>
          <w:szCs w:val="21"/>
          <w:lang w:val="en-US" w:eastAsia="zh-CN"/>
        </w:rPr>
      </w:pPr>
    </w:p>
    <w:p>
      <w:pPr>
        <w:widowControl/>
        <w:spacing w:after="156"/>
        <w:rPr>
          <w:b/>
          <w:sz w:val="21"/>
        </w:rPr>
      </w:pPr>
      <w:r>
        <w:rPr>
          <w:rFonts w:hint="eastAsia"/>
          <w:b/>
          <w:sz w:val="21"/>
        </w:rPr>
        <w:t>三、保险费计算</w:t>
      </w:r>
    </w:p>
    <w:p>
      <w:pPr>
        <w:widowControl/>
        <w:spacing w:after="156"/>
        <w:ind w:firstLine="422" w:firstLineChars="200"/>
        <w:rPr>
          <w:b/>
          <w:sz w:val="21"/>
        </w:rPr>
      </w:pPr>
      <w:r>
        <w:rPr>
          <w:rFonts w:hint="eastAsia"/>
          <w:b/>
          <w:sz w:val="21"/>
        </w:rPr>
        <w:t>（一）按年收费</w:t>
      </w:r>
    </w:p>
    <w:p>
      <w:pPr>
        <w:widowControl/>
        <w:spacing w:after="156"/>
        <w:ind w:firstLine="420" w:firstLineChars="200"/>
        <w:rPr>
          <w:sz w:val="21"/>
        </w:rPr>
      </w:pPr>
      <w:r>
        <w:rPr>
          <w:rFonts w:hint="eastAsia"/>
          <w:sz w:val="21"/>
        </w:rPr>
        <w:t>基本责任年保险费＝预防接种意外身故保险金额×预防接种意外身故保险年基准费率×人数规模调整系数×历史赔付率调整系数×疫苗种类调整系数</w:t>
      </w:r>
    </w:p>
    <w:p>
      <w:pPr>
        <w:widowControl/>
        <w:spacing w:after="156"/>
        <w:ind w:firstLine="420" w:firstLineChars="200"/>
        <w:rPr>
          <w:sz w:val="21"/>
        </w:rPr>
      </w:pPr>
      <w:r>
        <w:rPr>
          <w:rFonts w:hint="eastAsia"/>
          <w:sz w:val="21"/>
        </w:rPr>
        <w:t>可选责任年保险费＝（预防接种意外</w:t>
      </w:r>
      <w:r>
        <w:rPr>
          <w:rFonts w:hint="eastAsia"/>
          <w:sz w:val="21"/>
          <w:lang w:val="en-US" w:eastAsia="zh-CN"/>
        </w:rPr>
        <w:t>伤残</w:t>
      </w:r>
      <w:r>
        <w:rPr>
          <w:rFonts w:hint="eastAsia"/>
          <w:sz w:val="21"/>
        </w:rPr>
        <w:t>保险金额×预防接种意外</w:t>
      </w:r>
      <w:r>
        <w:rPr>
          <w:rFonts w:hint="eastAsia"/>
          <w:sz w:val="21"/>
          <w:lang w:val="en-US" w:eastAsia="zh-CN"/>
        </w:rPr>
        <w:t>伤残</w:t>
      </w:r>
      <w:r>
        <w:rPr>
          <w:rFonts w:hint="eastAsia"/>
          <w:sz w:val="21"/>
        </w:rPr>
        <w:t>保险年基准费率+</w:t>
      </w:r>
      <w:r>
        <w:rPr>
          <w:rFonts w:hint="eastAsia"/>
          <w:color w:val="000000"/>
          <w:sz w:val="21"/>
        </w:rPr>
        <w:t>住院津贴</w:t>
      </w:r>
      <w:r>
        <w:rPr>
          <w:rFonts w:hint="eastAsia"/>
          <w:sz w:val="21"/>
        </w:rPr>
        <w:t>保险金额×</w:t>
      </w:r>
      <w:r>
        <w:rPr>
          <w:rFonts w:hint="eastAsia"/>
          <w:color w:val="000000"/>
          <w:sz w:val="21"/>
        </w:rPr>
        <w:t>住院津贴保险</w:t>
      </w:r>
      <w:r>
        <w:rPr>
          <w:rFonts w:hint="eastAsia"/>
          <w:sz w:val="21"/>
        </w:rPr>
        <w:t>年基准费率）×人数规模调整系数×历史赔付率调整系数×疫苗种类调整系数+（预防接种一般反应医疗保险金额×预防接种一般反应医疗保险年基准费率+预防接种异常反应、偶合症医疗保险金额×预防接种异常反应、偶合症医疗保险年基准费率）×人数规模调整系数×历史赔付率调整系数×疫苗种类调整系数×</w:t>
      </w:r>
      <w:r>
        <w:rPr>
          <w:rFonts w:hint="eastAsia" w:hAnsi="宋体" w:cs="宋体"/>
          <w:kern w:val="2"/>
          <w:sz w:val="21"/>
          <w:szCs w:val="21"/>
        </w:rPr>
        <w:t>参加社保状况调整系数</w:t>
      </w:r>
      <w:r>
        <w:rPr>
          <w:rFonts w:hint="eastAsia"/>
          <w:sz w:val="21"/>
        </w:rPr>
        <w:t>×</w:t>
      </w:r>
      <w:r>
        <w:rPr>
          <w:rFonts w:hint="eastAsia" w:hAnsi="宋体" w:cs="宋体"/>
          <w:kern w:val="2"/>
          <w:sz w:val="21"/>
          <w:szCs w:val="21"/>
          <w:lang w:val="en-US" w:eastAsia="zh-CN"/>
        </w:rPr>
        <w:t>免赔额调整系数</w:t>
      </w:r>
      <w:r>
        <w:rPr>
          <w:rFonts w:hint="eastAsia"/>
          <w:sz w:val="21"/>
        </w:rPr>
        <w:t>×</w:t>
      </w:r>
      <w:r>
        <w:rPr>
          <w:rFonts w:hint="eastAsia" w:hAnsi="宋体" w:cs="宋体"/>
          <w:kern w:val="2"/>
          <w:sz w:val="21"/>
          <w:szCs w:val="21"/>
          <w:lang w:val="en-US" w:eastAsia="zh-CN"/>
        </w:rPr>
        <w:t>给付比例调整系数</w:t>
      </w:r>
    </w:p>
    <w:p>
      <w:pPr>
        <w:widowControl/>
        <w:spacing w:after="156"/>
        <w:ind w:firstLine="420" w:firstLineChars="200"/>
        <w:rPr>
          <w:sz w:val="21"/>
        </w:rPr>
      </w:pPr>
      <w:r>
        <w:rPr>
          <w:rFonts w:hint="eastAsia"/>
          <w:sz w:val="21"/>
        </w:rPr>
        <w:t>总年保险费＝基本责任年保险费+可选责任年保险费</w:t>
      </w:r>
    </w:p>
    <w:p>
      <w:pPr>
        <w:widowControl/>
        <w:spacing w:after="156"/>
        <w:ind w:firstLine="422" w:firstLineChars="200"/>
        <w:rPr>
          <w:b/>
          <w:sz w:val="21"/>
        </w:rPr>
      </w:pPr>
      <w:r>
        <w:rPr>
          <w:rFonts w:hint="eastAsia"/>
          <w:b/>
          <w:sz w:val="21"/>
        </w:rPr>
        <w:t>（二）按次收费</w:t>
      </w:r>
    </w:p>
    <w:p>
      <w:pPr>
        <w:widowControl/>
        <w:spacing w:after="156"/>
        <w:ind w:firstLine="420" w:firstLineChars="200"/>
        <w:rPr>
          <w:sz w:val="21"/>
        </w:rPr>
      </w:pPr>
      <w:r>
        <w:rPr>
          <w:rFonts w:hint="eastAsia"/>
          <w:sz w:val="21"/>
        </w:rPr>
        <w:t>基本责任次保险费＝预防接种意外身故保险金额×预防接种意外身故保险次基准费率×人数规模调整系数×历史赔付率调整系数×疫苗种类调整系数</w:t>
      </w:r>
    </w:p>
    <w:p>
      <w:pPr>
        <w:widowControl/>
        <w:spacing w:after="156"/>
        <w:ind w:firstLine="420" w:firstLineChars="200"/>
        <w:rPr>
          <w:sz w:val="21"/>
        </w:rPr>
      </w:pPr>
      <w:r>
        <w:rPr>
          <w:rFonts w:hint="eastAsia"/>
          <w:sz w:val="21"/>
        </w:rPr>
        <w:t>可选责任次保险费＝（预防接种意外</w:t>
      </w:r>
      <w:r>
        <w:rPr>
          <w:rFonts w:hint="eastAsia"/>
          <w:sz w:val="21"/>
          <w:lang w:val="en-US" w:eastAsia="zh-CN"/>
        </w:rPr>
        <w:t>伤残</w:t>
      </w:r>
      <w:bookmarkStart w:id="1" w:name="_GoBack"/>
      <w:bookmarkEnd w:id="1"/>
      <w:r>
        <w:rPr>
          <w:rFonts w:hint="eastAsia"/>
          <w:sz w:val="21"/>
        </w:rPr>
        <w:t>保险金额×预防接种意外</w:t>
      </w:r>
      <w:r>
        <w:rPr>
          <w:rFonts w:hint="eastAsia"/>
          <w:sz w:val="21"/>
          <w:lang w:val="en-US" w:eastAsia="zh-CN"/>
        </w:rPr>
        <w:t>伤残</w:t>
      </w:r>
      <w:r>
        <w:rPr>
          <w:rFonts w:hint="eastAsia"/>
          <w:sz w:val="21"/>
        </w:rPr>
        <w:t>保险次基准费率+</w:t>
      </w:r>
      <w:r>
        <w:rPr>
          <w:rFonts w:hint="eastAsia"/>
          <w:color w:val="000000"/>
          <w:sz w:val="21"/>
        </w:rPr>
        <w:t>住院津贴</w:t>
      </w:r>
      <w:r>
        <w:rPr>
          <w:rFonts w:hint="eastAsia"/>
          <w:sz w:val="21"/>
        </w:rPr>
        <w:t>保险金额×</w:t>
      </w:r>
      <w:r>
        <w:rPr>
          <w:rFonts w:hint="eastAsia"/>
          <w:color w:val="000000"/>
          <w:sz w:val="21"/>
        </w:rPr>
        <w:t>住院津贴保险</w:t>
      </w:r>
      <w:r>
        <w:rPr>
          <w:rFonts w:hint="eastAsia"/>
          <w:sz w:val="21"/>
        </w:rPr>
        <w:t>次基准费率）×人数规模调整系数×历史赔付率调整系数×疫苗种类调整系数+（预防接种一般反应医疗保险金额×预防接种一般反应医疗保险次基准费率+预防接种异常反应、偶合症医疗保险金额×预防接种异常反应、偶合症医疗保险次基准费率）×人数规模调整系数×历史赔付率调整系数×疫苗种类调整系数×</w:t>
      </w:r>
      <w:r>
        <w:rPr>
          <w:rFonts w:hint="eastAsia" w:hAnsi="宋体" w:cs="宋体"/>
          <w:kern w:val="2"/>
          <w:sz w:val="21"/>
          <w:szCs w:val="21"/>
        </w:rPr>
        <w:t>参加社保状况调整系数</w:t>
      </w:r>
      <w:r>
        <w:rPr>
          <w:rFonts w:hint="eastAsia"/>
          <w:sz w:val="21"/>
        </w:rPr>
        <w:t>×</w:t>
      </w:r>
      <w:r>
        <w:rPr>
          <w:rFonts w:hint="eastAsia" w:hAnsi="宋体" w:cs="宋体"/>
          <w:kern w:val="2"/>
          <w:sz w:val="21"/>
          <w:szCs w:val="21"/>
          <w:lang w:val="en-US" w:eastAsia="zh-CN"/>
        </w:rPr>
        <w:t>免赔额调整系数</w:t>
      </w:r>
      <w:r>
        <w:rPr>
          <w:rFonts w:hint="eastAsia"/>
          <w:sz w:val="21"/>
        </w:rPr>
        <w:t>×</w:t>
      </w:r>
      <w:r>
        <w:rPr>
          <w:rFonts w:hint="eastAsia" w:hAnsi="宋体" w:cs="宋体"/>
          <w:kern w:val="2"/>
          <w:sz w:val="21"/>
          <w:szCs w:val="21"/>
          <w:lang w:val="en-US" w:eastAsia="zh-CN"/>
        </w:rPr>
        <w:t>给付比例调整系数</w:t>
      </w:r>
    </w:p>
    <w:p>
      <w:pPr>
        <w:widowControl/>
        <w:spacing w:after="156"/>
        <w:ind w:firstLine="420" w:firstLineChars="200"/>
        <w:rPr>
          <w:sz w:val="21"/>
        </w:rPr>
      </w:pPr>
      <w:r>
        <w:rPr>
          <w:rFonts w:hint="eastAsia"/>
          <w:sz w:val="21"/>
        </w:rPr>
        <w:t>总年保险费＝基本责任次保险费+可选责任次保险费</w:t>
      </w:r>
    </w:p>
    <w:p>
      <w:pPr>
        <w:widowControl/>
        <w:spacing w:after="156"/>
        <w:ind w:firstLine="420" w:firstLineChars="200"/>
        <w:rPr>
          <w:sz w:val="21"/>
        </w:rPr>
      </w:pPr>
      <w:r>
        <w:rPr>
          <w:rFonts w:hint="eastAsia"/>
          <w:sz w:val="21"/>
        </w:rPr>
        <w:t>说明：投保人必须投保基本责任，并可以在投保基本责任的基础上选择投保可选责任；若投保人未选择投保某一项或多项可选责任，则以上公式中相应责任的保险金额取值为0。</w:t>
      </w:r>
    </w:p>
    <w:p>
      <w:pPr>
        <w:widowControl/>
        <w:spacing w:after="156"/>
        <w:ind w:firstLine="420" w:firstLineChars="200"/>
        <w:rPr>
          <w:sz w:val="21"/>
        </w:rPr>
      </w:pPr>
    </w:p>
    <w:p>
      <w:pPr>
        <w:widowControl/>
        <w:spacing w:after="156"/>
        <w:jc w:val="left"/>
        <w:rPr>
          <w:b/>
          <w:sz w:val="21"/>
        </w:rPr>
      </w:pPr>
      <w:r>
        <w:rPr>
          <w:rFonts w:hint="eastAsia"/>
          <w:b/>
          <w:sz w:val="21"/>
        </w:rPr>
        <w:t>四、短期费率表</w:t>
      </w:r>
    </w:p>
    <w:p>
      <w:pPr>
        <w:widowControl/>
        <w:spacing w:after="156"/>
        <w:ind w:firstLine="422" w:firstLineChars="200"/>
        <w:jc w:val="left"/>
        <w:rPr>
          <w:b/>
          <w:sz w:val="21"/>
        </w:rPr>
      </w:pPr>
      <w:r>
        <w:rPr>
          <w:rFonts w:hint="eastAsia"/>
          <w:b/>
          <w:sz w:val="21"/>
        </w:rPr>
        <w:t>（仅适用于“按年收费”的情况）</w:t>
      </w:r>
    </w:p>
    <w:p>
      <w:pPr>
        <w:widowControl/>
        <w:spacing w:after="156"/>
        <w:ind w:firstLine="420"/>
        <w:rPr>
          <w:sz w:val="21"/>
        </w:rPr>
      </w:pPr>
      <w:r>
        <w:rPr>
          <w:rFonts w:hint="eastAsia"/>
          <w:sz w:val="21"/>
        </w:rPr>
        <w:t>保险期间不足一年的，按以下标准计算短期保险费（按年保险费的百分比计算，不足一个月的按一个月计算）</w:t>
      </w:r>
    </w:p>
    <w:tbl>
      <w:tblPr>
        <w:tblStyle w:val="7"/>
        <w:tblW w:w="8522" w:type="dxa"/>
        <w:jc w:val="center"/>
        <w:tblLayout w:type="fixed"/>
        <w:tblCellMar>
          <w:top w:w="0" w:type="dxa"/>
          <w:left w:w="108" w:type="dxa"/>
          <w:bottom w:w="0" w:type="dxa"/>
          <w:right w:w="108" w:type="dxa"/>
        </w:tblCellMar>
      </w:tblPr>
      <w:tblGrid>
        <w:gridCol w:w="1205"/>
        <w:gridCol w:w="601"/>
        <w:gridCol w:w="601"/>
        <w:gridCol w:w="601"/>
        <w:gridCol w:w="601"/>
        <w:gridCol w:w="601"/>
        <w:gridCol w:w="601"/>
        <w:gridCol w:w="601"/>
        <w:gridCol w:w="601"/>
        <w:gridCol w:w="601"/>
        <w:gridCol w:w="601"/>
        <w:gridCol w:w="601"/>
        <w:gridCol w:w="706"/>
      </w:tblGrid>
      <w:tr>
        <w:tblPrEx>
          <w:tblCellMar>
            <w:top w:w="0" w:type="dxa"/>
            <w:left w:w="108" w:type="dxa"/>
            <w:bottom w:w="0" w:type="dxa"/>
            <w:right w:w="108" w:type="dxa"/>
          </w:tblCellMar>
        </w:tblPrEx>
        <w:trPr>
          <w:trHeight w:val="731" w:hRule="atLeast"/>
          <w:jc w:val="center"/>
        </w:trPr>
        <w:tc>
          <w:tcPr>
            <w:tcW w:w="1205" w:type="dxa"/>
            <w:tcBorders>
              <w:top w:val="single" w:color="000000" w:sz="4" w:space="0"/>
              <w:left w:val="single" w:color="000000" w:sz="4" w:space="0"/>
              <w:bottom w:val="single" w:color="000000" w:sz="4" w:space="0"/>
              <w:right w:val="single" w:color="000000" w:sz="4" w:space="0"/>
            </w:tcBorders>
            <w:vAlign w:val="center"/>
          </w:tcPr>
          <w:p>
            <w:pPr>
              <w:widowControl/>
              <w:spacing w:after="120"/>
              <w:jc w:val="center"/>
              <w:rPr>
                <w:sz w:val="21"/>
              </w:rPr>
            </w:pPr>
            <w:r>
              <w:rPr>
                <w:rFonts w:hint="eastAsia"/>
                <w:sz w:val="21"/>
              </w:rPr>
              <w:t>保险期间</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一个月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二个月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三个月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四个月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五个月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六个月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七个月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八个月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九个月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十个月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十一个月</w:t>
            </w:r>
          </w:p>
        </w:tc>
        <w:tc>
          <w:tcPr>
            <w:tcW w:w="706" w:type="dxa"/>
            <w:tcBorders>
              <w:top w:val="single" w:color="000000" w:sz="4" w:space="0"/>
              <w:left w:val="nil"/>
              <w:bottom w:val="single" w:color="000000" w:sz="4" w:space="0"/>
              <w:right w:val="single" w:color="000000" w:sz="4" w:space="0"/>
            </w:tcBorders>
            <w:vAlign w:val="center"/>
          </w:tcPr>
          <w:p>
            <w:pPr>
              <w:widowControl/>
              <w:jc w:val="center"/>
              <w:rPr>
                <w:sz w:val="21"/>
              </w:rPr>
            </w:pPr>
            <w:r>
              <w:rPr>
                <w:rFonts w:hint="eastAsia"/>
                <w:sz w:val="21"/>
              </w:rPr>
              <w:t>十</w:t>
            </w:r>
          </w:p>
          <w:p>
            <w:pPr>
              <w:widowControl/>
              <w:jc w:val="center"/>
              <w:rPr>
                <w:sz w:val="21"/>
              </w:rPr>
            </w:pPr>
            <w:r>
              <w:rPr>
                <w:rFonts w:hint="eastAsia"/>
                <w:sz w:val="21"/>
              </w:rPr>
              <w:t>二</w:t>
            </w:r>
          </w:p>
          <w:p>
            <w:pPr>
              <w:widowControl/>
              <w:jc w:val="center"/>
              <w:rPr>
                <w:sz w:val="21"/>
              </w:rPr>
            </w:pPr>
            <w:r>
              <w:rPr>
                <w:rFonts w:hint="eastAsia"/>
                <w:sz w:val="21"/>
              </w:rPr>
              <w:t>个</w:t>
            </w:r>
          </w:p>
          <w:p>
            <w:pPr>
              <w:widowControl/>
              <w:jc w:val="center"/>
              <w:rPr>
                <w:sz w:val="21"/>
              </w:rPr>
            </w:pPr>
            <w:r>
              <w:rPr>
                <w:rFonts w:hint="eastAsia"/>
                <w:sz w:val="21"/>
              </w:rPr>
              <w:t>月</w:t>
            </w:r>
          </w:p>
        </w:tc>
      </w:tr>
      <w:tr>
        <w:tblPrEx>
          <w:tblCellMar>
            <w:top w:w="0" w:type="dxa"/>
            <w:left w:w="108" w:type="dxa"/>
            <w:bottom w:w="0" w:type="dxa"/>
            <w:right w:w="108" w:type="dxa"/>
          </w:tblCellMar>
        </w:tblPrEx>
        <w:trPr>
          <w:trHeight w:val="397" w:hRule="atLeast"/>
          <w:jc w:val="center"/>
        </w:trPr>
        <w:tc>
          <w:tcPr>
            <w:tcW w:w="1205" w:type="dxa"/>
            <w:tcBorders>
              <w:top w:val="single" w:color="000000" w:sz="4" w:space="0"/>
              <w:left w:val="single" w:color="000000" w:sz="4" w:space="0"/>
              <w:bottom w:val="single" w:color="000000" w:sz="4" w:space="0"/>
              <w:right w:val="single" w:color="000000" w:sz="4" w:space="0"/>
            </w:tcBorders>
            <w:vAlign w:val="center"/>
          </w:tcPr>
          <w:p>
            <w:pPr>
              <w:widowControl/>
              <w:spacing w:after="120"/>
              <w:jc w:val="center"/>
              <w:rPr>
                <w:sz w:val="21"/>
              </w:rPr>
            </w:pPr>
            <w:r>
              <w:rPr>
                <w:rFonts w:hint="eastAsia"/>
                <w:sz w:val="21"/>
              </w:rPr>
              <w:t>年保险费的百分比</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10%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20%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30%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40%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50%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60%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70%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80%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85%</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90%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95%</w:t>
            </w:r>
          </w:p>
        </w:tc>
        <w:tc>
          <w:tcPr>
            <w:tcW w:w="706"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100%</w:t>
            </w:r>
          </w:p>
        </w:tc>
      </w:tr>
    </w:tbl>
    <w:p>
      <w:pPr>
        <w:widowControl/>
        <w:spacing w:after="156"/>
        <w:rPr>
          <w:b/>
          <w:sz w:val="21"/>
        </w:rPr>
      </w:pPr>
      <w:r>
        <w:rPr>
          <w:b/>
          <w:sz w:val="21"/>
        </w:rPr>
        <w:t xml:space="preserve"> </w:t>
      </w:r>
    </w:p>
    <w:p>
      <w:pPr>
        <w:rPr>
          <w:sz w:val="21"/>
        </w:rPr>
      </w:pPr>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EC8542"/>
    <w:multiLevelType w:val="multilevel"/>
    <w:tmpl w:val="58EC8542"/>
    <w:lvl w:ilvl="0" w:tentative="0">
      <w:start w:val="1"/>
      <w:numFmt w:val="chineseCounting"/>
      <w:suff w:val="nothing"/>
      <w:lvlText w:val="%1、"/>
      <w:lvlJc w:val="left"/>
      <w:rPr>
        <w:rFonts w:hint="default"/>
        <w:u w:val="none"/>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1B"/>
    <w:rsid w:val="00027124"/>
    <w:rsid w:val="001739C4"/>
    <w:rsid w:val="002E5EA2"/>
    <w:rsid w:val="002E759D"/>
    <w:rsid w:val="00375709"/>
    <w:rsid w:val="00392DD1"/>
    <w:rsid w:val="003A68C8"/>
    <w:rsid w:val="003B2E9B"/>
    <w:rsid w:val="00524C19"/>
    <w:rsid w:val="005536CF"/>
    <w:rsid w:val="005A2681"/>
    <w:rsid w:val="00615CEB"/>
    <w:rsid w:val="00667C49"/>
    <w:rsid w:val="00671706"/>
    <w:rsid w:val="006A3546"/>
    <w:rsid w:val="006D7985"/>
    <w:rsid w:val="00734217"/>
    <w:rsid w:val="0076033A"/>
    <w:rsid w:val="008122BC"/>
    <w:rsid w:val="00816DF0"/>
    <w:rsid w:val="00823935"/>
    <w:rsid w:val="008C43AC"/>
    <w:rsid w:val="00B82F03"/>
    <w:rsid w:val="00B868E5"/>
    <w:rsid w:val="00BA609C"/>
    <w:rsid w:val="00C26042"/>
    <w:rsid w:val="00C62C2C"/>
    <w:rsid w:val="00CE161B"/>
    <w:rsid w:val="00D11C88"/>
    <w:rsid w:val="00D3755F"/>
    <w:rsid w:val="00D469B5"/>
    <w:rsid w:val="00F1377A"/>
    <w:rsid w:val="00F75CA5"/>
    <w:rsid w:val="02AB5388"/>
    <w:rsid w:val="10D86D5C"/>
    <w:rsid w:val="12AD5E5B"/>
    <w:rsid w:val="20296CE3"/>
    <w:rsid w:val="26793CE8"/>
    <w:rsid w:val="2C472B8A"/>
    <w:rsid w:val="2D90413E"/>
    <w:rsid w:val="383D7912"/>
    <w:rsid w:val="38D56AF5"/>
    <w:rsid w:val="47A11896"/>
    <w:rsid w:val="4E981687"/>
    <w:rsid w:val="58A15EEF"/>
    <w:rsid w:val="5B14048A"/>
    <w:rsid w:val="5C09572D"/>
    <w:rsid w:val="5D402225"/>
    <w:rsid w:val="64985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3"/>
    <w:unhideWhenUsed/>
    <w:qFormat/>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字符"/>
    <w:basedOn w:val="9"/>
    <w:link w:val="5"/>
    <w:qFormat/>
    <w:uiPriority w:val="99"/>
    <w:rPr>
      <w:rFonts w:ascii="宋体" w:hAnsi="Times New Roman" w:eastAsia="宋体" w:cs="Times New Roman"/>
      <w:kern w:val="0"/>
      <w:sz w:val="18"/>
      <w:szCs w:val="18"/>
    </w:rPr>
  </w:style>
  <w:style w:type="character" w:customStyle="1" w:styleId="12">
    <w:name w:val="页脚 字符"/>
    <w:basedOn w:val="9"/>
    <w:link w:val="4"/>
    <w:qFormat/>
    <w:uiPriority w:val="99"/>
    <w:rPr>
      <w:rFonts w:ascii="宋体" w:hAnsi="Times New Roman" w:eastAsia="宋体" w:cs="Times New Roman"/>
      <w:kern w:val="0"/>
      <w:sz w:val="18"/>
      <w:szCs w:val="18"/>
    </w:rPr>
  </w:style>
  <w:style w:type="character" w:customStyle="1" w:styleId="13">
    <w:name w:val="批注框文本 字符"/>
    <w:basedOn w:val="9"/>
    <w:link w:val="3"/>
    <w:semiHidden/>
    <w:qFormat/>
    <w:uiPriority w:val="99"/>
    <w:rPr>
      <w:rFonts w:ascii="宋体" w:hAnsi="Times New Roman" w:eastAsia="宋体" w:cs="Times New Roman"/>
      <w:sz w:val="18"/>
      <w:szCs w:val="18"/>
    </w:rPr>
  </w:style>
  <w:style w:type="character" w:customStyle="1" w:styleId="14">
    <w:name w:val="批注文字 字符"/>
    <w:basedOn w:val="9"/>
    <w:link w:val="2"/>
    <w:semiHidden/>
    <w:qFormat/>
    <w:uiPriority w:val="99"/>
    <w:rPr>
      <w:rFonts w:ascii="宋体" w:hAnsi="Times New Roman" w:eastAsia="宋体" w:cs="Times New Roman"/>
      <w:sz w:val="34"/>
      <w:szCs w:val="22"/>
    </w:rPr>
  </w:style>
  <w:style w:type="character" w:customStyle="1" w:styleId="15">
    <w:name w:val="批注主题 字符"/>
    <w:basedOn w:val="14"/>
    <w:link w:val="6"/>
    <w:semiHidden/>
    <w:qFormat/>
    <w:uiPriority w:val="99"/>
    <w:rPr>
      <w:rFonts w:ascii="宋体" w:hAnsi="Times New Roman" w:eastAsia="宋体" w:cs="Times New Roman"/>
      <w:b/>
      <w:bCs/>
      <w:sz w:val="34"/>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922</Words>
  <Characters>988</Characters>
  <Lines>82</Lines>
  <Paragraphs>57</Paragraphs>
  <TotalTime>0</TotalTime>
  <ScaleCrop>false</ScaleCrop>
  <LinksUpToDate>false</LinksUpToDate>
  <CharactersWithSpaces>1853</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2019-11-15T01:43:00Z</dcterms:created>
  <dc:creator>wang xiaoyang</dc:creator>
  <cp:lastModifiedBy>Zixuan Shen</cp:lastModifiedBy>
  <dcterms:modified xsi:type="dcterms:W3CDTF">2021-11-09T07:50:06Z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174144110B2C4961AF6FA366D74DB03E</vt:lpwstr>
  </property>
</Properties>
</file>