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04C12F">
      <w:pPr>
        <w:adjustRightInd w:val="0"/>
        <w:spacing w:after="156" w:afterLines="50" w:line="240" w:lineRule="auto"/>
        <w:jc w:val="center"/>
        <w:textAlignment w:val="baseline"/>
        <w:rPr>
          <w:rFonts w:asciiTheme="majorEastAsia" w:hAnsiTheme="majorEastAsia" w:eastAsiaTheme="majorEastAsia"/>
          <w:b/>
          <w:color w:val="auto"/>
          <w:sz w:val="28"/>
          <w:szCs w:val="28"/>
        </w:rPr>
      </w:pPr>
      <w:r>
        <w:rPr>
          <w:rFonts w:hint="eastAsia" w:asciiTheme="majorEastAsia" w:hAnsiTheme="majorEastAsia" w:eastAsiaTheme="majorEastAsia"/>
          <w:b/>
          <w:color w:val="auto"/>
          <w:sz w:val="28"/>
          <w:szCs w:val="28"/>
        </w:rPr>
        <w:t>华农财产保险股份有限公司广西地区学生意外伤害保险（</w:t>
      </w:r>
      <w:r>
        <w:rPr>
          <w:rFonts w:asciiTheme="majorEastAsia" w:hAnsiTheme="majorEastAsia" w:eastAsiaTheme="majorEastAsia"/>
          <w:b/>
          <w:color w:val="auto"/>
          <w:sz w:val="28"/>
          <w:szCs w:val="28"/>
        </w:rPr>
        <w:t>202</w:t>
      </w:r>
      <w:r>
        <w:rPr>
          <w:rFonts w:hint="eastAsia" w:asciiTheme="majorEastAsia" w:hAnsiTheme="majorEastAsia" w:eastAsiaTheme="majorEastAsia"/>
          <w:b/>
          <w:color w:val="auto"/>
          <w:sz w:val="28"/>
          <w:szCs w:val="28"/>
          <w:lang w:val="en-US" w:eastAsia="zh-CN"/>
        </w:rPr>
        <w:t>5</w:t>
      </w:r>
      <w:r>
        <w:rPr>
          <w:rFonts w:hint="eastAsia" w:asciiTheme="majorEastAsia" w:hAnsiTheme="majorEastAsia" w:eastAsiaTheme="majorEastAsia"/>
          <w:b/>
          <w:color w:val="auto"/>
          <w:sz w:val="28"/>
          <w:szCs w:val="28"/>
        </w:rPr>
        <w:t>版）条款</w:t>
      </w:r>
    </w:p>
    <w:p w14:paraId="4405D773">
      <w:pPr>
        <w:spacing w:after="50" w:line="360" w:lineRule="auto"/>
        <w:jc w:val="center"/>
        <w:rPr>
          <w:rFonts w:hint="eastAsia" w:ascii="宋体" w:hAnsi="宋体" w:eastAsiaTheme="minorEastAsia"/>
          <w:b/>
          <w:color w:val="000000" w:themeColor="text1"/>
          <w:szCs w:val="21"/>
          <w:lang w:val="en-US" w:eastAsia="zh-CN"/>
          <w14:textFill>
            <w14:solidFill>
              <w14:schemeClr w14:val="tx1"/>
            </w14:solidFill>
          </w14:textFill>
        </w:rPr>
      </w:pPr>
      <w:r>
        <w:rPr>
          <w:rFonts w:hint="eastAsia" w:ascii="宋体" w:hAnsi="宋体"/>
          <w:b/>
          <w:color w:val="000000" w:themeColor="text1"/>
          <w:szCs w:val="21"/>
          <w:lang w:val="en-US" w:eastAsia="zh-CN"/>
          <w14:textFill>
            <w14:solidFill>
              <w14:schemeClr w14:val="tx1"/>
            </w14:solidFill>
          </w14:textFill>
        </w:rPr>
        <w:t>注册号：C00010132312025080603483</w:t>
      </w:r>
      <w:bookmarkStart w:id="0" w:name="_GoBack"/>
      <w:bookmarkEnd w:id="0"/>
    </w:p>
    <w:p w14:paraId="28931155">
      <w:pPr>
        <w:spacing w:after="50" w:line="360" w:lineRule="auto"/>
        <w:jc w:val="center"/>
        <w:rPr>
          <w:rFonts w:asci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第一部分　基本条款</w:t>
      </w:r>
    </w:p>
    <w:p w14:paraId="222A0488">
      <w:pPr>
        <w:snapToGrid w:val="0"/>
        <w:spacing w:after="50" w:line="360" w:lineRule="auto"/>
        <w:ind w:firstLine="422" w:firstLineChars="200"/>
        <w:rPr>
          <w:rFonts w:asci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第一条  保险合同构成</w:t>
      </w:r>
    </w:p>
    <w:p w14:paraId="5B481562">
      <w:pPr>
        <w:adjustRightInd w:val="0"/>
        <w:snapToGrid w:val="0"/>
        <w:spacing w:after="50" w:line="360" w:lineRule="auto"/>
        <w:ind w:firstLine="420" w:firstLineChars="200"/>
        <w:rPr>
          <w:rFonts w:asci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本保险合同由保险条款、投保单、保险单以及与本保险合同有关的投保文件、声明和其他书面协议等共同构成。凡涉及本保险合同的约定，均应采用书面形式。</w:t>
      </w:r>
    </w:p>
    <w:p w14:paraId="3B0DE00A">
      <w:pPr>
        <w:snapToGrid w:val="0"/>
        <w:spacing w:after="50" w:line="360" w:lineRule="auto"/>
        <w:ind w:firstLine="422" w:firstLineChars="200"/>
        <w:rPr>
          <w:rFonts w:asci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第二条  被保险人和投保人</w:t>
      </w:r>
    </w:p>
    <w:p w14:paraId="0E7F1F0B">
      <w:pPr>
        <w:spacing w:after="50" w:line="360"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一、被保险人</w:t>
      </w:r>
    </w:p>
    <w:p w14:paraId="32DEA80C">
      <w:pPr>
        <w:spacing w:after="50" w:line="360"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在义务教育阶段的学校（包括小学、初中及同阶段的特殊教育学校）、高中教育阶段、高等教育阶段的学校（包括高中、中等职业教育学校及同阶段的特殊教育学校、高等职业教育学校、学院、大学等）或幼儿园正式注册、身体健康、能正常学习生活的学生及幼儿。</w:t>
      </w:r>
    </w:p>
    <w:p w14:paraId="35B3236F">
      <w:pPr>
        <w:spacing w:after="50" w:line="360" w:lineRule="auto"/>
        <w:ind w:firstLine="420" w:firstLineChars="200"/>
        <w:rPr>
          <w:rFonts w:asci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二、投保人</w:t>
      </w:r>
    </w:p>
    <w:p w14:paraId="56A8CAA9">
      <w:pPr>
        <w:spacing w:after="50" w:line="360" w:lineRule="auto"/>
        <w:ind w:firstLine="420" w:firstLineChars="200"/>
        <w:rPr>
          <w:rFonts w:asci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具有完全民事行为能力的被保险人本人、对被保险人有保险利益的其他人可作为投保人。被保险人为限制民事行为能力人的，应由其父母或父母同意的其他履行监护职责的人作为投保人。被保险人为无民事行为能力人的，应由其父母作为投保人。</w:t>
      </w:r>
    </w:p>
    <w:p w14:paraId="3FE1739F">
      <w:pPr>
        <w:snapToGrid w:val="0"/>
        <w:spacing w:after="50" w:line="360" w:lineRule="auto"/>
        <w:ind w:firstLine="422" w:firstLineChars="200"/>
        <w:rPr>
          <w:rFonts w:asci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第三条  受益人</w:t>
      </w:r>
    </w:p>
    <w:p w14:paraId="1B504B60">
      <w:pPr>
        <w:snapToGrid w:val="0"/>
        <w:spacing w:after="50" w:line="360" w:lineRule="auto"/>
        <w:ind w:firstLine="420" w:firstLineChars="200"/>
        <w:rPr>
          <w:rFonts w:asci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本保险合同的受益人包括：</w:t>
      </w:r>
    </w:p>
    <w:p w14:paraId="42689679">
      <w:pPr>
        <w:snapToGrid w:val="0"/>
        <w:spacing w:after="50" w:line="360" w:lineRule="auto"/>
        <w:ind w:firstLine="420" w:firstLineChars="200"/>
        <w:rPr>
          <w:rFonts w:asci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一、身故保险金受益人</w:t>
      </w:r>
    </w:p>
    <w:p w14:paraId="297A0044">
      <w:pPr>
        <w:snapToGrid w:val="0"/>
        <w:spacing w:after="50" w:line="360" w:lineRule="auto"/>
        <w:ind w:firstLine="420" w:firstLineChars="200"/>
        <w:rPr>
          <w:rFonts w:asci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订立本保险合同时，被保险人或投保人可指定一人或数人为身故保险金受益人。身故保险金受益人为数人时，应确定其受益顺序和受益份额；未确定受益份额的，各身故保险金受益人按照相等份额享有受益权。</w:t>
      </w:r>
    </w:p>
    <w:p w14:paraId="585E4AFD">
      <w:pPr>
        <w:snapToGrid w:val="0"/>
        <w:spacing w:after="50" w:line="360" w:lineRule="auto"/>
        <w:ind w:firstLine="420" w:firstLineChars="200"/>
        <w:rPr>
          <w:rFonts w:asci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被保险人或投保人可以变更身故保险金受益人，但需书面通知保险人，由保险人在本保险合同上批注。</w:t>
      </w:r>
      <w:r>
        <w:rPr>
          <w:rFonts w:hint="eastAsia" w:ascii="宋体" w:hAnsi="宋体"/>
          <w:b/>
          <w:color w:val="000000" w:themeColor="text1"/>
          <w:szCs w:val="21"/>
          <w14:textFill>
            <w14:solidFill>
              <w14:schemeClr w14:val="tx1"/>
            </w14:solidFill>
          </w14:textFill>
        </w:rPr>
        <w:t>对因身故保险金受益人变更发生的法律纠纷，保险人不承担任何责任。</w:t>
      </w:r>
      <w:r>
        <w:rPr>
          <w:rFonts w:hint="eastAsia" w:ascii="宋体" w:hAnsi="宋体"/>
          <w:color w:val="000000" w:themeColor="text1"/>
          <w:szCs w:val="21"/>
          <w14:textFill>
            <w14:solidFill>
              <w14:schemeClr w14:val="tx1"/>
            </w14:solidFill>
          </w14:textFill>
        </w:rPr>
        <w:t>被保险人为无民事行为能力人或限制民事行为能力人的，应由其监护人指定或变更身故保险金受益人。</w:t>
      </w:r>
    </w:p>
    <w:p w14:paraId="0D201DFC">
      <w:pPr>
        <w:snapToGrid w:val="0"/>
        <w:spacing w:after="50" w:line="360" w:lineRule="auto"/>
        <w:ind w:firstLine="420" w:firstLineChars="200"/>
        <w:rPr>
          <w:rFonts w:asci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投保人指定或变更身故保险金受益人的，应经被保险人书面同意。</w:t>
      </w:r>
    </w:p>
    <w:p w14:paraId="4744177B">
      <w:pPr>
        <w:snapToGrid w:val="0"/>
        <w:spacing w:after="50" w:line="360" w:lineRule="auto"/>
        <w:ind w:firstLine="420" w:firstLineChars="200"/>
        <w:rPr>
          <w:rFonts w:asci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二、伤残保险金受益人</w:t>
      </w:r>
    </w:p>
    <w:p w14:paraId="005ECEC9">
      <w:pPr>
        <w:snapToGrid w:val="0"/>
        <w:spacing w:after="50" w:line="360" w:lineRule="auto"/>
        <w:ind w:firstLine="420" w:firstLineChars="200"/>
        <w:rPr>
          <w:rFonts w:ascii="宋体"/>
          <w:b/>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本保险合同的伤残保险金受益人为被保险人本人。</w:t>
      </w:r>
    </w:p>
    <w:p w14:paraId="3D3F1F82">
      <w:pPr>
        <w:snapToGrid w:val="0"/>
        <w:spacing w:after="50" w:line="360" w:lineRule="auto"/>
        <w:ind w:firstLine="422" w:firstLineChars="200"/>
        <w:rPr>
          <w:rFonts w:asci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第四条  如实告知</w:t>
      </w:r>
    </w:p>
    <w:p w14:paraId="462E5EC2">
      <w:pPr>
        <w:snapToGrid w:val="0"/>
        <w:spacing w:after="50" w:line="360" w:lineRule="auto"/>
        <w:ind w:firstLine="420" w:firstLineChars="200"/>
        <w:rPr>
          <w:rFonts w:asci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订立保险合同，保险人就被保险人的有关情况提出询问的，投保人应当如实告知。</w:t>
      </w:r>
    </w:p>
    <w:p w14:paraId="0807D146">
      <w:pPr>
        <w:snapToGrid w:val="0"/>
        <w:spacing w:after="50" w:line="360" w:lineRule="auto"/>
        <w:ind w:firstLine="422" w:firstLineChars="200"/>
        <w:rPr>
          <w:rFonts w:asci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投保人故意或者因重大过失未履行前款规定的义务，足以影响保险人决定是否同意承保或者提高保险费率的，保险人有权解除本保险合同。</w:t>
      </w:r>
    </w:p>
    <w:p w14:paraId="4395CAA8">
      <w:pPr>
        <w:snapToGrid w:val="0"/>
        <w:spacing w:after="50" w:line="360" w:lineRule="auto"/>
        <w:ind w:firstLine="422" w:firstLineChars="200"/>
        <w:rPr>
          <w:rFonts w:asci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投保人故意不履行如实告知义务的，保险人对于合同解除前发生的保险事故，不承担给付保险金责任，并不退还保险费。</w:t>
      </w:r>
    </w:p>
    <w:p w14:paraId="4016E9DC">
      <w:pPr>
        <w:snapToGrid w:val="0"/>
        <w:spacing w:after="50" w:line="360" w:lineRule="auto"/>
        <w:ind w:firstLine="422" w:firstLineChars="200"/>
        <w:rPr>
          <w:rFonts w:asci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投保人因重大过失未履行如实告知义务，对保险事故的发生有严重影响的，保险人对于合同解除前发生的保险事故，不承担给付保险金责任，但应当退还保险费。</w:t>
      </w:r>
    </w:p>
    <w:p w14:paraId="4A62E911">
      <w:pPr>
        <w:snapToGrid w:val="0"/>
        <w:spacing w:after="50" w:line="360" w:lineRule="auto"/>
        <w:ind w:firstLine="420" w:firstLineChars="200"/>
        <w:rPr>
          <w:rFonts w:asci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保险人依据本条所述取得的保险合同解除权，自保险人知道有解除事由之日起，超过30日不行使而消灭。</w:t>
      </w:r>
    </w:p>
    <w:p w14:paraId="3AEB0C90">
      <w:pPr>
        <w:snapToGrid w:val="0"/>
        <w:spacing w:after="50" w:line="360" w:lineRule="auto"/>
        <w:ind w:firstLine="420" w:firstLineChars="200"/>
        <w:rPr>
          <w:rFonts w:asci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保险人在合同订立时已经知道投保人未如实告知的情况的，不得解除合同；发生保险事故的，保险人应当承担给付保险金责任。</w:t>
      </w:r>
    </w:p>
    <w:p w14:paraId="7170A030">
      <w:pPr>
        <w:snapToGrid w:val="0"/>
        <w:spacing w:after="50" w:line="360" w:lineRule="auto"/>
        <w:ind w:firstLine="422" w:firstLineChars="200"/>
        <w:rPr>
          <w:rFonts w:asci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第五条  合同变更</w:t>
      </w:r>
    </w:p>
    <w:p w14:paraId="49932A88">
      <w:pPr>
        <w:snapToGrid w:val="0"/>
        <w:spacing w:after="50" w:line="360" w:lineRule="auto"/>
        <w:ind w:firstLine="420" w:firstLineChars="200"/>
        <w:rPr>
          <w:rFonts w:asci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一、在本保险合同有效期内，经投保人和保险人协商，可以变更本保险合同的有关内容。变更时应当由保险人在保险单或者其他保险凭证上予以批注或附贴批单，或由投保人和保险人订立变更的书面协议。</w:t>
      </w:r>
    </w:p>
    <w:p w14:paraId="467537B1">
      <w:pPr>
        <w:snapToGrid w:val="0"/>
        <w:spacing w:after="50" w:line="360" w:lineRule="auto"/>
        <w:ind w:firstLine="420" w:firstLineChars="200"/>
        <w:rPr>
          <w:rFonts w:ascii="宋体"/>
          <w:b/>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二、投保人住所或通讯地址变更时，应及时通知保险人。</w:t>
      </w:r>
      <w:r>
        <w:rPr>
          <w:rFonts w:hint="eastAsia" w:ascii="宋体" w:hAnsi="宋体"/>
          <w:b/>
          <w:color w:val="000000" w:themeColor="text1"/>
          <w:szCs w:val="21"/>
          <w14:textFill>
            <w14:solidFill>
              <w14:schemeClr w14:val="tx1"/>
            </w14:solidFill>
          </w14:textFill>
        </w:rPr>
        <w:t>投保人未通知的，保险人按本保险合同所载的最后住所或通讯地址发送的有关通知，均视为已发送给投保人。</w:t>
      </w:r>
    </w:p>
    <w:p w14:paraId="08FC2A79">
      <w:pPr>
        <w:snapToGrid w:val="0"/>
        <w:spacing w:after="50" w:line="360" w:lineRule="auto"/>
        <w:ind w:firstLine="422" w:firstLineChars="200"/>
        <w:rPr>
          <w:rFonts w:asci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第六条  合同解除与终止</w:t>
      </w:r>
    </w:p>
    <w:p w14:paraId="44FA6152">
      <w:pPr>
        <w:snapToGrid w:val="0"/>
        <w:spacing w:after="50" w:line="360" w:lineRule="auto"/>
        <w:ind w:firstLine="420" w:firstLineChars="200"/>
        <w:rPr>
          <w:rFonts w:ascii="宋体"/>
          <w:b/>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在本保险合同成立后，投保人可以书面形式通知保险人解除合同，</w:t>
      </w:r>
      <w:r>
        <w:rPr>
          <w:rFonts w:hint="eastAsia" w:ascii="宋体" w:hAnsi="宋体"/>
          <w:b/>
          <w:color w:val="000000" w:themeColor="text1"/>
          <w:szCs w:val="21"/>
          <w14:textFill>
            <w14:solidFill>
              <w14:schemeClr w14:val="tx1"/>
            </w14:solidFill>
          </w14:textFill>
        </w:rPr>
        <w:t>但保险人已根据本保险合同约定给付保险金的除外。</w:t>
      </w:r>
    </w:p>
    <w:p w14:paraId="37289957">
      <w:pPr>
        <w:snapToGrid w:val="0"/>
        <w:spacing w:after="50" w:line="360" w:lineRule="auto"/>
        <w:ind w:firstLine="420" w:firstLineChars="200"/>
        <w:rPr>
          <w:rFonts w:asci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投保人解除本保险合同时，应提供下列证明文件和资料：</w:t>
      </w:r>
    </w:p>
    <w:p w14:paraId="42CE09C3">
      <w:pPr>
        <w:snapToGrid w:val="0"/>
        <w:spacing w:after="50" w:line="360" w:lineRule="auto"/>
        <w:ind w:firstLine="420" w:firstLineChars="200"/>
        <w:rPr>
          <w:rFonts w:asci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一、保险合同解除申请书；</w:t>
      </w:r>
    </w:p>
    <w:p w14:paraId="5CDCCBE0">
      <w:pPr>
        <w:snapToGrid w:val="0"/>
        <w:spacing w:after="50" w:line="360" w:lineRule="auto"/>
        <w:ind w:firstLine="420" w:firstLineChars="200"/>
        <w:rPr>
          <w:rFonts w:asci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二、投保人身份证明。</w:t>
      </w:r>
    </w:p>
    <w:p w14:paraId="55AF94BE">
      <w:pPr>
        <w:snapToGrid w:val="0"/>
        <w:spacing w:after="50" w:line="360"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投保人要求解除本保险合同，自保险人接到保险合同解除申请书之时起，本保险合同的效力终止。保险人收到上述证明文件和资料之日起</w:t>
      </w:r>
      <w:r>
        <w:rPr>
          <w:rFonts w:ascii="宋体" w:hAnsi="宋体"/>
          <w:color w:val="000000" w:themeColor="text1"/>
          <w:szCs w:val="21"/>
          <w14:textFill>
            <w14:solidFill>
              <w14:schemeClr w14:val="tx1"/>
            </w14:solidFill>
          </w14:textFill>
        </w:rPr>
        <w:t>30</w:t>
      </w:r>
      <w:r>
        <w:rPr>
          <w:rFonts w:hint="eastAsia" w:ascii="宋体" w:hAnsi="宋体"/>
          <w:color w:val="000000" w:themeColor="text1"/>
          <w:szCs w:val="21"/>
          <w14:textFill>
            <w14:solidFill>
              <w14:schemeClr w14:val="tx1"/>
            </w14:solidFill>
          </w14:textFill>
        </w:rPr>
        <w:t>日内退还保险单的未满期净保费（详见释义，下</w:t>
      </w:r>
      <w:r>
        <w:rPr>
          <w:rFonts w:ascii="宋体" w:hAnsi="宋体"/>
          <w:color w:val="000000" w:themeColor="text1"/>
          <w:szCs w:val="21"/>
          <w14:textFill>
            <w14:solidFill>
              <w14:schemeClr w14:val="tx1"/>
            </w14:solidFill>
          </w14:textFill>
        </w:rPr>
        <w:t>同</w:t>
      </w:r>
      <w:r>
        <w:rPr>
          <w:rFonts w:hint="eastAsia" w:ascii="宋体" w:hAnsi="宋体"/>
          <w:color w:val="000000" w:themeColor="text1"/>
          <w:szCs w:val="21"/>
          <w14:textFill>
            <w14:solidFill>
              <w14:schemeClr w14:val="tx1"/>
            </w14:solidFill>
          </w14:textFill>
        </w:rPr>
        <w:t>）。</w:t>
      </w:r>
    </w:p>
    <w:p w14:paraId="1A720838">
      <w:pPr>
        <w:snapToGrid w:val="0"/>
        <w:spacing w:after="50" w:line="360" w:lineRule="auto"/>
        <w:ind w:firstLine="422" w:firstLineChars="200"/>
        <w:rPr>
          <w:rFonts w:asci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第七条  争议处理</w:t>
      </w:r>
    </w:p>
    <w:p w14:paraId="7D1B1B1E">
      <w:pPr>
        <w:snapToGrid w:val="0"/>
        <w:spacing w:after="50" w:line="360" w:lineRule="auto"/>
        <w:ind w:firstLine="420" w:firstLineChars="200"/>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一、因履行本保险合同发生的争议，由当事人协商解决。协商不成的，提交保险单载明的仲裁机构仲裁；保险单未载明仲裁机构且争议发生后未达成仲裁协议的，依法向中华人民共和国（</w:t>
      </w:r>
      <w:r>
        <w:rPr>
          <w:rFonts w:hint="eastAsia"/>
          <w:b/>
          <w:bCs/>
          <w:color w:val="000000" w:themeColor="text1"/>
          <w:szCs w:val="21"/>
          <w14:textFill>
            <w14:solidFill>
              <w14:schemeClr w14:val="tx1"/>
            </w14:solidFill>
          </w14:textFill>
        </w:rPr>
        <w:t>不含港、澳、台地区，下同</w:t>
      </w:r>
      <w:r>
        <w:rPr>
          <w:rFonts w:hint="eastAsia"/>
          <w:color w:val="000000" w:themeColor="text1"/>
          <w:szCs w:val="21"/>
          <w14:textFill>
            <w14:solidFill>
              <w14:schemeClr w14:val="tx1"/>
            </w14:solidFill>
          </w14:textFill>
        </w:rPr>
        <w:t>）法院起诉。</w:t>
      </w:r>
    </w:p>
    <w:p w14:paraId="73DF73B2">
      <w:pPr>
        <w:spacing w:after="50"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二、若保险金申请人与保险人对被保险人的死因有争议，双方均有权提请司法鉴定机构对被保险人进行死因鉴定，另一方应当予以配合。</w:t>
      </w:r>
    </w:p>
    <w:p w14:paraId="556B7DD9">
      <w:pPr>
        <w:snapToGrid w:val="0"/>
        <w:spacing w:after="50" w:line="360"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三、与本保险合同有关的以及履行本保险合同产生的一切争议处理适用中华人民共和国法律。</w:t>
      </w:r>
    </w:p>
    <w:p w14:paraId="0CD45941">
      <w:pPr>
        <w:spacing w:after="50" w:line="360" w:lineRule="auto"/>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第二部分　保险责任和责任免除</w:t>
      </w:r>
    </w:p>
    <w:p w14:paraId="4FFCDC0D">
      <w:pPr>
        <w:snapToGrid w:val="0"/>
        <w:spacing w:after="50" w:line="360" w:lineRule="auto"/>
        <w:ind w:firstLine="422" w:firstLineChars="200"/>
        <w:rPr>
          <w:rFonts w:asci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第八条  保险责任</w:t>
      </w:r>
    </w:p>
    <w:p w14:paraId="2C6C7C3A">
      <w:pPr>
        <w:snapToGrid w:val="0"/>
        <w:spacing w:after="50" w:line="360"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在本保险合同的保险期间内被保险人遭受意外伤害，自意外伤害发生之日起</w:t>
      </w:r>
      <w:r>
        <w:rPr>
          <w:rFonts w:ascii="宋体" w:hAnsi="宋体"/>
          <w:color w:val="000000" w:themeColor="text1"/>
          <w:szCs w:val="21"/>
          <w14:textFill>
            <w14:solidFill>
              <w14:schemeClr w14:val="tx1"/>
            </w14:solidFill>
          </w14:textFill>
        </w:rPr>
        <w:t>180</w:t>
      </w:r>
      <w:r>
        <w:rPr>
          <w:rFonts w:hint="eastAsia" w:ascii="宋体" w:hAnsi="宋体"/>
          <w:color w:val="000000" w:themeColor="text1"/>
          <w:szCs w:val="21"/>
          <w14:textFill>
            <w14:solidFill>
              <w14:schemeClr w14:val="tx1"/>
            </w14:solidFill>
          </w14:textFill>
        </w:rPr>
        <w:t>日</w:t>
      </w:r>
      <w:r>
        <w:rPr>
          <w:rFonts w:hint="eastAsia"/>
          <w:lang w:eastAsia="zh-CN"/>
        </w:rPr>
        <w:t>（</w:t>
      </w:r>
      <w:r>
        <w:rPr>
          <w:rFonts w:hint="eastAsia"/>
          <w:lang w:val="en-US" w:eastAsia="zh-CN"/>
        </w:rPr>
        <w:t>含）</w:t>
      </w:r>
      <w:r>
        <w:rPr>
          <w:rFonts w:hint="eastAsia" w:ascii="宋体" w:hAnsi="宋体"/>
          <w:color w:val="000000" w:themeColor="text1"/>
          <w:szCs w:val="21"/>
          <w14:textFill>
            <w14:solidFill>
              <w14:schemeClr w14:val="tx1"/>
            </w14:solidFill>
          </w14:textFill>
        </w:rPr>
        <w:t>内以该次意外伤害</w:t>
      </w:r>
      <w:r>
        <w:rPr>
          <w:rFonts w:hint="eastAsia" w:ascii="宋体" w:hAnsi="宋体"/>
          <w:color w:val="000000" w:themeColor="text1"/>
          <w:szCs w:val="21"/>
          <w:highlight w:val="none"/>
          <w14:textFill>
            <w14:solidFill>
              <w14:schemeClr w14:val="tx1"/>
            </w14:solidFill>
          </w14:textFill>
        </w:rPr>
        <w:t>为直接原因身故或者伤残</w:t>
      </w:r>
      <w:r>
        <w:rPr>
          <w:rFonts w:hint="eastAsia" w:ascii="宋体" w:hAnsi="宋体"/>
          <w:color w:val="000000" w:themeColor="text1"/>
          <w:szCs w:val="21"/>
          <w14:textFill>
            <w14:solidFill>
              <w14:schemeClr w14:val="tx1"/>
            </w14:solidFill>
          </w14:textFill>
        </w:rPr>
        <w:t>的，且该伤残属于</w:t>
      </w:r>
      <w:r>
        <w:rPr>
          <w:rFonts w:hint="eastAsia" w:ascii="宋体" w:hAnsi="宋体" w:cs="仿宋_GB2312"/>
          <w:color w:val="000000" w:themeColor="text1"/>
          <w:szCs w:val="21"/>
          <w14:textFill>
            <w14:solidFill>
              <w14:schemeClr w14:val="tx1"/>
            </w14:solidFill>
          </w14:textFill>
        </w:rPr>
        <w:t>《人身保险伤残评定及代码》（</w:t>
      </w:r>
      <w:r>
        <w:rPr>
          <w:rFonts w:hint="eastAsia" w:ascii="宋体" w:hAnsi="宋体" w:cs="仿宋_GB2312"/>
          <w:color w:val="000000" w:themeColor="text1"/>
          <w:szCs w:val="21"/>
          <w:lang w:val="en-US" w:eastAsia="zh-CN"/>
          <w14:textFill>
            <w14:solidFill>
              <w14:schemeClr w14:val="tx1"/>
            </w14:solidFill>
          </w14:textFill>
        </w:rPr>
        <w:t>详见释义</w:t>
      </w:r>
      <w:r>
        <w:rPr>
          <w:rFonts w:hint="eastAsia" w:ascii="宋体" w:hAnsi="宋体" w:cs="仿宋_GB2312"/>
          <w:color w:val="000000" w:themeColor="text1"/>
          <w:szCs w:val="21"/>
          <w14:textFill>
            <w14:solidFill>
              <w14:schemeClr w14:val="tx1"/>
            </w14:solidFill>
          </w14:textFill>
        </w:rPr>
        <w:t>）</w:t>
      </w:r>
      <w:r>
        <w:rPr>
          <w:rFonts w:hint="eastAsia" w:ascii="宋体" w:hAnsi="宋体"/>
          <w:color w:val="000000" w:themeColor="text1"/>
          <w:szCs w:val="21"/>
          <w14:textFill>
            <w14:solidFill>
              <w14:schemeClr w14:val="tx1"/>
            </w14:solidFill>
          </w14:textFill>
        </w:rPr>
        <w:t xml:space="preserve">之列的，保险人按下列约定给付保险金。 </w:t>
      </w:r>
    </w:p>
    <w:p w14:paraId="70B8334B">
      <w:pPr>
        <w:snapToGrid w:val="0"/>
        <w:spacing w:after="50" w:line="360" w:lineRule="auto"/>
        <w:ind w:firstLine="420" w:firstLineChars="200"/>
        <w:rPr>
          <w:rFonts w:asci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 xml:space="preserve"> 一、意外身故保险责任，保险人按保险单所载该被保险人意外伤害保险金额给付身故保险金。</w:t>
      </w:r>
    </w:p>
    <w:p w14:paraId="0446E01F">
      <w:pPr>
        <w:snapToGrid w:val="0"/>
        <w:spacing w:after="50" w:line="360" w:lineRule="auto"/>
        <w:ind w:firstLine="420" w:firstLineChars="200"/>
        <w:rPr>
          <w:rFonts w:asci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被保险人因遭受意外伤害事故且自该事故发生日起下落不明，后经中华人民共和国法院宣告死亡的，保险人按保险金额给付身故保险金。</w:t>
      </w:r>
      <w:r>
        <w:rPr>
          <w:rFonts w:hint="eastAsia" w:ascii="宋体" w:hAnsi="宋体"/>
          <w:b/>
          <w:color w:val="000000" w:themeColor="text1"/>
          <w:szCs w:val="21"/>
          <w14:textFill>
            <w14:solidFill>
              <w14:schemeClr w14:val="tx1"/>
            </w14:solidFill>
          </w14:textFill>
        </w:rPr>
        <w:t>若被保险人被宣告死亡后</w:t>
      </w:r>
      <w:r>
        <w:rPr>
          <w:rFonts w:hint="eastAsia" w:ascii="宋体" w:hAnsi="宋体"/>
          <w:b/>
          <w:color w:val="000000" w:themeColor="text1"/>
          <w:szCs w:val="21"/>
          <w:lang w:val="en-US" w:eastAsia="zh-CN"/>
          <w14:textFill>
            <w14:solidFill>
              <w14:schemeClr w14:val="tx1"/>
            </w14:solidFill>
          </w14:textFill>
        </w:rPr>
        <w:t>重新出现</w:t>
      </w:r>
      <w:r>
        <w:rPr>
          <w:rFonts w:hint="eastAsia" w:ascii="宋体" w:hAnsi="宋体"/>
          <w:b/>
          <w:color w:val="000000" w:themeColor="text1"/>
          <w:szCs w:val="21"/>
          <w14:textFill>
            <w14:solidFill>
              <w14:schemeClr w14:val="tx1"/>
            </w14:solidFill>
          </w14:textFill>
        </w:rPr>
        <w:t>的，保险金申请人应于知道或应当知道被保险人</w:t>
      </w:r>
      <w:r>
        <w:rPr>
          <w:rFonts w:hint="eastAsia" w:ascii="宋体" w:hAnsi="宋体"/>
          <w:b/>
          <w:color w:val="000000" w:themeColor="text1"/>
          <w:szCs w:val="21"/>
          <w:lang w:val="en-US" w:eastAsia="zh-CN"/>
          <w14:textFill>
            <w14:solidFill>
              <w14:schemeClr w14:val="tx1"/>
            </w14:solidFill>
          </w14:textFill>
        </w:rPr>
        <w:t>重新出现</w:t>
      </w:r>
      <w:r>
        <w:rPr>
          <w:rFonts w:hint="eastAsia" w:ascii="宋体" w:hAnsi="宋体"/>
          <w:b/>
          <w:color w:val="000000" w:themeColor="text1"/>
          <w:szCs w:val="21"/>
          <w14:textFill>
            <w14:solidFill>
              <w14:schemeClr w14:val="tx1"/>
            </w14:solidFill>
          </w14:textFill>
        </w:rPr>
        <w:t>后</w:t>
      </w:r>
      <w:r>
        <w:rPr>
          <w:rFonts w:ascii="宋体" w:hAnsi="宋体"/>
          <w:b/>
          <w:color w:val="000000" w:themeColor="text1"/>
          <w:szCs w:val="21"/>
          <w14:textFill>
            <w14:solidFill>
              <w14:schemeClr w14:val="tx1"/>
            </w14:solidFill>
          </w14:textFill>
        </w:rPr>
        <w:t>30</w:t>
      </w:r>
      <w:r>
        <w:rPr>
          <w:rFonts w:hint="eastAsia" w:ascii="宋体" w:hAnsi="宋体"/>
          <w:b/>
          <w:color w:val="000000" w:themeColor="text1"/>
          <w:szCs w:val="21"/>
          <w14:textFill>
            <w14:solidFill>
              <w14:schemeClr w14:val="tx1"/>
            </w14:solidFill>
          </w14:textFill>
        </w:rPr>
        <w:t>日内退还保险人给付的身故保险金。</w:t>
      </w:r>
    </w:p>
    <w:p w14:paraId="26A665A6">
      <w:pPr>
        <w:snapToGrid w:val="0"/>
        <w:spacing w:after="50" w:line="360" w:lineRule="auto"/>
        <w:ind w:firstLine="422" w:firstLineChars="200"/>
        <w:rPr>
          <w:rFonts w:asci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被保险人身故或被宣告死亡前保险人已给付本条款约定的伤残保险金的，身故保险金应扣除已给付的伤残保险金。</w:t>
      </w:r>
    </w:p>
    <w:p w14:paraId="0327C427">
      <w:pPr>
        <w:snapToGrid w:val="0"/>
        <w:spacing w:after="50" w:line="360" w:lineRule="auto"/>
        <w:ind w:firstLine="420" w:firstLineChars="200"/>
        <w:rPr>
          <w:rFonts w:asci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二、意外伤残保险责任，</w:t>
      </w:r>
      <w:r>
        <w:rPr>
          <w:rFonts w:hint="eastAsia" w:ascii="宋体" w:hAnsi="宋体"/>
          <w:b/>
          <w:color w:val="000000" w:themeColor="text1"/>
          <w:szCs w:val="21"/>
          <w14:textFill>
            <w14:solidFill>
              <w14:schemeClr w14:val="tx1"/>
            </w14:solidFill>
          </w14:textFill>
        </w:rPr>
        <w:t>保险人按本保险合同所载的该被保险人意外伤害保险金额及该项伤残所对应的给付比例给付伤残保险金</w:t>
      </w:r>
      <w:r>
        <w:rPr>
          <w:rFonts w:hint="eastAsia" w:ascii="宋体" w:hAnsi="宋体"/>
          <w:color w:val="000000" w:themeColor="text1"/>
          <w:szCs w:val="21"/>
          <w14:textFill>
            <w14:solidFill>
              <w14:schemeClr w14:val="tx1"/>
            </w14:solidFill>
          </w14:textFill>
        </w:rPr>
        <w:t>。如自意外伤害发生之日起第</w:t>
      </w:r>
      <w:r>
        <w:rPr>
          <w:rFonts w:ascii="宋体" w:hAnsi="宋体"/>
          <w:color w:val="000000" w:themeColor="text1"/>
          <w:szCs w:val="21"/>
          <w14:textFill>
            <w14:solidFill>
              <w14:schemeClr w14:val="tx1"/>
            </w14:solidFill>
          </w14:textFill>
        </w:rPr>
        <w:t>180</w:t>
      </w:r>
      <w:r>
        <w:rPr>
          <w:rFonts w:hint="eastAsia" w:ascii="宋体" w:hAnsi="宋体"/>
          <w:color w:val="000000" w:themeColor="text1"/>
          <w:szCs w:val="21"/>
          <w14:textFill>
            <w14:solidFill>
              <w14:schemeClr w14:val="tx1"/>
            </w14:solidFill>
          </w14:textFill>
        </w:rPr>
        <w:t>日时治疗仍未结束，按第</w:t>
      </w:r>
      <w:r>
        <w:rPr>
          <w:rFonts w:ascii="宋体" w:hAnsi="宋体"/>
          <w:color w:val="000000" w:themeColor="text1"/>
          <w:szCs w:val="21"/>
          <w14:textFill>
            <w14:solidFill>
              <w14:schemeClr w14:val="tx1"/>
            </w14:solidFill>
          </w14:textFill>
        </w:rPr>
        <w:t>180</w:t>
      </w:r>
      <w:r>
        <w:rPr>
          <w:rFonts w:hint="eastAsia" w:ascii="宋体" w:hAnsi="宋体"/>
          <w:color w:val="000000" w:themeColor="text1"/>
          <w:szCs w:val="21"/>
          <w14:textFill>
            <w14:solidFill>
              <w14:schemeClr w14:val="tx1"/>
            </w14:solidFill>
          </w14:textFill>
        </w:rPr>
        <w:t>日的身体情况进行鉴定，并据此给付伤残保险金。</w:t>
      </w:r>
      <w:r>
        <w:rPr>
          <w:rFonts w:hint="eastAsia" w:ascii="宋体" w:hAnsi="宋体"/>
          <w:b/>
          <w:color w:val="000000" w:themeColor="text1"/>
          <w:szCs w:val="21"/>
          <w14:textFill>
            <w14:solidFill>
              <w14:schemeClr w14:val="tx1"/>
            </w14:solidFill>
          </w14:textFill>
        </w:rPr>
        <w:t>如被保险人的伤残程度不在</w:t>
      </w:r>
      <w:r>
        <w:rPr>
          <w:rFonts w:hint="eastAsia" w:ascii="宋体" w:hAnsi="宋体" w:cs="仿宋_GB2312"/>
          <w:b/>
          <w:color w:val="000000" w:themeColor="text1"/>
          <w:szCs w:val="21"/>
          <w:lang w:eastAsia="zh-CN"/>
          <w14:textFill>
            <w14:solidFill>
              <w14:schemeClr w14:val="tx1"/>
            </w14:solidFill>
          </w14:textFill>
        </w:rPr>
        <w:t>《人身保险伤残评定及代码》</w:t>
      </w:r>
      <w:r>
        <w:rPr>
          <w:rFonts w:hint="eastAsia" w:ascii="宋体" w:hAnsi="宋体"/>
          <w:b/>
          <w:color w:val="000000" w:themeColor="text1"/>
          <w:szCs w:val="21"/>
          <w14:textFill>
            <w14:solidFill>
              <w14:schemeClr w14:val="tx1"/>
            </w14:solidFill>
          </w14:textFill>
        </w:rPr>
        <w:t>之列的，保险人不承担给付伤残保险金责任</w:t>
      </w:r>
      <w:r>
        <w:rPr>
          <w:rFonts w:hint="eastAsia" w:ascii="宋体" w:hAnsi="宋体"/>
          <w:color w:val="000000" w:themeColor="text1"/>
          <w:szCs w:val="21"/>
          <w14:textFill>
            <w14:solidFill>
              <w14:schemeClr w14:val="tx1"/>
            </w14:solidFill>
          </w14:textFill>
        </w:rPr>
        <w:t>。</w:t>
      </w:r>
    </w:p>
    <w:p w14:paraId="16ACA06B">
      <w:pPr>
        <w:snapToGrid w:val="0"/>
        <w:spacing w:after="50" w:line="360"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当同一保险事故造成两处或两处以上伤残时，应首先对各处伤残程度分别进行评定，</w:t>
      </w:r>
      <w:r>
        <w:rPr>
          <w:rFonts w:hint="eastAsia" w:ascii="宋体" w:hAnsi="宋体"/>
          <w:b/>
          <w:color w:val="000000" w:themeColor="text1"/>
          <w:szCs w:val="21"/>
          <w14:textFill>
            <w14:solidFill>
              <w14:schemeClr w14:val="tx1"/>
            </w14:solidFill>
          </w14:textFill>
        </w:rPr>
        <w:t>如果几处伤残等级不同，以最重的伤残等级作为最终的评定结论；如果两处或两处以上伤残等级相同，伤残等级在原评定基础上最多晋升一级，最高晋升至第一级</w:t>
      </w:r>
      <w:r>
        <w:rPr>
          <w:rFonts w:hint="eastAsia" w:ascii="宋体" w:hAnsi="宋体"/>
          <w:color w:val="000000" w:themeColor="text1"/>
          <w:szCs w:val="21"/>
          <w14:textFill>
            <w14:solidFill>
              <w14:schemeClr w14:val="tx1"/>
            </w14:solidFill>
          </w14:textFill>
        </w:rPr>
        <w:t>。</w:t>
      </w:r>
    </w:p>
    <w:p w14:paraId="703CEC8A">
      <w:pPr>
        <w:autoSpaceDE w:val="0"/>
        <w:autoSpaceDN w:val="0"/>
        <w:snapToGrid w:val="0"/>
        <w:spacing w:after="50" w:line="360" w:lineRule="auto"/>
        <w:ind w:firstLine="420" w:firstLineChars="200"/>
        <w:textAlignment w:val="bottom"/>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三、</w:t>
      </w:r>
      <w:r>
        <w:rPr>
          <w:rFonts w:hint="eastAsia" w:ascii="宋体" w:hAnsi="宋体"/>
          <w:b/>
          <w:color w:val="000000" w:themeColor="text1"/>
          <w:szCs w:val="21"/>
          <w14:textFill>
            <w14:solidFill>
              <w14:schemeClr w14:val="tx1"/>
            </w14:solidFill>
          </w14:textFill>
        </w:rPr>
        <w:t>保险人对被保险人所负身故、伤残保险金给付责任以保险单所载被保险人的意外伤害保险金额为限，一次或累计给付的保险金达到意外伤害保险金额时，保险人对被保险人的保险责任终止</w:t>
      </w:r>
      <w:r>
        <w:rPr>
          <w:rFonts w:hint="eastAsia" w:ascii="宋体" w:hAnsi="宋体"/>
          <w:color w:val="000000" w:themeColor="text1"/>
          <w:szCs w:val="21"/>
          <w14:textFill>
            <w14:solidFill>
              <w14:schemeClr w14:val="tx1"/>
            </w14:solidFill>
          </w14:textFill>
        </w:rPr>
        <w:t>。</w:t>
      </w:r>
    </w:p>
    <w:p w14:paraId="01CD16A9">
      <w:pPr>
        <w:adjustRightInd w:val="0"/>
        <w:snapToGrid w:val="0"/>
        <w:spacing w:after="50" w:line="360" w:lineRule="auto"/>
        <w:ind w:firstLine="420" w:firstLineChars="200"/>
        <w:rPr>
          <w:rFonts w:asci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本保险合同所称意外伤害，指以外来的、突发的、非本意的和非疾病的客观事件为直接</w:t>
      </w:r>
      <w:r>
        <w:rPr>
          <w:rFonts w:hint="eastAsia" w:ascii="宋体" w:hAnsi="宋体" w:cs="仿宋_GB2312"/>
          <w:color w:val="000000" w:themeColor="text1"/>
          <w:szCs w:val="21"/>
          <w14:textFill>
            <w14:solidFill>
              <w14:schemeClr w14:val="tx1"/>
            </w14:solidFill>
          </w14:textFill>
        </w:rPr>
        <w:t>原因</w:t>
      </w:r>
      <w:r>
        <w:rPr>
          <w:rFonts w:hint="eastAsia" w:ascii="宋体" w:hAnsi="宋体"/>
          <w:color w:val="000000" w:themeColor="text1"/>
          <w:szCs w:val="21"/>
          <w14:textFill>
            <w14:solidFill>
              <w14:schemeClr w14:val="tx1"/>
            </w14:solidFill>
          </w14:textFill>
        </w:rPr>
        <w:t>致使身体受到的伤害。</w:t>
      </w:r>
    </w:p>
    <w:p w14:paraId="3D5BD522">
      <w:pPr>
        <w:snapToGrid w:val="0"/>
        <w:spacing w:after="50" w:line="360" w:lineRule="auto"/>
        <w:ind w:firstLine="422" w:firstLineChars="200"/>
        <w:rPr>
          <w:rFonts w:asci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第九条  责任免除</w:t>
      </w:r>
    </w:p>
    <w:p w14:paraId="5B38E1D9">
      <w:pPr>
        <w:autoSpaceDE w:val="0"/>
        <w:autoSpaceDN w:val="0"/>
        <w:snapToGrid w:val="0"/>
        <w:spacing w:after="50" w:line="360" w:lineRule="auto"/>
        <w:ind w:firstLine="422"/>
        <w:textAlignment w:val="bottom"/>
        <w:rPr>
          <w:b/>
          <w:color w:val="000000" w:themeColor="text1"/>
          <w14:textFill>
            <w14:solidFill>
              <w14:schemeClr w14:val="tx1"/>
            </w14:solidFill>
          </w14:textFill>
        </w:rPr>
      </w:pPr>
      <w:r>
        <w:rPr>
          <w:rFonts w:hint="eastAsia"/>
          <w:b/>
          <w:color w:val="000000" w:themeColor="text1"/>
          <w:szCs w:val="21"/>
          <w14:textFill>
            <w14:solidFill>
              <w14:schemeClr w14:val="tx1"/>
            </w14:solidFill>
          </w14:textFill>
        </w:rPr>
        <w:t>因下列原因之一导致被保险人身故或者伤残的，保险人不承担保险责任：</w:t>
      </w:r>
    </w:p>
    <w:p w14:paraId="031CA582">
      <w:pPr>
        <w:autoSpaceDE w:val="0"/>
        <w:autoSpaceDN w:val="0"/>
        <w:snapToGrid w:val="0"/>
        <w:spacing w:after="50" w:line="360" w:lineRule="auto"/>
        <w:ind w:firstLine="422" w:firstLineChars="200"/>
        <w:textAlignment w:val="bottom"/>
        <w:rPr>
          <w:rFonts w:asci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一、投保人故意杀害或故意伤害被保险人；</w:t>
      </w:r>
    </w:p>
    <w:p w14:paraId="78B4E4C9">
      <w:pPr>
        <w:autoSpaceDE w:val="0"/>
        <w:autoSpaceDN w:val="0"/>
        <w:snapToGrid w:val="0"/>
        <w:spacing w:after="50" w:line="360" w:lineRule="auto"/>
        <w:ind w:firstLine="422" w:firstLineChars="200"/>
        <w:textAlignment w:val="bottom"/>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二、被保险人自杀或故意自伤，但被保险人自杀或故意自伤时为无民事行为能力人的除外；</w:t>
      </w:r>
    </w:p>
    <w:p w14:paraId="673D69B3">
      <w:pPr>
        <w:autoSpaceDE w:val="0"/>
        <w:autoSpaceDN w:val="0"/>
        <w:snapToGrid w:val="0"/>
        <w:spacing w:after="50" w:line="360" w:lineRule="auto"/>
        <w:ind w:firstLine="422" w:firstLineChars="200"/>
        <w:textAlignment w:val="bottom"/>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三、被保险人因接受非因意外伤害导致的整容、美容手术导致的伤害；</w:t>
      </w:r>
    </w:p>
    <w:p w14:paraId="31E4286E">
      <w:pPr>
        <w:autoSpaceDE w:val="0"/>
        <w:autoSpaceDN w:val="0"/>
        <w:snapToGrid w:val="0"/>
        <w:spacing w:after="50" w:line="360" w:lineRule="auto"/>
        <w:ind w:firstLine="422" w:firstLineChars="200"/>
        <w:textAlignment w:val="bottom"/>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四、被保险人未遵医嘱私自服用、涂用、注射处方药物，未按使用说明的规定使用非处方药；</w:t>
      </w:r>
    </w:p>
    <w:p w14:paraId="6AB0AAF2">
      <w:pPr>
        <w:autoSpaceDE w:val="0"/>
        <w:autoSpaceDN w:val="0"/>
        <w:snapToGrid w:val="0"/>
        <w:spacing w:after="50" w:line="360" w:lineRule="auto"/>
        <w:ind w:firstLine="422" w:firstLineChars="200"/>
        <w:textAlignment w:val="bottom"/>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五、被保险人故意犯罪或抗拒依法采取的刑事强制措施；</w:t>
      </w:r>
    </w:p>
    <w:p w14:paraId="6FB7D52F">
      <w:pPr>
        <w:autoSpaceDE w:val="0"/>
        <w:autoSpaceDN w:val="0"/>
        <w:snapToGrid w:val="0"/>
        <w:spacing w:after="50" w:line="360" w:lineRule="auto"/>
        <w:ind w:firstLine="422" w:firstLineChars="200"/>
        <w:textAlignment w:val="bottom"/>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六、被保险人从事高风险运动（详见释义）；</w:t>
      </w:r>
    </w:p>
    <w:p w14:paraId="35A2BD28">
      <w:pPr>
        <w:adjustRightInd w:val="0"/>
        <w:snapToGrid w:val="0"/>
        <w:spacing w:after="50" w:line="360" w:lineRule="auto"/>
        <w:ind w:firstLine="422" w:firstLineChars="200"/>
        <w:rPr>
          <w:rFonts w:ascii="宋体"/>
          <w:b/>
          <w:szCs w:val="21"/>
        </w:rPr>
      </w:pPr>
      <w:r>
        <w:rPr>
          <w:rFonts w:hint="eastAsia" w:ascii="宋体" w:hAnsi="宋体"/>
          <w:b/>
          <w:szCs w:val="21"/>
        </w:rPr>
        <w:t>七、被保险人因患抑郁症、自闭症，及其他精神和行为障碍，</w:t>
      </w:r>
      <w:r>
        <w:rPr>
          <w:rFonts w:hint="eastAsia" w:ascii="宋体" w:hAnsi="宋体"/>
          <w:b/>
        </w:rPr>
        <w:t>以世界卫生组织颁布的《疾病和有关健康问题的国际统计分类第十次修订版（</w:t>
      </w:r>
      <w:r>
        <w:rPr>
          <w:rFonts w:ascii="宋体" w:hAnsi="宋体"/>
          <w:b/>
        </w:rPr>
        <w:t>ICD-10）》为准）</w:t>
      </w:r>
      <w:r>
        <w:rPr>
          <w:rFonts w:hint="eastAsia" w:ascii="宋体" w:hAnsi="宋体"/>
          <w:b/>
        </w:rPr>
        <w:t>；</w:t>
      </w:r>
      <w:r>
        <w:rPr>
          <w:rFonts w:hint="eastAsia" w:ascii="宋体" w:hAnsi="宋体"/>
          <w:b/>
        </w:rPr>
        <w:tab/>
      </w:r>
    </w:p>
    <w:p w14:paraId="1E312EFA">
      <w:pPr>
        <w:adjustRightInd w:val="0"/>
        <w:snapToGrid w:val="0"/>
        <w:spacing w:after="50" w:line="360" w:lineRule="auto"/>
        <w:ind w:firstLine="422" w:firstLineChars="200"/>
        <w:rPr>
          <w:rFonts w:ascii="宋体"/>
          <w:b/>
          <w:color w:val="auto"/>
          <w:szCs w:val="21"/>
        </w:rPr>
      </w:pPr>
      <w:r>
        <w:rPr>
          <w:rFonts w:hint="eastAsia" w:ascii="宋体"/>
          <w:b/>
          <w:color w:val="auto"/>
          <w:szCs w:val="21"/>
        </w:rPr>
        <w:t>八、被保险人酒后驾驶、无有效驾驶证驾驶或驾驶无合法有效行驶证的机动车（详见释义）；</w:t>
      </w:r>
    </w:p>
    <w:p w14:paraId="41D71E81">
      <w:pPr>
        <w:adjustRightInd w:val="0"/>
        <w:snapToGrid w:val="0"/>
        <w:spacing w:after="50" w:line="360" w:lineRule="auto"/>
        <w:ind w:firstLine="422" w:firstLineChars="200"/>
        <w:rPr>
          <w:rFonts w:hint="eastAsia" w:ascii="宋体" w:eastAsiaTheme="minorEastAsia"/>
          <w:b/>
          <w:color w:val="auto"/>
          <w:szCs w:val="21"/>
          <w:lang w:eastAsia="zh-Hans"/>
        </w:rPr>
      </w:pPr>
      <w:r>
        <w:rPr>
          <w:rFonts w:hint="eastAsia" w:ascii="宋体"/>
          <w:b/>
          <w:color w:val="auto"/>
          <w:szCs w:val="21"/>
        </w:rPr>
        <w:t>九、因被保险人挑衅或故意行为而导致的打架、斗殴</w:t>
      </w:r>
      <w:r>
        <w:rPr>
          <w:rFonts w:hint="eastAsia" w:ascii="宋体"/>
          <w:b/>
          <w:color w:val="auto"/>
          <w:szCs w:val="21"/>
          <w:lang w:eastAsia="zh-Hans"/>
        </w:rPr>
        <w:t>；</w:t>
      </w:r>
    </w:p>
    <w:p w14:paraId="479D1CE7">
      <w:pPr>
        <w:autoSpaceDE w:val="0"/>
        <w:autoSpaceDN w:val="0"/>
        <w:snapToGrid w:val="0"/>
        <w:spacing w:after="50" w:line="360" w:lineRule="auto"/>
        <w:ind w:firstLine="422" w:firstLineChars="200"/>
        <w:textAlignment w:val="bottom"/>
        <w:rPr>
          <w:rFonts w:ascii="宋体" w:hAnsi="宋体"/>
          <w:b/>
          <w:color w:val="auto"/>
          <w:szCs w:val="21"/>
        </w:rPr>
      </w:pPr>
      <w:r>
        <w:rPr>
          <w:rFonts w:hint="eastAsia" w:ascii="宋体" w:hAnsi="宋体"/>
          <w:b/>
          <w:color w:val="auto"/>
          <w:szCs w:val="21"/>
        </w:rPr>
        <w:t>十、被保险人的产前产后检查、妊娠（含宫外孕）、流产（含人工流产）、分娩（含剖腹产）、避孕、绝育手术、治疗不孕不育症以及上述原因引起的并发症，但意外伤害所致的流产或分娩不在此限；</w:t>
      </w:r>
    </w:p>
    <w:p w14:paraId="12801381">
      <w:pPr>
        <w:autoSpaceDE w:val="0"/>
        <w:autoSpaceDN w:val="0"/>
        <w:snapToGrid w:val="0"/>
        <w:spacing w:after="156" w:afterLines="50"/>
        <w:ind w:firstLine="422" w:firstLineChars="200"/>
        <w:textAlignment w:val="bottom"/>
        <w:rPr>
          <w:rFonts w:ascii="宋体"/>
          <w:b/>
          <w:color w:val="auto"/>
          <w:szCs w:val="21"/>
        </w:rPr>
      </w:pPr>
      <w:r>
        <w:rPr>
          <w:rFonts w:hint="eastAsia" w:ascii="宋体" w:hAnsi="宋体"/>
          <w:b/>
          <w:color w:val="auto"/>
          <w:szCs w:val="21"/>
        </w:rPr>
        <w:t>十一、被保险人猝死。</w:t>
      </w:r>
    </w:p>
    <w:p w14:paraId="40DEAB5B">
      <w:pPr>
        <w:autoSpaceDE w:val="0"/>
        <w:autoSpaceDN w:val="0"/>
        <w:snapToGrid w:val="0"/>
        <w:spacing w:after="50" w:line="360" w:lineRule="auto"/>
        <w:ind w:firstLine="422"/>
        <w:textAlignment w:val="bottom"/>
        <w:rPr>
          <w:b/>
          <w:color w:val="auto"/>
        </w:rPr>
      </w:pPr>
      <w:r>
        <w:rPr>
          <w:rFonts w:hint="eastAsia"/>
          <w:b/>
          <w:color w:val="auto"/>
          <w:szCs w:val="21"/>
        </w:rPr>
        <w:t>在下列期间被保险人身故或者伤残的，保险人不承担保险责任：</w:t>
      </w:r>
    </w:p>
    <w:p w14:paraId="25128273">
      <w:pPr>
        <w:pStyle w:val="21"/>
        <w:numPr>
          <w:ilvl w:val="0"/>
          <w:numId w:val="0"/>
        </w:numPr>
        <w:autoSpaceDE w:val="0"/>
        <w:autoSpaceDN w:val="0"/>
        <w:snapToGrid w:val="0"/>
        <w:spacing w:after="50" w:line="360" w:lineRule="auto"/>
        <w:ind w:left="878" w:hanging="456" w:firstLineChars="0"/>
        <w:textAlignment w:val="bottom"/>
        <w:rPr>
          <w:rFonts w:ascii="宋体" w:hAnsi="宋体"/>
          <w:b/>
          <w:color w:val="auto"/>
          <w:szCs w:val="21"/>
        </w:rPr>
      </w:pPr>
      <w:r>
        <w:rPr>
          <w:rFonts w:hint="default" w:ascii="宋体" w:hAnsi="宋体" w:eastAsiaTheme="minorEastAsia" w:cstheme="minorBidi"/>
          <w:b/>
          <w:color w:val="auto"/>
          <w:kern w:val="2"/>
          <w:sz w:val="21"/>
          <w:szCs w:val="21"/>
          <w:lang w:val="en-US" w:eastAsia="zh-CN" w:bidi="ar-SA"/>
        </w:rPr>
        <w:t>一、</w:t>
      </w:r>
      <w:r>
        <w:rPr>
          <w:rFonts w:hint="eastAsia" w:ascii="宋体" w:hAnsi="宋体"/>
          <w:b/>
          <w:color w:val="auto"/>
          <w:szCs w:val="21"/>
        </w:rPr>
        <w:t>战争、军事冲突、暴乱或武装叛乱期间（详见释义）；</w:t>
      </w:r>
    </w:p>
    <w:p w14:paraId="30D8366F">
      <w:pPr>
        <w:pStyle w:val="21"/>
        <w:numPr>
          <w:ilvl w:val="0"/>
          <w:numId w:val="0"/>
        </w:numPr>
        <w:adjustRightInd w:val="0"/>
        <w:snapToGrid w:val="0"/>
        <w:spacing w:after="50" w:line="360" w:lineRule="auto"/>
        <w:ind w:left="878" w:hanging="456" w:firstLineChars="0"/>
        <w:rPr>
          <w:rFonts w:ascii="宋体"/>
          <w:b/>
          <w:color w:val="auto"/>
          <w:szCs w:val="21"/>
        </w:rPr>
      </w:pPr>
      <w:r>
        <w:rPr>
          <w:rFonts w:hint="default" w:ascii="宋体" w:hAnsiTheme="minorHAnsi" w:eastAsiaTheme="minorEastAsia" w:cstheme="minorBidi"/>
          <w:b/>
          <w:color w:val="auto"/>
          <w:kern w:val="2"/>
          <w:sz w:val="21"/>
          <w:szCs w:val="21"/>
          <w:lang w:val="en-US" w:eastAsia="zh-CN" w:bidi="ar-SA"/>
        </w:rPr>
        <w:t>二、</w:t>
      </w:r>
      <w:r>
        <w:rPr>
          <w:rFonts w:hint="eastAsia" w:ascii="宋体"/>
          <w:b/>
          <w:color w:val="auto"/>
          <w:szCs w:val="21"/>
        </w:rPr>
        <w:t>被保险人醉酒或受毒品（详见释义）、管制药物的影响期间；</w:t>
      </w:r>
    </w:p>
    <w:p w14:paraId="605E4AE1">
      <w:pPr>
        <w:numPr>
          <w:ilvl w:val="0"/>
          <w:numId w:val="0"/>
        </w:numPr>
        <w:autoSpaceDE w:val="0"/>
        <w:autoSpaceDN w:val="0"/>
        <w:adjustRightInd w:val="0"/>
        <w:snapToGrid w:val="0"/>
        <w:spacing w:after="156" w:afterLines="50" w:line="360" w:lineRule="auto"/>
        <w:ind w:left="878" w:hanging="456"/>
        <w:textAlignment w:val="bottom"/>
        <w:rPr>
          <w:rFonts w:ascii="宋体" w:cs="宋体"/>
          <w:b/>
          <w:color w:val="000000" w:themeColor="text1"/>
          <w:kern w:val="0"/>
          <w:szCs w:val="21"/>
          <w14:textFill>
            <w14:solidFill>
              <w14:schemeClr w14:val="tx1"/>
            </w14:solidFill>
          </w14:textFill>
        </w:rPr>
      </w:pPr>
      <w:r>
        <w:rPr>
          <w:rFonts w:hint="default" w:ascii="宋体" w:cs="宋体" w:hAnsiTheme="minorHAnsi" w:eastAsiaTheme="minorEastAsia"/>
          <w:b/>
          <w:color w:val="000000" w:themeColor="text1"/>
          <w:kern w:val="0"/>
          <w:sz w:val="21"/>
          <w:szCs w:val="21"/>
          <w:lang w:val="en-US" w:eastAsia="zh-CN" w:bidi="ar-SA"/>
          <w14:textFill>
            <w14:solidFill>
              <w14:schemeClr w14:val="tx1"/>
            </w14:solidFill>
          </w14:textFill>
        </w:rPr>
        <w:t>三、</w:t>
      </w:r>
      <w:r>
        <w:rPr>
          <w:rFonts w:hint="eastAsia" w:ascii="宋体" w:hAnsi="宋体"/>
          <w:b/>
          <w:szCs w:val="21"/>
        </w:rPr>
        <w:t>被保险人精神失常或精神错乱期间。</w:t>
      </w:r>
    </w:p>
    <w:p w14:paraId="30516D64">
      <w:pPr>
        <w:numPr>
          <w:ilvl w:val="-1"/>
          <w:numId w:val="0"/>
        </w:numPr>
        <w:autoSpaceDE w:val="0"/>
        <w:autoSpaceDN w:val="0"/>
        <w:adjustRightInd w:val="0"/>
        <w:snapToGrid w:val="0"/>
        <w:spacing w:after="156" w:afterLines="50" w:line="360" w:lineRule="auto"/>
        <w:ind w:left="0" w:firstLine="422" w:firstLineChars="200"/>
        <w:textAlignment w:val="bottom"/>
        <w:rPr>
          <w:rFonts w:hint="eastAsia" w:ascii="宋体" w:cs="宋体"/>
          <w:b/>
          <w:color w:val="000000" w:themeColor="text1"/>
          <w:kern w:val="0"/>
          <w:szCs w:val="21"/>
          <w14:textFill>
            <w14:solidFill>
              <w14:schemeClr w14:val="tx1"/>
            </w14:solidFill>
          </w14:textFill>
        </w:rPr>
      </w:pPr>
      <w:r>
        <w:rPr>
          <w:rFonts w:hint="eastAsia" w:ascii="宋体" w:cs="宋体"/>
          <w:b/>
          <w:color w:val="000000" w:themeColor="text1"/>
          <w:kern w:val="0"/>
          <w:szCs w:val="21"/>
          <w14:textFill>
            <w14:solidFill>
              <w14:schemeClr w14:val="tx1"/>
            </w14:solidFill>
          </w14:textFill>
        </w:rPr>
        <w:t>发生投保人故意杀害或者故意伤害被保险人导致身故的，保险人向除投保人以外的被保险人继承人退还本合同的</w:t>
      </w:r>
      <w:r>
        <w:rPr>
          <w:rFonts w:hint="eastAsia" w:ascii="宋体" w:cs="宋体"/>
          <w:b/>
          <w:color w:val="000000" w:themeColor="text1"/>
          <w:kern w:val="0"/>
          <w:szCs w:val="21"/>
          <w:lang w:val="en-US" w:eastAsia="zh-CN"/>
          <w14:textFill>
            <w14:solidFill>
              <w14:schemeClr w14:val="tx1"/>
            </w14:solidFill>
          </w14:textFill>
        </w:rPr>
        <w:t>未满期净保费</w:t>
      </w:r>
      <w:r>
        <w:rPr>
          <w:rFonts w:hint="eastAsia" w:ascii="宋体" w:cs="宋体"/>
          <w:b/>
          <w:color w:val="000000" w:themeColor="text1"/>
          <w:kern w:val="0"/>
          <w:szCs w:val="21"/>
          <w14:textFill>
            <w14:solidFill>
              <w14:schemeClr w14:val="tx1"/>
            </w14:solidFill>
          </w14:textFill>
        </w:rPr>
        <w:t>，本合同终止。</w:t>
      </w:r>
    </w:p>
    <w:p w14:paraId="3E80B342">
      <w:pPr>
        <w:numPr>
          <w:ilvl w:val="-1"/>
          <w:numId w:val="0"/>
        </w:numPr>
        <w:autoSpaceDE w:val="0"/>
        <w:autoSpaceDN w:val="0"/>
        <w:adjustRightInd w:val="0"/>
        <w:snapToGrid w:val="0"/>
        <w:spacing w:after="156" w:afterLines="50" w:line="360" w:lineRule="auto"/>
        <w:ind w:left="0" w:firstLine="422" w:firstLineChars="200"/>
        <w:textAlignment w:val="bottom"/>
        <w:rPr>
          <w:rFonts w:ascii="宋体" w:cs="宋体"/>
          <w:b/>
          <w:color w:val="000000" w:themeColor="text1"/>
          <w:kern w:val="0"/>
          <w:szCs w:val="21"/>
          <w14:textFill>
            <w14:solidFill>
              <w14:schemeClr w14:val="tx1"/>
            </w14:solidFill>
          </w14:textFill>
        </w:rPr>
      </w:pPr>
      <w:r>
        <w:rPr>
          <w:rFonts w:hint="eastAsia" w:ascii="宋体" w:cs="宋体"/>
          <w:b/>
          <w:color w:val="000000" w:themeColor="text1"/>
          <w:kern w:val="0"/>
          <w:szCs w:val="21"/>
          <w14:textFill>
            <w14:solidFill>
              <w14:schemeClr w14:val="tx1"/>
            </w14:solidFill>
          </w14:textFill>
        </w:rPr>
        <w:t>发生本保险条款除前款约定外的其他“责任免除”情形导致被保险人身故的，保险人退还本合同的</w:t>
      </w:r>
      <w:r>
        <w:rPr>
          <w:rFonts w:hint="eastAsia" w:ascii="宋体" w:cs="宋体"/>
          <w:b/>
          <w:color w:val="000000" w:themeColor="text1"/>
          <w:kern w:val="0"/>
          <w:szCs w:val="21"/>
          <w:lang w:val="en-US" w:eastAsia="zh-CN"/>
          <w14:textFill>
            <w14:solidFill>
              <w14:schemeClr w14:val="tx1"/>
            </w14:solidFill>
          </w14:textFill>
        </w:rPr>
        <w:t>未满期净保费</w:t>
      </w:r>
      <w:r>
        <w:rPr>
          <w:rFonts w:hint="eastAsia" w:ascii="宋体" w:cs="宋体"/>
          <w:b/>
          <w:color w:val="000000" w:themeColor="text1"/>
          <w:kern w:val="0"/>
          <w:szCs w:val="21"/>
          <w14:textFill>
            <w14:solidFill>
              <w14:schemeClr w14:val="tx1"/>
            </w14:solidFill>
          </w14:textFill>
        </w:rPr>
        <w:t>，本合同终止。</w:t>
      </w:r>
    </w:p>
    <w:p w14:paraId="51708D14">
      <w:pPr>
        <w:spacing w:after="50" w:line="360" w:lineRule="auto"/>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第三部分　保险期间、保险金额和保险费</w:t>
      </w:r>
    </w:p>
    <w:p w14:paraId="3A7C6F86">
      <w:pPr>
        <w:snapToGrid w:val="0"/>
        <w:spacing w:after="50" w:line="360" w:lineRule="auto"/>
        <w:ind w:firstLine="422" w:firstLineChars="200"/>
        <w:rPr>
          <w:rFonts w:asci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第十条  保险期间</w:t>
      </w:r>
    </w:p>
    <w:p w14:paraId="7D165C55">
      <w:pPr>
        <w:adjustRightInd w:val="0"/>
        <w:snapToGrid w:val="0"/>
        <w:spacing w:after="50" w:line="360" w:lineRule="auto"/>
        <w:ind w:firstLine="420" w:firstLineChars="200"/>
        <w:rPr>
          <w:rFonts w:asci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除另有约定外，本保险合同保险期间最长为一年，以保险单载明的起讫时间为准。</w:t>
      </w:r>
    </w:p>
    <w:p w14:paraId="1EB90C14">
      <w:pPr>
        <w:snapToGrid w:val="0"/>
        <w:spacing w:after="50" w:line="360" w:lineRule="auto"/>
        <w:ind w:firstLine="422" w:firstLineChars="200"/>
        <w:rPr>
          <w:rFonts w:asci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第十一条  保险金额和保险费</w:t>
      </w:r>
    </w:p>
    <w:p w14:paraId="1782EF27">
      <w:pPr>
        <w:snapToGrid w:val="0"/>
        <w:spacing w:after="50" w:line="360" w:lineRule="auto"/>
        <w:ind w:firstLine="420" w:firstLineChars="200"/>
        <w:rPr>
          <w:rFonts w:ascii="宋体" w:hAnsi="宋体"/>
          <w:b/>
          <w:color w:val="000000" w:themeColor="text1"/>
          <w14:textFill>
            <w14:solidFill>
              <w14:schemeClr w14:val="tx1"/>
            </w14:solidFill>
          </w14:textFill>
        </w:rPr>
      </w:pPr>
      <w:r>
        <w:rPr>
          <w:rFonts w:hint="eastAsia" w:ascii="宋体" w:hAnsi="宋体"/>
          <w:color w:val="000000" w:themeColor="text1"/>
          <w:szCs w:val="21"/>
          <w14:textFill>
            <w14:solidFill>
              <w14:schemeClr w14:val="tx1"/>
            </w14:solidFill>
          </w14:textFill>
        </w:rPr>
        <w:t>一、</w:t>
      </w:r>
      <w:r>
        <w:rPr>
          <w:rFonts w:hint="eastAsia" w:ascii="宋体" w:hAnsi="宋体"/>
          <w:color w:val="000000" w:themeColor="text1"/>
          <w14:textFill>
            <w14:solidFill>
              <w14:schemeClr w14:val="tx1"/>
            </w14:solidFill>
          </w14:textFill>
        </w:rPr>
        <w:t>保险金额是保险人承担给付保险金责任的最高限额。</w:t>
      </w:r>
      <w:r>
        <w:rPr>
          <w:rFonts w:hint="eastAsia" w:ascii="宋体" w:hAnsi="宋体"/>
          <w:color w:val="000000" w:themeColor="text1"/>
          <w:szCs w:val="21"/>
          <w14:textFill>
            <w14:solidFill>
              <w14:schemeClr w14:val="tx1"/>
            </w14:solidFill>
          </w14:textFill>
        </w:rPr>
        <w:t>本保险合同</w:t>
      </w:r>
      <w:r>
        <w:rPr>
          <w:rFonts w:hint="eastAsia" w:ascii="宋体" w:hAnsi="宋体"/>
          <w:color w:val="000000" w:themeColor="text1"/>
          <w14:textFill>
            <w14:solidFill>
              <w14:schemeClr w14:val="tx1"/>
            </w14:solidFill>
          </w14:textFill>
        </w:rPr>
        <w:t>保险金额由投保人、保险人双方约定，并在保险单中载明。</w:t>
      </w:r>
      <w:r>
        <w:rPr>
          <w:rFonts w:hint="eastAsia" w:ascii="宋体" w:hAnsi="宋体"/>
          <w:b/>
          <w:color w:val="000000" w:themeColor="text1"/>
          <w14:textFill>
            <w14:solidFill>
              <w14:schemeClr w14:val="tx1"/>
            </w14:solidFill>
          </w14:textFill>
        </w:rPr>
        <w:t>保险金额一经确定，中途不得变更。</w:t>
      </w:r>
    </w:p>
    <w:p w14:paraId="37CC4AA7">
      <w:pPr>
        <w:autoSpaceDE w:val="0"/>
        <w:autoSpaceDN w:val="0"/>
        <w:snapToGrid w:val="0"/>
        <w:spacing w:after="50" w:line="360" w:lineRule="auto"/>
        <w:ind w:firstLine="420" w:firstLineChars="200"/>
        <w:textAlignment w:val="bottom"/>
        <w:rPr>
          <w:rFonts w:asci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被保险人为未成年人的，其身故保险金额应符合国务院保险监督管理机构的相关规定。</w:t>
      </w:r>
    </w:p>
    <w:p w14:paraId="6E23A604">
      <w:pPr>
        <w:autoSpaceDE w:val="0"/>
        <w:autoSpaceDN w:val="0"/>
        <w:snapToGrid w:val="0"/>
        <w:spacing w:after="50" w:line="360" w:lineRule="auto"/>
        <w:ind w:firstLine="420" w:firstLineChars="200"/>
        <w:textAlignment w:val="bottom"/>
        <w:rPr>
          <w:rFonts w:ascii="宋体" w:hAnsi="宋体"/>
          <w:b/>
          <w:bCs/>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二、投保人应该按照合同约定向保险人一次性</w:t>
      </w:r>
      <w:r>
        <w:rPr>
          <w:rFonts w:hint="eastAsia" w:ascii="宋体" w:hAnsi="宋体"/>
          <w:color w:val="000000" w:themeColor="text1"/>
          <w:szCs w:val="21"/>
          <w:lang w:val="en-US" w:eastAsia="zh-CN"/>
          <w14:textFill>
            <w14:solidFill>
              <w14:schemeClr w14:val="tx1"/>
            </w14:solidFill>
          </w14:textFill>
        </w:rPr>
        <w:t>交</w:t>
      </w:r>
      <w:r>
        <w:rPr>
          <w:rFonts w:hint="eastAsia" w:ascii="宋体" w:hAnsi="宋体"/>
          <w:color w:val="000000" w:themeColor="text1"/>
          <w:szCs w:val="21"/>
          <w14:textFill>
            <w14:solidFill>
              <w14:schemeClr w14:val="tx1"/>
            </w14:solidFill>
          </w14:textFill>
        </w:rPr>
        <w:t>清保险费。</w:t>
      </w:r>
      <w:r>
        <w:rPr>
          <w:rFonts w:hint="eastAsia" w:ascii="宋体" w:hAnsi="宋体"/>
          <w:b/>
          <w:bCs/>
          <w:color w:val="000000" w:themeColor="text1"/>
          <w:szCs w:val="21"/>
          <w14:textFill>
            <w14:solidFill>
              <w14:schemeClr w14:val="tx1"/>
            </w14:solidFill>
          </w14:textFill>
        </w:rPr>
        <w:t>投保人未按照本</w:t>
      </w:r>
      <w:r>
        <w:rPr>
          <w:rFonts w:hint="eastAsia" w:ascii="宋体" w:hAnsi="宋体"/>
          <w:b/>
          <w:bCs/>
          <w:color w:val="000000" w:themeColor="text1"/>
          <w:szCs w:val="21"/>
          <w:lang w:val="en-US" w:eastAsia="zh-CN"/>
          <w14:textFill>
            <w14:solidFill>
              <w14:schemeClr w14:val="tx1"/>
            </w14:solidFill>
          </w14:textFill>
        </w:rPr>
        <w:t>保险</w:t>
      </w:r>
      <w:r>
        <w:rPr>
          <w:rFonts w:hint="eastAsia" w:ascii="宋体" w:hAnsi="宋体"/>
          <w:b/>
          <w:bCs/>
          <w:color w:val="000000" w:themeColor="text1"/>
          <w:szCs w:val="21"/>
          <w14:textFill>
            <w14:solidFill>
              <w14:schemeClr w14:val="tx1"/>
            </w14:solidFill>
          </w14:textFill>
        </w:rPr>
        <w:t>合同约定交清保险费的，本</w:t>
      </w:r>
      <w:r>
        <w:rPr>
          <w:rFonts w:hint="eastAsia" w:ascii="宋体" w:hAnsi="宋体"/>
          <w:b/>
          <w:bCs/>
          <w:color w:val="000000" w:themeColor="text1"/>
          <w:szCs w:val="21"/>
          <w:lang w:val="en-US" w:eastAsia="zh-CN"/>
          <w14:textFill>
            <w14:solidFill>
              <w14:schemeClr w14:val="tx1"/>
            </w14:solidFill>
          </w14:textFill>
        </w:rPr>
        <w:t>保险</w:t>
      </w:r>
      <w:r>
        <w:rPr>
          <w:rFonts w:hint="eastAsia" w:ascii="宋体" w:hAnsi="宋体"/>
          <w:b/>
          <w:bCs/>
          <w:color w:val="000000" w:themeColor="text1"/>
          <w:szCs w:val="21"/>
          <w14:textFill>
            <w14:solidFill>
              <w14:schemeClr w14:val="tx1"/>
            </w14:solidFill>
          </w14:textFill>
        </w:rPr>
        <w:t>合同不生效。</w:t>
      </w:r>
    </w:p>
    <w:p w14:paraId="12A050CF">
      <w:pPr>
        <w:spacing w:after="50" w:line="360" w:lineRule="auto"/>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第四部分　保险金的申请和给付</w:t>
      </w:r>
    </w:p>
    <w:p w14:paraId="27671F91">
      <w:pPr>
        <w:snapToGrid w:val="0"/>
        <w:spacing w:after="50" w:line="360" w:lineRule="auto"/>
        <w:ind w:firstLine="422" w:firstLineChars="200"/>
        <w:rPr>
          <w:rFonts w:asci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第十二条  保险事故通知</w:t>
      </w:r>
    </w:p>
    <w:p w14:paraId="09E38237">
      <w:pPr>
        <w:autoSpaceDE w:val="0"/>
        <w:autoSpaceDN w:val="0"/>
        <w:adjustRightInd w:val="0"/>
        <w:spacing w:after="50" w:line="360" w:lineRule="auto"/>
        <w:ind w:firstLine="420" w:firstLineChars="200"/>
        <w:textAlignment w:val="bottom"/>
        <w:rPr>
          <w:rFonts w:ascii="宋体"/>
          <w:b/>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投保人、被保险人或者保险金受益人知道保险事故发生后，应当及时通知保险人。</w:t>
      </w:r>
      <w:r>
        <w:rPr>
          <w:rFonts w:hint="eastAsia" w:ascii="宋体" w:hAnsi="宋体"/>
          <w:b/>
          <w:color w:val="000000" w:themeColor="text1"/>
          <w:szCs w:val="21"/>
          <w14:textFill>
            <w14:solidFill>
              <w14:schemeClr w14:val="tx1"/>
            </w14:solidFill>
          </w14:textFill>
        </w:rPr>
        <w:t>故意或者因重大过失未及时通知，致使保险事故的性质、原因、损失程度等难以确定的，保险人对无法确定的部分，不承担给付保险金责任，但保险人通过其他途径已经及时知道或者应当及时知道保险事故发生的除外。</w:t>
      </w:r>
    </w:p>
    <w:p w14:paraId="6718412B">
      <w:pPr>
        <w:autoSpaceDE w:val="0"/>
        <w:autoSpaceDN w:val="0"/>
        <w:snapToGrid w:val="0"/>
        <w:spacing w:after="50" w:line="360" w:lineRule="auto"/>
        <w:ind w:firstLine="420" w:firstLineChars="200"/>
        <w:textAlignment w:val="bottom"/>
        <w:rPr>
          <w:rFonts w:asci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上述约定，不包括因不可抗力（详见释义）而导致的迟延。</w:t>
      </w:r>
    </w:p>
    <w:p w14:paraId="2B820968">
      <w:pPr>
        <w:snapToGrid w:val="0"/>
        <w:spacing w:after="50" w:line="360" w:lineRule="auto"/>
        <w:ind w:firstLine="422" w:firstLineChars="200"/>
        <w:rPr>
          <w:rFonts w:asci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第十三条  保险金的申请</w:t>
      </w:r>
    </w:p>
    <w:p w14:paraId="19A4D56D">
      <w:pPr>
        <w:autoSpaceDE w:val="0"/>
        <w:autoSpaceDN w:val="0"/>
        <w:adjustRightInd w:val="0"/>
        <w:spacing w:after="50" w:line="360" w:lineRule="auto"/>
        <w:ind w:firstLine="420" w:firstLineChars="200"/>
        <w:textAlignment w:val="bottom"/>
        <w:rPr>
          <w:rFonts w:asci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保险金申请人向保险人申请给付保险金时，应提交以下材料：</w:t>
      </w:r>
    </w:p>
    <w:p w14:paraId="1C40E1E9">
      <w:pPr>
        <w:autoSpaceDE w:val="0"/>
        <w:autoSpaceDN w:val="0"/>
        <w:adjustRightInd w:val="0"/>
        <w:spacing w:after="50" w:line="360" w:lineRule="auto"/>
        <w:ind w:firstLine="422" w:firstLineChars="200"/>
        <w:textAlignment w:val="bottom"/>
        <w:rPr>
          <w:rFonts w:asci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一、身故保险金申请</w:t>
      </w:r>
    </w:p>
    <w:p w14:paraId="2CFEC91D">
      <w:pPr>
        <w:autoSpaceDE w:val="0"/>
        <w:autoSpaceDN w:val="0"/>
        <w:adjustRightInd w:val="0"/>
        <w:spacing w:after="50" w:line="360" w:lineRule="auto"/>
        <w:ind w:firstLine="420" w:firstLineChars="200"/>
        <w:textAlignment w:val="bottom"/>
        <w:rPr>
          <w:rFonts w:asci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1.保险金给付申请书；</w:t>
      </w:r>
    </w:p>
    <w:p w14:paraId="236A9994">
      <w:pPr>
        <w:autoSpaceDE w:val="0"/>
        <w:autoSpaceDN w:val="0"/>
        <w:adjustRightInd w:val="0"/>
        <w:spacing w:after="50" w:line="360" w:lineRule="auto"/>
        <w:ind w:firstLine="420" w:firstLineChars="200"/>
        <w:textAlignment w:val="bottom"/>
        <w:rPr>
          <w:rFonts w:asci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2.保险金申请人和被保险人的有效身份证明；</w:t>
      </w:r>
    </w:p>
    <w:p w14:paraId="741F6A9A">
      <w:pPr>
        <w:autoSpaceDE w:val="0"/>
        <w:autoSpaceDN w:val="0"/>
        <w:adjustRightInd w:val="0"/>
        <w:spacing w:after="50" w:line="360" w:lineRule="auto"/>
        <w:ind w:firstLine="420" w:firstLineChars="200"/>
        <w:textAlignment w:val="bottom"/>
        <w:rPr>
          <w:rFonts w:asci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3.公安部门、二级以上（含二级）医院或其他相关机构出具的被保险人死亡证明；</w:t>
      </w:r>
    </w:p>
    <w:p w14:paraId="75156DD9">
      <w:pPr>
        <w:autoSpaceDE w:val="0"/>
        <w:autoSpaceDN w:val="0"/>
        <w:adjustRightInd w:val="0"/>
        <w:spacing w:after="50" w:line="360" w:lineRule="auto"/>
        <w:ind w:firstLine="420" w:firstLineChars="200"/>
        <w:textAlignment w:val="bottom"/>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4.身故保险金作为被保险人遗产时，应提供可证明合法继承权的相关权利文件；</w:t>
      </w:r>
    </w:p>
    <w:p w14:paraId="785CEB92">
      <w:pPr>
        <w:autoSpaceDE w:val="0"/>
        <w:autoSpaceDN w:val="0"/>
        <w:adjustRightInd w:val="0"/>
        <w:spacing w:after="50" w:line="360" w:lineRule="auto"/>
        <w:ind w:firstLine="420" w:firstLineChars="200"/>
        <w:textAlignment w:val="bottom"/>
        <w:rPr>
          <w:rFonts w:asci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5.保险金申请人所能提供的与确认保险事故的性质、原因、损失程度等有关的其他证明和资料。</w:t>
      </w:r>
    </w:p>
    <w:p w14:paraId="7A348A94">
      <w:pPr>
        <w:autoSpaceDE w:val="0"/>
        <w:autoSpaceDN w:val="0"/>
        <w:adjustRightInd w:val="0"/>
        <w:spacing w:after="50" w:line="360" w:lineRule="auto"/>
        <w:ind w:firstLine="422" w:firstLineChars="200"/>
        <w:textAlignment w:val="bottom"/>
        <w:rPr>
          <w:rFonts w:asci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二、伤残保险金申请</w:t>
      </w:r>
    </w:p>
    <w:p w14:paraId="4B7ACF2D">
      <w:pPr>
        <w:autoSpaceDE w:val="0"/>
        <w:autoSpaceDN w:val="0"/>
        <w:adjustRightInd w:val="0"/>
        <w:spacing w:after="50" w:line="360" w:lineRule="auto"/>
        <w:ind w:firstLine="420" w:firstLineChars="200"/>
        <w:textAlignment w:val="bottom"/>
        <w:rPr>
          <w:rFonts w:asci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1.保险金给付申请书；</w:t>
      </w:r>
    </w:p>
    <w:p w14:paraId="0FD85012">
      <w:pPr>
        <w:autoSpaceDE w:val="0"/>
        <w:autoSpaceDN w:val="0"/>
        <w:adjustRightInd w:val="0"/>
        <w:spacing w:after="50" w:line="360" w:lineRule="auto"/>
        <w:ind w:firstLine="420" w:firstLineChars="200"/>
        <w:textAlignment w:val="bottom"/>
        <w:rPr>
          <w:rFonts w:asci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2.保险金申请人的身份证明；</w:t>
      </w:r>
    </w:p>
    <w:p w14:paraId="5A451836">
      <w:pPr>
        <w:autoSpaceDE w:val="0"/>
        <w:autoSpaceDN w:val="0"/>
        <w:adjustRightInd w:val="0"/>
        <w:spacing w:after="50" w:line="360" w:lineRule="auto"/>
        <w:ind w:firstLine="420" w:firstLineChars="200"/>
        <w:textAlignment w:val="bottom"/>
        <w:rPr>
          <w:rFonts w:asci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3.中华人民共和国境内二级以上（含二级）</w:t>
      </w:r>
      <w:r>
        <w:rPr>
          <w:rFonts w:hint="eastAsia" w:ascii="宋体" w:hAnsi="宋体"/>
          <w:color w:val="000000" w:themeColor="text1"/>
          <w:szCs w:val="21"/>
          <w:lang w:val="en-US" w:eastAsia="zh-CN"/>
          <w14:textFill>
            <w14:solidFill>
              <w14:schemeClr w14:val="tx1"/>
            </w14:solidFill>
          </w14:textFill>
        </w:rPr>
        <w:t>医院</w:t>
      </w:r>
      <w:r>
        <w:rPr>
          <w:rFonts w:hint="eastAsia" w:ascii="宋体" w:hAnsi="宋体"/>
          <w:color w:val="000000" w:themeColor="text1"/>
          <w:szCs w:val="21"/>
          <w14:textFill>
            <w14:solidFill>
              <w14:schemeClr w14:val="tx1"/>
            </w14:solidFill>
          </w14:textFill>
        </w:rPr>
        <w:t>或保险人认可的医疗机构（详见释义）或司法鉴定机构出具的伤残程度鉴定诊断书；</w:t>
      </w:r>
    </w:p>
    <w:p w14:paraId="2ED789FD">
      <w:pPr>
        <w:autoSpaceDE w:val="0"/>
        <w:autoSpaceDN w:val="0"/>
        <w:adjustRightInd w:val="0"/>
        <w:spacing w:after="50" w:line="360" w:lineRule="auto"/>
        <w:ind w:firstLine="420" w:firstLineChars="200"/>
        <w:textAlignment w:val="bottom"/>
        <w:rPr>
          <w:rFonts w:asci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4.保险金申请人所能提供的与确认保险事故的性质、原因、损失程度等有关的其他证明和资料。</w:t>
      </w:r>
    </w:p>
    <w:p w14:paraId="669A09FF">
      <w:pPr>
        <w:autoSpaceDE w:val="0"/>
        <w:autoSpaceDN w:val="0"/>
        <w:snapToGrid w:val="0"/>
        <w:spacing w:after="50" w:line="360" w:lineRule="auto"/>
        <w:ind w:firstLine="420" w:firstLineChars="200"/>
        <w:textAlignment w:val="bottom"/>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三、保险金申请人因特殊原因不能提供以上材料的，应提供其他合法有效的材料。</w:t>
      </w:r>
    </w:p>
    <w:p w14:paraId="06AB8081">
      <w:pPr>
        <w:autoSpaceDE w:val="0"/>
        <w:autoSpaceDN w:val="0"/>
        <w:snapToGrid w:val="0"/>
        <w:spacing w:after="50" w:line="360" w:lineRule="auto"/>
        <w:ind w:firstLine="420" w:firstLineChars="200"/>
        <w:textAlignment w:val="bottom"/>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四、若保险金申请人委托他人申请的，还应提供授权委托书原件、委托人和受托人的身份证明等相关证明文件。</w:t>
      </w:r>
    </w:p>
    <w:p w14:paraId="1B58AC11">
      <w:pPr>
        <w:autoSpaceDE w:val="0"/>
        <w:autoSpaceDN w:val="0"/>
        <w:snapToGrid w:val="0"/>
        <w:spacing w:after="50" w:line="360" w:lineRule="auto"/>
        <w:ind w:firstLine="420" w:firstLineChars="200"/>
        <w:textAlignment w:val="bottom"/>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受益人为无民事行为能力人或者限制民事行为能力人的，由其监护人代为申领保险金，需要提供监护人的身份证明等资料。</w:t>
      </w:r>
    </w:p>
    <w:p w14:paraId="526C7CAE">
      <w:pPr>
        <w:autoSpaceDE w:val="0"/>
        <w:autoSpaceDN w:val="0"/>
        <w:snapToGrid w:val="0"/>
        <w:spacing w:after="50" w:line="360" w:lineRule="auto"/>
        <w:ind w:firstLine="420" w:firstLineChars="200"/>
        <w:textAlignment w:val="bottom"/>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五、保险人认为保险金申请人提供的有关索赔的证明和资料不完整的，应及时一次性通知补充提供。</w:t>
      </w:r>
    </w:p>
    <w:p w14:paraId="3694E524">
      <w:pPr>
        <w:autoSpaceDE w:val="0"/>
        <w:autoSpaceDN w:val="0"/>
        <w:adjustRightInd w:val="0"/>
        <w:spacing w:after="50" w:line="360" w:lineRule="auto"/>
        <w:ind w:firstLine="422" w:firstLineChars="200"/>
        <w:textAlignment w:val="bottom"/>
        <w:rPr>
          <w:rFonts w:asci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六、保险金申请人未能提供有关材料，导致保险人无法核实该申请的真实性的，保险人对无法核实部分不承担给付保险金的责任。</w:t>
      </w:r>
    </w:p>
    <w:p w14:paraId="6E71FBD5">
      <w:pPr>
        <w:snapToGrid w:val="0"/>
        <w:spacing w:after="50" w:line="360" w:lineRule="auto"/>
        <w:ind w:firstLine="422" w:firstLineChars="200"/>
        <w:rPr>
          <w:rFonts w:asci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第十四条  保险金的给付</w:t>
      </w:r>
    </w:p>
    <w:p w14:paraId="37217A82">
      <w:pPr>
        <w:autoSpaceDE w:val="0"/>
        <w:autoSpaceDN w:val="0"/>
        <w:adjustRightInd w:val="0"/>
        <w:spacing w:after="50" w:line="360" w:lineRule="auto"/>
        <w:ind w:firstLine="420" w:firstLineChars="200"/>
        <w:textAlignment w:val="bottom"/>
        <w:rPr>
          <w:rFonts w:asci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一、保险人收到保险金申请人的给付保险金请求后，应当及时作出是否属于保险责任的核定；情形复杂的，应当在30日</w:t>
      </w:r>
      <w:r>
        <w:rPr>
          <w:rFonts w:hint="eastAsia"/>
          <w:lang w:eastAsia="zh-CN"/>
        </w:rPr>
        <w:t>（</w:t>
      </w:r>
      <w:r>
        <w:rPr>
          <w:rFonts w:hint="eastAsia"/>
          <w:lang w:val="en-US" w:eastAsia="zh-CN"/>
        </w:rPr>
        <w:t>含）</w:t>
      </w:r>
      <w:r>
        <w:rPr>
          <w:rFonts w:hint="eastAsia" w:ascii="宋体" w:hAnsi="宋体"/>
          <w:color w:val="000000" w:themeColor="text1"/>
          <w:szCs w:val="21"/>
          <w14:textFill>
            <w14:solidFill>
              <w14:schemeClr w14:val="tx1"/>
            </w14:solidFill>
          </w14:textFill>
        </w:rPr>
        <w:t>内作出核定，但保险合同另有约定的除外。</w:t>
      </w:r>
    </w:p>
    <w:p w14:paraId="31292689">
      <w:pPr>
        <w:autoSpaceDE w:val="0"/>
        <w:autoSpaceDN w:val="0"/>
        <w:adjustRightInd w:val="0"/>
        <w:spacing w:after="50" w:line="360" w:lineRule="auto"/>
        <w:ind w:firstLine="420" w:firstLineChars="200"/>
        <w:textAlignment w:val="bottom"/>
        <w:rPr>
          <w:rFonts w:asci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二、保险人应当将核定结果通知保险金申请人；对属于保险责任的，在与被保险人或者受益人达成赔偿或者给付保险金的协议后10日</w:t>
      </w:r>
      <w:r>
        <w:rPr>
          <w:rFonts w:hint="eastAsia" w:ascii="宋体" w:hAnsi="宋体"/>
          <w:color w:val="000000" w:themeColor="text1"/>
          <w:szCs w:val="21"/>
          <w:lang w:eastAsia="zh-CN"/>
          <w14:textFill>
            <w14:solidFill>
              <w14:schemeClr w14:val="tx1"/>
            </w14:solidFill>
          </w14:textFill>
        </w:rPr>
        <w:t>（</w:t>
      </w:r>
      <w:r>
        <w:rPr>
          <w:rFonts w:hint="eastAsia" w:ascii="宋体" w:hAnsi="宋体"/>
          <w:color w:val="000000" w:themeColor="text1"/>
          <w:szCs w:val="21"/>
          <w:lang w:val="en-US" w:eastAsia="zh-CN"/>
          <w14:textFill>
            <w14:solidFill>
              <w14:schemeClr w14:val="tx1"/>
            </w14:solidFill>
          </w14:textFill>
        </w:rPr>
        <w:t>含）</w:t>
      </w:r>
      <w:r>
        <w:rPr>
          <w:rFonts w:hint="eastAsia" w:ascii="宋体" w:hAnsi="宋体"/>
          <w:color w:val="000000" w:themeColor="text1"/>
          <w:szCs w:val="21"/>
          <w14:textFill>
            <w14:solidFill>
              <w14:schemeClr w14:val="tx1"/>
            </w14:solidFill>
          </w14:textFill>
        </w:rPr>
        <w:t>内，履行给付保险金义务。保险合同对给付保险金的期限有约定的，保险人应当按照约定履行给付保险金的义务。保险人依照前款约定作出核定后，对不属于保险责任的，应当自作出核定之日起3日内向保险金申请人发出拒绝给付保险金通知书，并说明理由。</w:t>
      </w:r>
    </w:p>
    <w:p w14:paraId="244EE44B">
      <w:pPr>
        <w:autoSpaceDE w:val="0"/>
        <w:autoSpaceDN w:val="0"/>
        <w:snapToGrid w:val="0"/>
        <w:spacing w:after="50" w:line="360" w:lineRule="auto"/>
        <w:ind w:firstLine="420" w:firstLineChars="200"/>
        <w:textAlignment w:val="bottom"/>
        <w:rPr>
          <w:rFonts w:asci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三、保险人自收到给付保险金的请求和有关证明、资料之日起60日内，对其给付的数额不能确定的，应当根据已有证明和资料可以确定的数额先予支付；保险人最终确定给付的数额后，应当支付相应的差额。</w:t>
      </w:r>
    </w:p>
    <w:p w14:paraId="384E2578">
      <w:pPr>
        <w:spacing w:after="50" w:line="360" w:lineRule="auto"/>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第五部分　其他事项</w:t>
      </w:r>
    </w:p>
    <w:p w14:paraId="739D0D9A">
      <w:pPr>
        <w:snapToGrid w:val="0"/>
        <w:spacing w:after="50" w:line="360" w:lineRule="auto"/>
        <w:ind w:firstLine="422" w:firstLineChars="200"/>
        <w:rPr>
          <w:rFonts w:asci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第十五条  释义</w:t>
      </w:r>
    </w:p>
    <w:p w14:paraId="7CBBCE95">
      <w:pPr>
        <w:autoSpaceDE w:val="0"/>
        <w:autoSpaceDN w:val="0"/>
        <w:spacing w:after="50" w:line="360" w:lineRule="auto"/>
        <w:ind w:firstLine="420" w:firstLineChars="200"/>
        <w:textAlignment w:val="bottom"/>
        <w:rPr>
          <w:rFonts w:ascii="宋体"/>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除另有约定外，本保险合同中的下列词语具有如下含义：</w:t>
      </w:r>
    </w:p>
    <w:p w14:paraId="7343D5EB">
      <w:pPr>
        <w:autoSpaceDE w:val="0"/>
        <w:autoSpaceDN w:val="0"/>
        <w:adjustRightInd w:val="0"/>
        <w:spacing w:after="50" w:line="360" w:lineRule="auto"/>
        <w:ind w:firstLine="422" w:firstLineChars="200"/>
        <w:textAlignment w:val="bottom"/>
        <w:rPr>
          <w:rFonts w:ascii="宋体"/>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保险人</w:t>
      </w:r>
      <w:r>
        <w:rPr>
          <w:rFonts w:hint="eastAsia" w:ascii="宋体" w:hAnsi="宋体"/>
          <w:color w:val="000000" w:themeColor="text1"/>
          <w:szCs w:val="21"/>
          <w14:textFill>
            <w14:solidFill>
              <w14:schemeClr w14:val="tx1"/>
            </w14:solidFill>
          </w14:textFill>
        </w:rPr>
        <w:t>：指与投保人签订本保险合同的华农财产保险股份有限公司广西分公司。</w:t>
      </w:r>
    </w:p>
    <w:p w14:paraId="0322145A">
      <w:pPr>
        <w:adjustRightInd w:val="0"/>
        <w:snapToGrid w:val="0"/>
        <w:spacing w:after="156" w:afterLines="50"/>
        <w:ind w:firstLine="422" w:firstLineChars="200"/>
        <w:rPr>
          <w:rStyle w:val="23"/>
          <w:rFonts w:hint="eastAsia" w:cs="宋体" w:asciiTheme="minorEastAsia" w:hAnsiTheme="minorEastAsia" w:eastAsiaTheme="minorEastAsia"/>
          <w:bCs w:val="0"/>
          <w:sz w:val="21"/>
          <w:szCs w:val="21"/>
          <w:lang w:val="en-US" w:eastAsia="zh-CN"/>
        </w:rPr>
      </w:pPr>
      <w:r>
        <w:rPr>
          <w:rFonts w:hint="eastAsia" w:ascii="宋体" w:hAnsi="宋体" w:cs="宋体"/>
          <w:b/>
          <w:bCs/>
          <w:color w:val="000000"/>
          <w:szCs w:val="21"/>
        </w:rPr>
        <w:t>《人身保险伤残评定及代码》</w:t>
      </w:r>
      <w:r>
        <w:rPr>
          <w:rFonts w:hint="eastAsia" w:ascii="宋体" w:hAnsi="宋体" w:cs="宋体"/>
          <w:b/>
          <w:bCs/>
          <w:color w:val="000000" w:themeColor="text1"/>
          <w:szCs w:val="21"/>
          <w14:textFill>
            <w14:solidFill>
              <w14:schemeClr w14:val="tx1"/>
            </w14:solidFill>
          </w14:textFill>
        </w:rPr>
        <w:t>：指</w:t>
      </w:r>
      <w:r>
        <w:rPr>
          <w:rFonts w:hint="eastAsia" w:ascii="宋体" w:hAnsi="宋体" w:cs="宋体"/>
          <w:b/>
          <w:bCs/>
          <w:color w:val="000000"/>
          <w:szCs w:val="21"/>
        </w:rPr>
        <w:t>由国家市场监督管理总局、国家标准化管理委员会2024年第24号中国国家标准公告发布的《人身保险伤残评定及代码》（标准号：GB/T 44893-2024）。本文件将伤残程度划分为十级，最重为第一级，最轻为第十级。对于未列出的伤残情况，不予评定伤残等级。根据伤残等级对应的百分比，匹配保险金给付比例。保险金给付比例分为十档并与伤残等级相对应。伤残程度第一级对应的保险金给付比例为100%，伤残程度第十级对应的保险金给付比例为10%，每级相差10%。如该文件重新修订，则以最新修订的文件版本为准。</w:t>
      </w:r>
    </w:p>
    <w:p w14:paraId="5565405B">
      <w:pPr>
        <w:autoSpaceDE w:val="0"/>
        <w:autoSpaceDN w:val="0"/>
        <w:adjustRightInd w:val="0"/>
        <w:spacing w:after="50" w:line="360" w:lineRule="auto"/>
        <w:ind w:firstLine="422" w:firstLineChars="200"/>
        <w:textAlignment w:val="bottom"/>
        <w:rPr>
          <w:rFonts w:ascii="宋体" w:hAnsi="宋体"/>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高风险运动：</w:t>
      </w:r>
      <w:r>
        <w:rPr>
          <w:rFonts w:hint="eastAsia" w:ascii="宋体" w:hAnsi="宋体"/>
          <w:color w:val="000000" w:themeColor="text1"/>
          <w:szCs w:val="21"/>
          <w14:textFill>
            <w14:solidFill>
              <w14:schemeClr w14:val="tx1"/>
            </w14:solidFill>
          </w14:textFill>
        </w:rPr>
        <w:t>指比一般常规性的运动风险等级更高、更容易发生人身伤害的运动，在进行此类运动前需有充分的心理准备和行动上的准备，必须具备一般人不具备的相关知识和技能或者必须在接受专业人士提供的培训或训练之后方能掌握。被保险人进行此类运动时须具备相关防护措施或设施，以避免发生伤害或减轻伤害，包括但不限于驾驶或乘坐滑翔翼、滑翔伞，跳伞，特技表演，赛马，赛车，各种车辆表演，蹦极等。</w:t>
      </w:r>
    </w:p>
    <w:p w14:paraId="4F60A0D1">
      <w:pPr>
        <w:autoSpaceDE w:val="0"/>
        <w:autoSpaceDN w:val="0"/>
        <w:adjustRightInd w:val="0"/>
        <w:spacing w:after="50" w:line="360" w:lineRule="auto"/>
        <w:ind w:firstLine="422" w:firstLineChars="200"/>
        <w:textAlignment w:val="bottom"/>
        <w:rPr>
          <w:rFonts w:ascii="宋体" w:hAnsi="宋体"/>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特技表演：</w:t>
      </w:r>
      <w:r>
        <w:rPr>
          <w:rFonts w:hint="eastAsia" w:ascii="宋体" w:hAnsi="宋体"/>
          <w:color w:val="000000" w:themeColor="text1"/>
          <w:szCs w:val="21"/>
          <w14:textFill>
            <w14:solidFill>
              <w14:schemeClr w14:val="tx1"/>
            </w14:solidFill>
          </w14:textFill>
        </w:rPr>
        <w:t>指进行马术、杂技、驯兽等表演。</w:t>
      </w:r>
    </w:p>
    <w:p w14:paraId="2A6000D4">
      <w:pPr>
        <w:autoSpaceDE w:val="0"/>
        <w:autoSpaceDN w:val="0"/>
        <w:adjustRightInd w:val="0"/>
        <w:spacing w:after="50" w:line="360" w:lineRule="auto"/>
        <w:ind w:firstLine="422" w:firstLineChars="200"/>
        <w:jc w:val="left"/>
        <w:rPr>
          <w:rFonts w:ascii="宋体" w:hAnsi="宋体"/>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酒后驾驶：</w:t>
      </w:r>
      <w:r>
        <w:rPr>
          <w:rFonts w:hint="eastAsia" w:ascii="宋体" w:hAnsi="宋体"/>
          <w:color w:val="000000" w:themeColor="text1"/>
          <w:szCs w:val="21"/>
          <w14:textFill>
            <w14:solidFill>
              <w14:schemeClr w14:val="tx1"/>
            </w14:solidFill>
          </w14:textFill>
        </w:rPr>
        <w:t>指经检测或者鉴定，发生事故时车辆驾驶人员每100毫升血液中的酒精含量达到或者超过一定的标准，公安机关交通管理部门依据《道路交通安全法》的规定，认定为饮酒后驾驶或者醉酒后驾驶的驾驶行为。</w:t>
      </w:r>
    </w:p>
    <w:p w14:paraId="364DF131">
      <w:pPr>
        <w:autoSpaceDE w:val="0"/>
        <w:autoSpaceDN w:val="0"/>
        <w:adjustRightInd w:val="0"/>
        <w:spacing w:after="50" w:line="360" w:lineRule="auto"/>
        <w:ind w:firstLine="422" w:firstLineChars="200"/>
        <w:jc w:val="left"/>
        <w:rPr>
          <w:rFonts w:ascii="宋体" w:hAnsi="宋体"/>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无合法有效驾驶证驾驶：</w:t>
      </w:r>
      <w:r>
        <w:rPr>
          <w:rFonts w:hint="eastAsia" w:ascii="宋体" w:hAnsi="宋体"/>
          <w:color w:val="000000" w:themeColor="text1"/>
          <w:szCs w:val="21"/>
          <w14:textFill>
            <w14:solidFill>
              <w14:schemeClr w14:val="tx1"/>
            </w14:solidFill>
          </w14:textFill>
        </w:rPr>
        <w:t>指下列情形之一：</w:t>
      </w:r>
    </w:p>
    <w:p w14:paraId="3661F918">
      <w:pPr>
        <w:autoSpaceDE w:val="0"/>
        <w:autoSpaceDN w:val="0"/>
        <w:adjustRightInd w:val="0"/>
        <w:spacing w:after="50" w:line="360" w:lineRule="auto"/>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（1）没有取得驾驶资格；</w:t>
      </w:r>
    </w:p>
    <w:p w14:paraId="2C290163">
      <w:pPr>
        <w:autoSpaceDE w:val="0"/>
        <w:autoSpaceDN w:val="0"/>
        <w:adjustRightInd w:val="0"/>
        <w:spacing w:after="50" w:line="360" w:lineRule="auto"/>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（2）驾驶与驾驶证准驾车型不相符合的车辆；</w:t>
      </w:r>
    </w:p>
    <w:p w14:paraId="414BEE40">
      <w:pPr>
        <w:autoSpaceDE w:val="0"/>
        <w:autoSpaceDN w:val="0"/>
        <w:adjustRightInd w:val="0"/>
        <w:spacing w:after="50" w:line="360" w:lineRule="auto"/>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（3）持未经审验、审验不合格或已过有效期的驾驶证驾驶；</w:t>
      </w:r>
    </w:p>
    <w:p w14:paraId="15A88C01">
      <w:pPr>
        <w:autoSpaceDE w:val="0"/>
        <w:autoSpaceDN w:val="0"/>
        <w:adjustRightInd w:val="0"/>
        <w:spacing w:after="50" w:line="360" w:lineRule="auto"/>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（4）持学习驾驶证学习驾车时，无教练员随车指导，或不按指定时间、路线学习驾车。</w:t>
      </w:r>
    </w:p>
    <w:p w14:paraId="6D9B3ED4">
      <w:pPr>
        <w:autoSpaceDE w:val="0"/>
        <w:autoSpaceDN w:val="0"/>
        <w:adjustRightInd w:val="0"/>
        <w:spacing w:after="50" w:line="360" w:lineRule="auto"/>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（5）公安交通部门认定的其他无合法有效驾驶证驾驶的情况。</w:t>
      </w:r>
    </w:p>
    <w:p w14:paraId="03C2568F">
      <w:pPr>
        <w:autoSpaceDE w:val="0"/>
        <w:autoSpaceDN w:val="0"/>
        <w:adjustRightInd w:val="0"/>
        <w:spacing w:after="50" w:line="360" w:lineRule="auto"/>
        <w:ind w:firstLine="422" w:firstLineChars="200"/>
        <w:jc w:val="left"/>
        <w:rPr>
          <w:rFonts w:ascii="宋体" w:hAnsi="宋体"/>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无合法有效行驶证：</w:t>
      </w:r>
      <w:r>
        <w:rPr>
          <w:rFonts w:hint="eastAsia" w:ascii="宋体" w:hAnsi="宋体"/>
          <w:color w:val="000000" w:themeColor="text1"/>
          <w:szCs w:val="21"/>
          <w14:textFill>
            <w14:solidFill>
              <w14:schemeClr w14:val="tx1"/>
            </w14:solidFill>
          </w14:textFill>
        </w:rPr>
        <w:t>指下列情形之一:</w:t>
      </w:r>
    </w:p>
    <w:p w14:paraId="28964A6C">
      <w:pPr>
        <w:autoSpaceDE w:val="0"/>
        <w:autoSpaceDN w:val="0"/>
        <w:adjustRightInd w:val="0"/>
        <w:spacing w:after="50" w:line="360" w:lineRule="auto"/>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（1）机动车被依法注销登记的；</w:t>
      </w:r>
    </w:p>
    <w:p w14:paraId="39D88BCD">
      <w:pPr>
        <w:autoSpaceDE w:val="0"/>
        <w:autoSpaceDN w:val="0"/>
        <w:adjustRightInd w:val="0"/>
        <w:spacing w:after="50" w:line="360" w:lineRule="auto"/>
        <w:ind w:firstLine="420" w:firstLineChars="200"/>
        <w:textAlignment w:val="bottom"/>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（2）未依法按时进行或通过机动车安全技术检验（有证据证明出险时的机动车符合机动车安全技术条件的除外）。</w:t>
      </w:r>
    </w:p>
    <w:p w14:paraId="1A8CF080">
      <w:pPr>
        <w:autoSpaceDE w:val="0"/>
        <w:autoSpaceDN w:val="0"/>
        <w:adjustRightInd w:val="0"/>
        <w:spacing w:after="50" w:line="360" w:lineRule="auto"/>
        <w:ind w:firstLine="422" w:firstLineChars="200"/>
        <w:jc w:val="left"/>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机动车：</w:t>
      </w:r>
      <w:r>
        <w:rPr>
          <w:rFonts w:hint="eastAsia" w:ascii="宋体" w:hAnsi="宋体"/>
          <w:color w:val="000000" w:themeColor="text1"/>
          <w:szCs w:val="21"/>
          <w14:textFill>
            <w14:solidFill>
              <w14:schemeClr w14:val="tx1"/>
            </w14:solidFill>
          </w14:textFill>
        </w:rPr>
        <w:t>指以动力装置驱动或者牵引，供人员乘用或者用于运送物品以及进行工程专项作业的轮式车辆。</w:t>
      </w:r>
    </w:p>
    <w:p w14:paraId="30015AEE">
      <w:pPr>
        <w:spacing w:after="50" w:line="360" w:lineRule="auto"/>
        <w:ind w:firstLine="422" w:firstLineChars="200"/>
        <w:rPr>
          <w:rFonts w:hint="eastAsia" w:ascii="宋体" w:hAnsi="宋体"/>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毒品：</w:t>
      </w:r>
      <w:r>
        <w:rPr>
          <w:rFonts w:hint="eastAsia" w:ascii="宋体" w:hAnsi="宋体"/>
          <w:color w:val="000000" w:themeColor="text1"/>
          <w:szCs w:val="21"/>
          <w14:textFill>
            <w14:solidFill>
              <w14:schemeClr w14:val="tx1"/>
            </w14:solidFill>
          </w14:textFill>
        </w:rPr>
        <w:t>指中华人民共和国刑法规定的鸦片、海洛因、甲基苯丙胺（冰毒）、吗啡、大麻、可卡因以及国家规定管制的其他能够使人形成瘾癖的麻醉药品和精神药品，但不包括由医生开具并遵医嘱使用的用于治疗疾病但含有毒品成分的处方药品。</w:t>
      </w:r>
    </w:p>
    <w:p w14:paraId="663E89CF">
      <w:pPr>
        <w:autoSpaceDE w:val="0"/>
        <w:autoSpaceDN w:val="0"/>
        <w:adjustRightInd w:val="0"/>
        <w:spacing w:after="50" w:line="360" w:lineRule="auto"/>
        <w:ind w:firstLine="422" w:firstLineChars="200"/>
        <w:jc w:val="left"/>
        <w:rPr>
          <w:rFonts w:ascii="宋体" w:hAnsi="宋体"/>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战争：</w:t>
      </w:r>
      <w:r>
        <w:rPr>
          <w:rFonts w:hint="eastAsia" w:ascii="宋体" w:hAnsi="宋体"/>
          <w:color w:val="000000" w:themeColor="text1"/>
          <w:szCs w:val="21"/>
          <w14:textFill>
            <w14:solidFill>
              <w14:schemeClr w14:val="tx1"/>
            </w14:solidFill>
          </w14:textFill>
        </w:rPr>
        <w:t>指国家与国家、民族与民族、政治集团与政治集团之间为了一定的政治、经济目的而进行的武装斗争，以政府宣布为准。</w:t>
      </w:r>
    </w:p>
    <w:p w14:paraId="14C5642F">
      <w:pPr>
        <w:autoSpaceDE w:val="0"/>
        <w:autoSpaceDN w:val="0"/>
        <w:adjustRightInd w:val="0"/>
        <w:spacing w:after="50" w:line="360" w:lineRule="auto"/>
        <w:ind w:firstLine="422" w:firstLineChars="200"/>
        <w:jc w:val="left"/>
        <w:rPr>
          <w:rFonts w:ascii="宋体" w:hAnsi="宋体"/>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军事冲突：</w:t>
      </w:r>
      <w:r>
        <w:rPr>
          <w:rFonts w:hint="eastAsia" w:ascii="宋体" w:hAnsi="宋体"/>
          <w:color w:val="000000" w:themeColor="text1"/>
          <w:szCs w:val="21"/>
          <w14:textFill>
            <w14:solidFill>
              <w14:schemeClr w14:val="tx1"/>
            </w14:solidFill>
          </w14:textFill>
        </w:rPr>
        <w:t>指国家或民族之间在一定范围内的武装对抗，以政府宣布为准。</w:t>
      </w:r>
    </w:p>
    <w:p w14:paraId="5F79D5BF">
      <w:pPr>
        <w:autoSpaceDE w:val="0"/>
        <w:autoSpaceDN w:val="0"/>
        <w:adjustRightInd w:val="0"/>
        <w:spacing w:after="50" w:line="360" w:lineRule="auto"/>
        <w:ind w:firstLine="422" w:firstLineChars="200"/>
        <w:textAlignment w:val="bottom"/>
        <w:rPr>
          <w:rFonts w:ascii="宋体" w:hAnsi="宋体"/>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暴乱：</w:t>
      </w:r>
      <w:r>
        <w:rPr>
          <w:rFonts w:hint="eastAsia" w:ascii="宋体" w:hAnsi="宋体"/>
          <w:color w:val="000000" w:themeColor="text1"/>
          <w:szCs w:val="21"/>
          <w14:textFill>
            <w14:solidFill>
              <w14:schemeClr w14:val="tx1"/>
            </w14:solidFill>
          </w14:textFill>
        </w:rPr>
        <w:t>指破坏社会秩序的武装骚动，以政府宣布为准。</w:t>
      </w:r>
    </w:p>
    <w:p w14:paraId="64A35CD7">
      <w:pPr>
        <w:autoSpaceDE w:val="0"/>
        <w:autoSpaceDN w:val="0"/>
        <w:adjustRightInd w:val="0"/>
        <w:spacing w:after="50" w:line="360" w:lineRule="auto"/>
        <w:ind w:firstLine="422" w:firstLineChars="200"/>
        <w:textAlignment w:val="bottom"/>
        <w:rPr>
          <w:rFonts w:ascii="宋体" w:hAnsi="宋体"/>
          <w:color w:val="auto"/>
          <w:szCs w:val="21"/>
        </w:rPr>
      </w:pPr>
      <w:r>
        <w:rPr>
          <w:rFonts w:hint="eastAsia" w:ascii="宋体" w:hAnsi="宋体"/>
          <w:b/>
          <w:color w:val="000000" w:themeColor="text1"/>
          <w:szCs w:val="21"/>
          <w14:textFill>
            <w14:solidFill>
              <w14:schemeClr w14:val="tx1"/>
            </w14:solidFill>
          </w14:textFill>
        </w:rPr>
        <w:t>未满期净保费：</w:t>
      </w:r>
      <w:r>
        <w:rPr>
          <w:rFonts w:hint="eastAsia" w:ascii="宋体" w:hAnsi="宋体"/>
          <w:color w:val="auto"/>
          <w:szCs w:val="21"/>
        </w:rPr>
        <w:t>未满期净保费=净保费×（1-m/n），其中，m为已生效天数，n为保险期间的天数，经过日期不足一日的按一日计算。除保</w:t>
      </w:r>
      <w:r>
        <w:rPr>
          <w:rFonts w:ascii="宋体" w:hAnsi="宋体"/>
          <w:color w:val="auto"/>
          <w:szCs w:val="21"/>
        </w:rPr>
        <w:t>单</w:t>
      </w:r>
      <w:r>
        <w:rPr>
          <w:rFonts w:hint="eastAsia" w:ascii="宋体" w:hAnsi="宋体"/>
          <w:color w:val="auto"/>
          <w:szCs w:val="21"/>
        </w:rPr>
        <w:t>另有约定外，净保费=保险费×（1-35%）。</w:t>
      </w:r>
    </w:p>
    <w:p w14:paraId="01A03291">
      <w:pPr>
        <w:autoSpaceDE w:val="0"/>
        <w:autoSpaceDN w:val="0"/>
        <w:adjustRightInd w:val="0"/>
        <w:spacing w:after="50" w:line="360" w:lineRule="auto"/>
        <w:ind w:firstLine="422" w:firstLineChars="200"/>
        <w:textAlignment w:val="bottom"/>
        <w:rPr>
          <w:rFonts w:ascii="宋体"/>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保险金申请人</w:t>
      </w:r>
      <w:r>
        <w:rPr>
          <w:rFonts w:hint="eastAsia" w:ascii="宋体" w:hAnsi="宋体"/>
          <w:b/>
          <w:color w:val="000000" w:themeColor="text1"/>
          <w:szCs w:val="21"/>
          <w14:textFill>
            <w14:solidFill>
              <w14:schemeClr w14:val="tx1"/>
            </w14:solidFill>
          </w14:textFill>
        </w:rPr>
        <w:t>：</w:t>
      </w:r>
      <w:r>
        <w:rPr>
          <w:rFonts w:hint="eastAsia" w:ascii="宋体" w:hAnsi="宋体"/>
          <w:color w:val="000000" w:themeColor="text1"/>
          <w:szCs w:val="21"/>
          <w14:textFill>
            <w14:solidFill>
              <w14:schemeClr w14:val="tx1"/>
            </w14:solidFill>
          </w14:textFill>
        </w:rPr>
        <w:t>指受益人或被保险人的继承人或依法享有保险金请求权的其他自然人。</w:t>
      </w:r>
    </w:p>
    <w:p w14:paraId="45446C7B">
      <w:pPr>
        <w:autoSpaceDE w:val="0"/>
        <w:autoSpaceDN w:val="0"/>
        <w:adjustRightInd w:val="0"/>
        <w:spacing w:after="50" w:line="360" w:lineRule="auto"/>
        <w:ind w:firstLine="422" w:firstLineChars="200"/>
        <w:textAlignment w:val="bottom"/>
        <w:rPr>
          <w:rFonts w:ascii="宋体" w:hAnsi="宋体"/>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不可抗力：</w:t>
      </w:r>
      <w:r>
        <w:rPr>
          <w:rFonts w:hint="eastAsia" w:ascii="宋体" w:hAnsi="宋体"/>
          <w:color w:val="000000" w:themeColor="text1"/>
          <w:szCs w:val="21"/>
          <w14:textFill>
            <w14:solidFill>
              <w14:schemeClr w14:val="tx1"/>
            </w14:solidFill>
          </w14:textFill>
        </w:rPr>
        <w:t>指不能预见、不能避免并不能克服的客观情况。</w:t>
      </w:r>
    </w:p>
    <w:p w14:paraId="4B9CCF7B">
      <w:pPr>
        <w:spacing w:after="50" w:line="360" w:lineRule="auto"/>
        <w:ind w:firstLine="424" w:firstLineChars="201"/>
        <w:rPr>
          <w:rFonts w:ascii="仿宋_GB2312" w:eastAsia="仿宋_GB2312"/>
          <w:color w:val="000000" w:themeColor="text1"/>
          <w:sz w:val="32"/>
          <w:szCs w:val="32"/>
          <w14:textFill>
            <w14:solidFill>
              <w14:schemeClr w14:val="tx1"/>
            </w14:solidFill>
          </w14:textFill>
        </w:rPr>
      </w:pPr>
      <w:r>
        <w:rPr>
          <w:rFonts w:hint="eastAsia" w:ascii="宋体" w:hAnsi="宋体"/>
          <w:b/>
          <w:color w:val="000000" w:themeColor="text1"/>
          <w:szCs w:val="21"/>
          <w14:textFill>
            <w14:solidFill>
              <w14:schemeClr w14:val="tx1"/>
            </w14:solidFill>
          </w14:textFill>
        </w:rPr>
        <w:t>保险人认可的医疗机构</w:t>
      </w:r>
      <w:r>
        <w:rPr>
          <w:rFonts w:hint="eastAsia" w:ascii="宋体" w:hAnsi="宋体"/>
          <w:b/>
          <w:bCs/>
          <w:color w:val="000000" w:themeColor="text1"/>
          <w:szCs w:val="21"/>
          <w:lang w:eastAsia="zh-Hans"/>
          <w14:textFill>
            <w14:solidFill>
              <w14:schemeClr w14:val="tx1"/>
            </w14:solidFill>
          </w14:textFill>
        </w:rPr>
        <w:t>：</w:t>
      </w:r>
      <w:r>
        <w:rPr>
          <w:rFonts w:hint="eastAsia" w:ascii="宋体" w:hAnsi="宋体"/>
          <w:color w:val="000000" w:themeColor="text1"/>
          <w:szCs w:val="21"/>
          <w14:textFill>
            <w14:solidFill>
              <w14:schemeClr w14:val="tx1"/>
            </w14:solidFill>
          </w14:textFill>
        </w:rPr>
        <w:t>保险公司在保险单、批单或者批注中列明的医疗机构。</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711879"/>
    </w:sdtPr>
    <w:sdtContent>
      <w:sdt>
        <w:sdtPr>
          <w:id w:val="171357217"/>
        </w:sdtPr>
        <w:sdtContent>
          <w:p w14:paraId="08F1D171">
            <w:pPr>
              <w:pStyle w:val="5"/>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2</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7</w:t>
            </w:r>
            <w:r>
              <w:rPr>
                <w:b/>
                <w:sz w:val="24"/>
                <w:szCs w:val="24"/>
              </w:rPr>
              <w:fldChar w:fldCharType="end"/>
            </w:r>
          </w:p>
        </w:sdtContent>
      </w:sdt>
    </w:sdtContent>
  </w:sdt>
  <w:p w14:paraId="2D949234">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RlODNhZmI4YWY4ZmYzMmUwNTU4NzQ2MTJhZGM5MGYifQ=="/>
  </w:docVars>
  <w:rsids>
    <w:rsidRoot w:val="00C047AA"/>
    <w:rsid w:val="0000325A"/>
    <w:rsid w:val="00010BDB"/>
    <w:rsid w:val="00065313"/>
    <w:rsid w:val="0007333C"/>
    <w:rsid w:val="0009001E"/>
    <w:rsid w:val="00090593"/>
    <w:rsid w:val="00096654"/>
    <w:rsid w:val="000B1862"/>
    <w:rsid w:val="000D42AB"/>
    <w:rsid w:val="000E123F"/>
    <w:rsid w:val="000E2E06"/>
    <w:rsid w:val="00121DE0"/>
    <w:rsid w:val="00122AF5"/>
    <w:rsid w:val="00173286"/>
    <w:rsid w:val="001B1530"/>
    <w:rsid w:val="001B7BF8"/>
    <w:rsid w:val="001F0FE1"/>
    <w:rsid w:val="001F1FE8"/>
    <w:rsid w:val="002068D5"/>
    <w:rsid w:val="00212BB4"/>
    <w:rsid w:val="002153C4"/>
    <w:rsid w:val="00224EFF"/>
    <w:rsid w:val="002350D3"/>
    <w:rsid w:val="00241BB5"/>
    <w:rsid w:val="00256A06"/>
    <w:rsid w:val="002B2557"/>
    <w:rsid w:val="002C69F7"/>
    <w:rsid w:val="002D1701"/>
    <w:rsid w:val="002D3D76"/>
    <w:rsid w:val="002F1043"/>
    <w:rsid w:val="002F4246"/>
    <w:rsid w:val="00332C46"/>
    <w:rsid w:val="00336194"/>
    <w:rsid w:val="00365FE8"/>
    <w:rsid w:val="003715F9"/>
    <w:rsid w:val="00386E7C"/>
    <w:rsid w:val="003C2FC8"/>
    <w:rsid w:val="003D147E"/>
    <w:rsid w:val="003E0D00"/>
    <w:rsid w:val="003E2BC0"/>
    <w:rsid w:val="00413DAC"/>
    <w:rsid w:val="00425405"/>
    <w:rsid w:val="00426B0D"/>
    <w:rsid w:val="0049022A"/>
    <w:rsid w:val="004B5D45"/>
    <w:rsid w:val="004F2053"/>
    <w:rsid w:val="005029FA"/>
    <w:rsid w:val="00524B49"/>
    <w:rsid w:val="00536980"/>
    <w:rsid w:val="00537497"/>
    <w:rsid w:val="005400A7"/>
    <w:rsid w:val="00550DF9"/>
    <w:rsid w:val="00586812"/>
    <w:rsid w:val="005A1841"/>
    <w:rsid w:val="005A7ADF"/>
    <w:rsid w:val="005C1EC4"/>
    <w:rsid w:val="005D0CC6"/>
    <w:rsid w:val="005D3D13"/>
    <w:rsid w:val="005D490E"/>
    <w:rsid w:val="00610131"/>
    <w:rsid w:val="00612462"/>
    <w:rsid w:val="0061305E"/>
    <w:rsid w:val="00614CC3"/>
    <w:rsid w:val="00625327"/>
    <w:rsid w:val="006446D6"/>
    <w:rsid w:val="006A5B1D"/>
    <w:rsid w:val="006C4556"/>
    <w:rsid w:val="006D5CD2"/>
    <w:rsid w:val="006E0EB5"/>
    <w:rsid w:val="006F2AB1"/>
    <w:rsid w:val="007044CB"/>
    <w:rsid w:val="00725177"/>
    <w:rsid w:val="00726865"/>
    <w:rsid w:val="00742562"/>
    <w:rsid w:val="00760E4A"/>
    <w:rsid w:val="00764045"/>
    <w:rsid w:val="0079233E"/>
    <w:rsid w:val="00794540"/>
    <w:rsid w:val="007C3676"/>
    <w:rsid w:val="007E4B50"/>
    <w:rsid w:val="007E68CF"/>
    <w:rsid w:val="0081128C"/>
    <w:rsid w:val="00817D23"/>
    <w:rsid w:val="00853293"/>
    <w:rsid w:val="0086197C"/>
    <w:rsid w:val="00863458"/>
    <w:rsid w:val="0087441A"/>
    <w:rsid w:val="008B0BE8"/>
    <w:rsid w:val="008D2973"/>
    <w:rsid w:val="008E046D"/>
    <w:rsid w:val="008E1EC1"/>
    <w:rsid w:val="008E5B97"/>
    <w:rsid w:val="008F0CAE"/>
    <w:rsid w:val="008F0FDD"/>
    <w:rsid w:val="008F3AC6"/>
    <w:rsid w:val="008F4E93"/>
    <w:rsid w:val="0090349A"/>
    <w:rsid w:val="00905548"/>
    <w:rsid w:val="00922CC9"/>
    <w:rsid w:val="00950904"/>
    <w:rsid w:val="00961C94"/>
    <w:rsid w:val="00997C3D"/>
    <w:rsid w:val="009B019E"/>
    <w:rsid w:val="009D6CB9"/>
    <w:rsid w:val="00A15270"/>
    <w:rsid w:val="00A31610"/>
    <w:rsid w:val="00A31A16"/>
    <w:rsid w:val="00A535D0"/>
    <w:rsid w:val="00A774AD"/>
    <w:rsid w:val="00AA27C4"/>
    <w:rsid w:val="00AB1BCD"/>
    <w:rsid w:val="00AB439E"/>
    <w:rsid w:val="00AC2A92"/>
    <w:rsid w:val="00AD285C"/>
    <w:rsid w:val="00AE7F5D"/>
    <w:rsid w:val="00B1030B"/>
    <w:rsid w:val="00B1223D"/>
    <w:rsid w:val="00B411A6"/>
    <w:rsid w:val="00B44EB9"/>
    <w:rsid w:val="00B51729"/>
    <w:rsid w:val="00B612B2"/>
    <w:rsid w:val="00B86668"/>
    <w:rsid w:val="00B87D39"/>
    <w:rsid w:val="00BC2EF5"/>
    <w:rsid w:val="00BD2365"/>
    <w:rsid w:val="00BE6343"/>
    <w:rsid w:val="00C02825"/>
    <w:rsid w:val="00C03372"/>
    <w:rsid w:val="00C047AA"/>
    <w:rsid w:val="00C171C9"/>
    <w:rsid w:val="00C33E35"/>
    <w:rsid w:val="00C36776"/>
    <w:rsid w:val="00C43AB3"/>
    <w:rsid w:val="00C454F1"/>
    <w:rsid w:val="00C660BB"/>
    <w:rsid w:val="00C83DC8"/>
    <w:rsid w:val="00C9005E"/>
    <w:rsid w:val="00C96E07"/>
    <w:rsid w:val="00CB5F08"/>
    <w:rsid w:val="00CC2AE7"/>
    <w:rsid w:val="00CD0ABE"/>
    <w:rsid w:val="00CE68C4"/>
    <w:rsid w:val="00CE72F0"/>
    <w:rsid w:val="00CE79B2"/>
    <w:rsid w:val="00D3003E"/>
    <w:rsid w:val="00D46492"/>
    <w:rsid w:val="00D6015F"/>
    <w:rsid w:val="00D605AD"/>
    <w:rsid w:val="00D73C9E"/>
    <w:rsid w:val="00D831D6"/>
    <w:rsid w:val="00D85E78"/>
    <w:rsid w:val="00D95771"/>
    <w:rsid w:val="00D95EDC"/>
    <w:rsid w:val="00DA4F5A"/>
    <w:rsid w:val="00DC2438"/>
    <w:rsid w:val="00DC7813"/>
    <w:rsid w:val="00DE7404"/>
    <w:rsid w:val="00DF30E9"/>
    <w:rsid w:val="00E035CB"/>
    <w:rsid w:val="00E071EB"/>
    <w:rsid w:val="00E119CD"/>
    <w:rsid w:val="00E27340"/>
    <w:rsid w:val="00E31405"/>
    <w:rsid w:val="00E63A6C"/>
    <w:rsid w:val="00E72DB6"/>
    <w:rsid w:val="00E73B2E"/>
    <w:rsid w:val="00E73F2E"/>
    <w:rsid w:val="00EB38BA"/>
    <w:rsid w:val="00ED01AC"/>
    <w:rsid w:val="00EF6A47"/>
    <w:rsid w:val="00F22C65"/>
    <w:rsid w:val="00F45DB8"/>
    <w:rsid w:val="00F53B10"/>
    <w:rsid w:val="00F9705E"/>
    <w:rsid w:val="00FA109D"/>
    <w:rsid w:val="00FA3A89"/>
    <w:rsid w:val="00FA3C2C"/>
    <w:rsid w:val="00FA711C"/>
    <w:rsid w:val="00FC1B2A"/>
    <w:rsid w:val="00FD0110"/>
    <w:rsid w:val="00FD06AA"/>
    <w:rsid w:val="01D66CDB"/>
    <w:rsid w:val="0501728B"/>
    <w:rsid w:val="08E91F81"/>
    <w:rsid w:val="09522FBF"/>
    <w:rsid w:val="0CCF66EF"/>
    <w:rsid w:val="1080530C"/>
    <w:rsid w:val="133F5C86"/>
    <w:rsid w:val="16745B79"/>
    <w:rsid w:val="22617AD8"/>
    <w:rsid w:val="2815681A"/>
    <w:rsid w:val="2B2B291C"/>
    <w:rsid w:val="2BB25268"/>
    <w:rsid w:val="3FFDAA91"/>
    <w:rsid w:val="410A5421"/>
    <w:rsid w:val="475278BE"/>
    <w:rsid w:val="524904A2"/>
    <w:rsid w:val="54314B9B"/>
    <w:rsid w:val="569D65F8"/>
    <w:rsid w:val="57843BF7"/>
    <w:rsid w:val="616D2D91"/>
    <w:rsid w:val="67C34BB8"/>
    <w:rsid w:val="6E445304"/>
    <w:rsid w:val="6F6BD1BE"/>
    <w:rsid w:val="ACFA0D5E"/>
    <w:rsid w:val="FF2787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qFormat="1" w:unhideWhenUsed="0" w:uiPriority="0" w:semiHidden="0"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unhideWhenUsed/>
    <w:qFormat/>
    <w:uiPriority w:val="1"/>
  </w:style>
  <w:style w:type="table" w:default="1" w:styleId="9">
    <w:name w:val="Normal Table"/>
    <w:unhideWhenUsed/>
    <w:qFormat/>
    <w:uiPriority w:val="99"/>
    <w:tblPr>
      <w:tblCellMar>
        <w:top w:w="0" w:type="dxa"/>
        <w:left w:w="108" w:type="dxa"/>
        <w:bottom w:w="0" w:type="dxa"/>
        <w:right w:w="108" w:type="dxa"/>
      </w:tblCellMar>
    </w:tblPr>
  </w:style>
  <w:style w:type="paragraph" w:styleId="2">
    <w:name w:val="Message Header"/>
    <w:basedOn w:val="1"/>
    <w:next w:val="1"/>
    <w:qFormat/>
    <w:uiPriority w:val="0"/>
    <w:pPr>
      <w:pBdr>
        <w:top w:val="none" w:color="auto" w:sz="0" w:space="1"/>
        <w:left w:val="none" w:color="auto" w:sz="0" w:space="1"/>
        <w:bottom w:val="none" w:color="auto" w:sz="0" w:space="1"/>
        <w:right w:val="none" w:color="auto" w:sz="0" w:space="1"/>
      </w:pBdr>
      <w:spacing w:after="50" w:afterLines="50"/>
      <w:ind w:firstLine="420" w:firstLineChars="200"/>
    </w:pPr>
    <w:rPr>
      <w:rFonts w:ascii="Cambria" w:hAnsi="Cambria" w:eastAsiaTheme="minorEastAsia"/>
      <w:sz w:val="24"/>
    </w:rPr>
  </w:style>
  <w:style w:type="paragraph" w:styleId="3">
    <w:name w:val="annotation text"/>
    <w:basedOn w:val="1"/>
    <w:link w:val="19"/>
    <w:unhideWhenUsed/>
    <w:qFormat/>
    <w:uiPriority w:val="99"/>
    <w:pPr>
      <w:jc w:val="left"/>
    </w:pPr>
  </w:style>
  <w:style w:type="paragraph" w:styleId="4">
    <w:name w:val="Balloon Text"/>
    <w:basedOn w:val="1"/>
    <w:link w:val="16"/>
    <w:unhideWhenUsed/>
    <w:qFormat/>
    <w:uiPriority w:val="99"/>
    <w:rPr>
      <w:sz w:val="18"/>
      <w:szCs w:val="18"/>
    </w:rPr>
  </w:style>
  <w:style w:type="paragraph" w:styleId="5">
    <w:name w:val="footer"/>
    <w:basedOn w:val="1"/>
    <w:link w:val="15"/>
    <w:unhideWhenUsed/>
    <w:qFormat/>
    <w:uiPriority w:val="99"/>
    <w:pPr>
      <w:tabs>
        <w:tab w:val="center" w:pos="4153"/>
        <w:tab w:val="right" w:pos="8306"/>
      </w:tabs>
      <w:snapToGrid w:val="0"/>
      <w:jc w:val="left"/>
    </w:pPr>
    <w:rPr>
      <w:rFonts w:ascii="Times New Roman" w:hAnsi="Times New Roman" w:eastAsia="宋体" w:cs="Times New Roman"/>
      <w:sz w:val="18"/>
      <w:szCs w:val="18"/>
    </w:rPr>
  </w:style>
  <w:style w:type="paragraph" w:styleId="6">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Subtitle"/>
    <w:basedOn w:val="1"/>
    <w:next w:val="1"/>
    <w:link w:val="23"/>
    <w:qFormat/>
    <w:uiPriority w:val="11"/>
    <w:pPr>
      <w:spacing w:before="240" w:after="60" w:line="312" w:lineRule="auto"/>
      <w:jc w:val="center"/>
      <w:outlineLvl w:val="1"/>
    </w:pPr>
    <w:rPr>
      <w:rFonts w:ascii="Cambria" w:hAnsi="Cambria" w:eastAsiaTheme="minorEastAsia"/>
      <w:b/>
      <w:bCs/>
      <w:kern w:val="28"/>
      <w:sz w:val="32"/>
      <w:szCs w:val="32"/>
    </w:rPr>
  </w:style>
  <w:style w:type="paragraph" w:styleId="8">
    <w:name w:val="annotation subject"/>
    <w:basedOn w:val="3"/>
    <w:next w:val="3"/>
    <w:link w:val="20"/>
    <w:unhideWhenUsed/>
    <w:qFormat/>
    <w:uiPriority w:val="99"/>
    <w:rPr>
      <w:b/>
      <w:bCs/>
    </w:rPr>
  </w:style>
  <w:style w:type="character" w:styleId="11">
    <w:name w:val="annotation reference"/>
    <w:basedOn w:val="10"/>
    <w:unhideWhenUsed/>
    <w:qFormat/>
    <w:uiPriority w:val="99"/>
    <w:rPr>
      <w:sz w:val="21"/>
      <w:szCs w:val="21"/>
    </w:rPr>
  </w:style>
  <w:style w:type="character" w:customStyle="1" w:styleId="12">
    <w:name w:val="条款正文 Char"/>
    <w:link w:val="13"/>
    <w:qFormat/>
    <w:uiPriority w:val="0"/>
    <w:rPr>
      <w:rFonts w:ascii="Calibri" w:hAnsi="Calibri" w:eastAsia="宋体" w:cs="Times New Roman"/>
      <w:kern w:val="0"/>
      <w:sz w:val="20"/>
      <w:szCs w:val="20"/>
    </w:rPr>
  </w:style>
  <w:style w:type="paragraph" w:customStyle="1" w:styleId="13">
    <w:name w:val="条款正文"/>
    <w:basedOn w:val="1"/>
    <w:link w:val="12"/>
    <w:qFormat/>
    <w:uiPriority w:val="0"/>
    <w:pPr>
      <w:adjustRightInd w:val="0"/>
      <w:snapToGrid w:val="0"/>
      <w:ind w:left="840" w:leftChars="400" w:firstLine="420" w:firstLineChars="200"/>
    </w:pPr>
    <w:rPr>
      <w:rFonts w:ascii="Calibri" w:hAnsi="Calibri" w:eastAsia="宋体" w:cs="Times New Roman"/>
      <w:kern w:val="0"/>
      <w:sz w:val="20"/>
      <w:szCs w:val="20"/>
    </w:rPr>
  </w:style>
  <w:style w:type="paragraph" w:customStyle="1" w:styleId="14">
    <w:name w:val="条款标题"/>
    <w:basedOn w:val="13"/>
    <w:qFormat/>
    <w:uiPriority w:val="0"/>
    <w:pPr>
      <w:tabs>
        <w:tab w:val="left" w:pos="840"/>
      </w:tabs>
      <w:ind w:left="0" w:leftChars="0" w:firstLine="0" w:firstLineChars="0"/>
    </w:pPr>
    <w:rPr>
      <w:b/>
    </w:rPr>
  </w:style>
  <w:style w:type="character" w:customStyle="1" w:styleId="15">
    <w:name w:val="页脚 字符"/>
    <w:basedOn w:val="10"/>
    <w:link w:val="5"/>
    <w:qFormat/>
    <w:uiPriority w:val="99"/>
    <w:rPr>
      <w:rFonts w:ascii="Times New Roman" w:hAnsi="Times New Roman" w:eastAsia="宋体" w:cs="Times New Roman"/>
      <w:sz w:val="18"/>
      <w:szCs w:val="18"/>
    </w:rPr>
  </w:style>
  <w:style w:type="character" w:customStyle="1" w:styleId="16">
    <w:name w:val="批注框文本 字符"/>
    <w:basedOn w:val="10"/>
    <w:link w:val="4"/>
    <w:semiHidden/>
    <w:qFormat/>
    <w:uiPriority w:val="99"/>
    <w:rPr>
      <w:sz w:val="18"/>
      <w:szCs w:val="18"/>
    </w:rPr>
  </w:style>
  <w:style w:type="character" w:customStyle="1" w:styleId="17">
    <w:name w:val="t_con1"/>
    <w:basedOn w:val="10"/>
    <w:qFormat/>
    <w:uiPriority w:val="0"/>
  </w:style>
  <w:style w:type="character" w:customStyle="1" w:styleId="18">
    <w:name w:val="页眉 字符"/>
    <w:basedOn w:val="10"/>
    <w:link w:val="6"/>
    <w:qFormat/>
    <w:uiPriority w:val="99"/>
    <w:rPr>
      <w:sz w:val="18"/>
      <w:szCs w:val="18"/>
    </w:rPr>
  </w:style>
  <w:style w:type="character" w:customStyle="1" w:styleId="19">
    <w:name w:val="批注文字 字符"/>
    <w:basedOn w:val="10"/>
    <w:link w:val="3"/>
    <w:qFormat/>
    <w:uiPriority w:val="99"/>
  </w:style>
  <w:style w:type="character" w:customStyle="1" w:styleId="20">
    <w:name w:val="批注主题 字符"/>
    <w:basedOn w:val="19"/>
    <w:link w:val="8"/>
    <w:semiHidden/>
    <w:qFormat/>
    <w:uiPriority w:val="99"/>
    <w:rPr>
      <w:b/>
      <w:bCs/>
    </w:rPr>
  </w:style>
  <w:style w:type="paragraph" w:customStyle="1" w:styleId="21">
    <w:name w:val="List Paragraph"/>
    <w:basedOn w:val="1"/>
    <w:qFormat/>
    <w:uiPriority w:val="34"/>
    <w:pPr>
      <w:ind w:firstLine="420" w:firstLineChars="200"/>
    </w:pPr>
  </w:style>
  <w:style w:type="paragraph" w:customStyle="1" w:styleId="22">
    <w:name w:val="Revision"/>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23">
    <w:name w:val="副标题 Char"/>
    <w:basedOn w:val="10"/>
    <w:link w:val="7"/>
    <w:qFormat/>
    <w:uiPriority w:val="11"/>
    <w:rPr>
      <w:rFonts w:ascii="Cambria" w:hAnsi="Cambria" w:eastAsiaTheme="minorEastAsia"/>
      <w:b/>
      <w:bCs/>
      <w:kern w:val="28"/>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7</Pages>
  <Words>5570</Words>
  <Characters>5632</Characters>
  <Lines>40</Lines>
  <Paragraphs>11</Paragraphs>
  <TotalTime>1</TotalTime>
  <ScaleCrop>false</ScaleCrop>
  <LinksUpToDate>false</LinksUpToDate>
  <CharactersWithSpaces>5671</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2021-04-13T02:53:00Z</dcterms:created>
  <dc:creator>罗荣敏</dc:creator>
  <cp:lastModifiedBy>刘晴</cp:lastModifiedBy>
  <cp:lastPrinted>2022-03-26T04:15:00Z</cp:lastPrinted>
  <dcterms:modified xsi:type="dcterms:W3CDTF">2025-08-06T09:34:43Z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41992AD3C8B34A059F93B856811D6365_13</vt:lpwstr>
  </property>
</Properties>
</file>