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tabs>
          <w:tab w:val="left" w:pos="2625"/>
        </w:tabs>
        <w:topLinePunct/>
        <w:snapToGrid w:val="0"/>
        <w:spacing w:before="0" w:after="156" w:afterLines="50" w:line="360" w:lineRule="auto"/>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华农财产保险股份有限公司</w:t>
      </w:r>
    </w:p>
    <w:p>
      <w:pPr>
        <w:pStyle w:val="12"/>
        <w:tabs>
          <w:tab w:val="left" w:pos="2625"/>
        </w:tabs>
        <w:topLinePunct/>
        <w:snapToGrid w:val="0"/>
        <w:spacing w:before="0" w:after="156" w:afterLines="50" w:line="360" w:lineRule="auto"/>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广西地区学生意外伤害保险附加学生重大疾病保险条款（2022版）</w:t>
      </w:r>
    </w:p>
    <w:p>
      <w:pPr>
        <w:pStyle w:val="12"/>
        <w:tabs>
          <w:tab w:val="left" w:pos="2625"/>
        </w:tabs>
        <w:snapToGrid w:val="0"/>
        <w:spacing w:before="0" w:after="156" w:afterLines="50" w:line="360" w:lineRule="auto"/>
        <w:ind w:firstLine="420" w:firstLineChars="200"/>
        <w:rPr>
          <w:rFonts w:hint="default" w:ascii="宋体" w:hAnsi="宋体"/>
          <w:color w:val="000000" w:themeColor="text1"/>
          <w:sz w:val="21"/>
          <w:lang w:eastAsia="zh-Hans"/>
          <w14:textFill>
            <w14:solidFill>
              <w14:schemeClr w14:val="tx1"/>
            </w14:solidFill>
          </w14:textFill>
        </w:rPr>
      </w:pPr>
      <w:bookmarkStart w:id="0" w:name="_GoBack"/>
      <w:r>
        <w:rPr>
          <w:rFonts w:hint="eastAsia" w:ascii="宋体" w:hAnsi="宋体"/>
          <w:color w:val="000000" w:themeColor="text1"/>
          <w:sz w:val="21"/>
          <w:lang w:val="en-US" w:eastAsia="zh-Hans"/>
          <w14:textFill>
            <w14:solidFill>
              <w14:schemeClr w14:val="tx1"/>
            </w14:solidFill>
          </w14:textFill>
        </w:rPr>
        <w:t>注册编号：</w:t>
      </w:r>
      <w:r>
        <w:rPr>
          <w:rFonts w:hint="default" w:ascii="宋体" w:hAnsi="宋体"/>
          <w:color w:val="000000" w:themeColor="text1"/>
          <w:sz w:val="21"/>
          <w:lang w:eastAsia="zh-Hans"/>
          <w14:textFill>
            <w14:solidFill>
              <w14:schemeClr w14:val="tx1"/>
            </w14:solidFill>
          </w14:textFill>
        </w:rPr>
        <w:t>C00010132622022071539611</w:t>
      </w:r>
    </w:p>
    <w:bookmarkEnd w:id="0"/>
    <w:p>
      <w:pPr>
        <w:pStyle w:val="12"/>
        <w:tabs>
          <w:tab w:val="left" w:pos="2625"/>
        </w:tabs>
        <w:snapToGrid w:val="0"/>
        <w:spacing w:before="0" w:after="156" w:afterLines="50" w:line="360" w:lineRule="auto"/>
        <w:ind w:firstLine="420" w:firstLineChars="200"/>
        <w:rPr>
          <w:rFonts w:ascii="宋体"/>
          <w:color w:val="000000" w:themeColor="text1"/>
          <w:sz w:val="21"/>
          <w14:textFill>
            <w14:solidFill>
              <w14:schemeClr w14:val="tx1"/>
            </w14:solidFill>
          </w14:textFill>
        </w:rPr>
      </w:pPr>
      <w:r>
        <w:rPr>
          <w:rFonts w:hint="eastAsia" w:ascii="宋体" w:hAnsi="宋体"/>
          <w:color w:val="000000" w:themeColor="text1"/>
          <w:sz w:val="21"/>
          <w14:textFill>
            <w14:solidFill>
              <w14:schemeClr w14:val="tx1"/>
            </w14:solidFill>
          </w14:textFill>
        </w:rPr>
        <w:t>第一部分</w:t>
      </w:r>
      <w:r>
        <w:rPr>
          <w:rFonts w:ascii="宋体" w:hAnsi="宋体"/>
          <w:color w:val="000000" w:themeColor="text1"/>
          <w:sz w:val="21"/>
          <w14:textFill>
            <w14:solidFill>
              <w14:schemeClr w14:val="tx1"/>
            </w14:solidFill>
          </w14:textFill>
        </w:rPr>
        <w:t xml:space="preserve"> </w:t>
      </w:r>
      <w:r>
        <w:rPr>
          <w:rFonts w:hint="eastAsia" w:ascii="宋体" w:hAnsi="宋体"/>
          <w:color w:val="000000" w:themeColor="text1"/>
          <w:sz w:val="21"/>
          <w14:textFill>
            <w14:solidFill>
              <w14:schemeClr w14:val="tx1"/>
            </w14:solidFill>
          </w14:textFill>
        </w:rPr>
        <w:t>总则</w:t>
      </w:r>
    </w:p>
    <w:p>
      <w:pPr>
        <w:snapToGrid w:val="0"/>
        <w:spacing w:after="156" w:afterLines="50" w:line="360" w:lineRule="auto"/>
        <w:ind w:firstLine="420" w:firstLineChars="200"/>
        <w:rPr>
          <w:rFonts w:asci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第一条</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合同构成</w:t>
      </w:r>
    </w:p>
    <w:p>
      <w:pPr>
        <w:snapToGrid w:val="0"/>
        <w:spacing w:after="156" w:afterLines="50" w:line="360" w:lineRule="auto"/>
        <w:ind w:firstLine="420" w:firstLineChars="200"/>
        <w:rPr>
          <w:rFonts w:ascii="宋体"/>
          <w:b/>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本附加险合同附加于广西地区学生意外伤害保险合同（以下简称“主险合同”）。</w:t>
      </w:r>
      <w:r>
        <w:rPr>
          <w:rFonts w:hint="eastAsia" w:ascii="宋体" w:hAnsi="宋体"/>
          <w:b/>
          <w:color w:val="000000" w:themeColor="text1"/>
          <w:szCs w:val="21"/>
          <w14:textFill>
            <w14:solidFill>
              <w14:schemeClr w14:val="tx1"/>
            </w14:solidFill>
          </w14:textFill>
        </w:rPr>
        <w:t>本附加险合同与主险合同相抵触之处，以本附加险合同为准。本附加险合同未约定事项，以主险合同为准。主险合同效力终止，本附加险合同效力亦同时终止；主险合同无效，本附加险合同亦无效。</w:t>
      </w:r>
    </w:p>
    <w:p>
      <w:pPr>
        <w:snapToGrid w:val="0"/>
        <w:spacing w:after="156" w:afterLines="50" w:line="360" w:lineRule="auto"/>
        <w:ind w:firstLine="420" w:firstLineChars="200"/>
        <w:rPr>
          <w:rFonts w:ascii="宋体"/>
          <w:b/>
          <w:color w:val="000000" w:themeColor="text1"/>
          <w:szCs w:val="21"/>
          <w14:textFill>
            <w14:solidFill>
              <w14:schemeClr w14:val="tx1"/>
            </w14:solidFill>
          </w14:textFill>
        </w:rPr>
      </w:pPr>
      <w:r>
        <w:rPr>
          <w:color w:val="000000" w:themeColor="text1"/>
          <w14:textFill>
            <w14:solidFill>
              <w14:schemeClr w14:val="tx1"/>
            </w14:solidFill>
          </w14:textFill>
        </w:rPr>
        <w:t xml:space="preserve"> </w:t>
      </w:r>
      <w:r>
        <w:rPr>
          <w:rFonts w:hint="eastAsia" w:hAnsi="宋体"/>
          <w:color w:val="000000" w:themeColor="text1"/>
          <w:szCs w:val="21"/>
          <w14:textFill>
            <w14:solidFill>
              <w14:schemeClr w14:val="tx1"/>
            </w14:solidFill>
          </w14:textFill>
        </w:rPr>
        <w:t>本附加险合同由主险合同所附条款、本附加险合同保险单及所附条款、批注、附贴批单、投保单，以及与本附加险合同有关的投保文件、声明和其他书面协议共同构成。</w:t>
      </w:r>
    </w:p>
    <w:p>
      <w:pPr>
        <w:snapToGrid w:val="0"/>
        <w:spacing w:after="156" w:afterLines="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凡涉及本附加险合同的约定，均应采用书面形式。</w:t>
      </w:r>
    </w:p>
    <w:p>
      <w:pPr>
        <w:tabs>
          <w:tab w:val="left" w:pos="851"/>
        </w:tabs>
        <w:snapToGrid w:val="0"/>
        <w:spacing w:after="156" w:afterLines="50" w:line="360" w:lineRule="auto"/>
        <w:ind w:firstLine="420" w:firstLineChars="200"/>
        <w:jc w:val="left"/>
        <w:rPr>
          <w:rFonts w:ascii="宋体"/>
          <w:color w:val="000000" w:themeColor="text1"/>
          <w:szCs w:val="21"/>
          <w14:textFill>
            <w14:solidFill>
              <w14:schemeClr w14:val="tx1"/>
            </w14:solidFill>
          </w14:textFill>
        </w:rPr>
      </w:pPr>
      <w:r>
        <w:rPr>
          <w:rFonts w:hint="eastAsia" w:ascii="宋体" w:hAnsi="宋体"/>
          <w:b/>
          <w:color w:val="000000" w:themeColor="text1"/>
          <w14:textFill>
            <w14:solidFill>
              <w14:schemeClr w14:val="tx1"/>
            </w14:solidFill>
          </w14:textFill>
        </w:rPr>
        <w:t>第二条</w:t>
      </w:r>
      <w:r>
        <w:rPr>
          <w:rFonts w:ascii="宋体" w:hAnsi="宋体"/>
          <w:b/>
          <w:color w:val="000000" w:themeColor="text1"/>
          <w14:textFill>
            <w14:solidFill>
              <w14:schemeClr w14:val="tx1"/>
            </w14:solidFill>
          </w14:textFill>
        </w:rPr>
        <w:t xml:space="preserve">  </w:t>
      </w:r>
      <w:r>
        <w:rPr>
          <w:rFonts w:hint="eastAsia" w:ascii="宋体" w:hAnsi="宋体"/>
          <w:b/>
          <w:color w:val="000000" w:themeColor="text1"/>
          <w14:textFill>
            <w14:solidFill>
              <w14:schemeClr w14:val="tx1"/>
            </w14:solidFill>
          </w14:textFill>
        </w:rPr>
        <w:t>投保人、被保险人</w:t>
      </w:r>
    </w:p>
    <w:p>
      <w:pPr>
        <w:tabs>
          <w:tab w:val="left" w:pos="851"/>
        </w:tabs>
        <w:snapToGrid w:val="0"/>
        <w:spacing w:after="156" w:afterLines="50" w:line="360" w:lineRule="auto"/>
        <w:ind w:firstLine="420" w:firstLineChars="200"/>
        <w:jc w:val="left"/>
        <w:rPr>
          <w:rFonts w:ascii="宋体"/>
          <w:color w:val="000000" w:themeColor="text1"/>
          <w14:textFill>
            <w14:solidFill>
              <w14:schemeClr w14:val="tx1"/>
            </w14:solidFill>
          </w14:textFill>
        </w:rPr>
      </w:pPr>
      <w:r>
        <w:rPr>
          <w:rFonts w:hint="eastAsia" w:ascii="宋体" w:hAnsi="宋体"/>
          <w:color w:val="000000" w:themeColor="text1"/>
          <w:szCs w:val="21"/>
          <w14:textFill>
            <w14:solidFill>
              <w14:schemeClr w14:val="tx1"/>
            </w14:solidFill>
          </w14:textFill>
        </w:rPr>
        <w:t>本附加险合同</w:t>
      </w:r>
      <w:r>
        <w:rPr>
          <w:rFonts w:hint="eastAsia" w:ascii="宋体" w:hAnsi="宋体"/>
          <w:color w:val="000000" w:themeColor="text1"/>
          <w14:textFill>
            <w14:solidFill>
              <w14:schemeClr w14:val="tx1"/>
            </w14:solidFill>
          </w14:textFill>
        </w:rPr>
        <w:t>的投保人、被保险人与主险合同相同。</w:t>
      </w:r>
    </w:p>
    <w:p>
      <w:pPr>
        <w:snapToGrid w:val="0"/>
        <w:spacing w:after="156" w:afterLines="50" w:line="360" w:lineRule="auto"/>
        <w:ind w:firstLine="420"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第三条</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受益人</w:t>
      </w:r>
    </w:p>
    <w:p>
      <w:pPr>
        <w:snapToGrid w:val="0"/>
        <w:spacing w:after="156" w:afterLines="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除投保人或被保险人另有指定外，本附加险合同保险金受益人为被保险人本人。</w:t>
      </w:r>
    </w:p>
    <w:p>
      <w:pPr>
        <w:snapToGrid w:val="0"/>
        <w:spacing w:after="156" w:afterLines="50" w:line="360" w:lineRule="auto"/>
        <w:jc w:val="center"/>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第二部分</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保险责任和责任免除</w:t>
      </w:r>
    </w:p>
    <w:p>
      <w:pPr>
        <w:widowControl/>
        <w:autoSpaceDE w:val="0"/>
        <w:autoSpaceDN w:val="0"/>
        <w:adjustRightInd w:val="0"/>
        <w:spacing w:after="156" w:afterLines="50" w:line="360" w:lineRule="auto"/>
        <w:ind w:firstLine="420" w:firstLineChars="200"/>
        <w:jc w:val="left"/>
        <w:textAlignment w:val="bottom"/>
        <w:rPr>
          <w:rFonts w:ascii="宋体" w:cs="幼圆"/>
          <w:b/>
          <w:bCs/>
          <w:color w:val="000000" w:themeColor="text1"/>
          <w:kern w:val="0"/>
          <w:szCs w:val="21"/>
          <w14:textFill>
            <w14:solidFill>
              <w14:schemeClr w14:val="tx1"/>
            </w14:solidFill>
          </w14:textFill>
        </w:rPr>
      </w:pPr>
      <w:r>
        <w:rPr>
          <w:rFonts w:hint="eastAsia" w:ascii="宋体" w:hAnsi="宋体" w:cs="幼圆"/>
          <w:b/>
          <w:bCs/>
          <w:color w:val="000000" w:themeColor="text1"/>
          <w:kern w:val="0"/>
          <w:szCs w:val="21"/>
          <w14:textFill>
            <w14:solidFill>
              <w14:schemeClr w14:val="tx1"/>
            </w14:solidFill>
          </w14:textFill>
        </w:rPr>
        <w:t>第四条</w:t>
      </w:r>
      <w:r>
        <w:rPr>
          <w:rFonts w:ascii="宋体" w:hAnsi="宋体" w:cs="幼圆"/>
          <w:b/>
          <w:bCs/>
          <w:color w:val="000000" w:themeColor="text1"/>
          <w:kern w:val="0"/>
          <w:szCs w:val="21"/>
          <w14:textFill>
            <w14:solidFill>
              <w14:schemeClr w14:val="tx1"/>
            </w14:solidFill>
          </w14:textFill>
        </w:rPr>
        <w:t xml:space="preserve">  </w:t>
      </w:r>
      <w:r>
        <w:rPr>
          <w:rFonts w:hint="eastAsia" w:ascii="宋体" w:hAnsi="宋体" w:cs="幼圆"/>
          <w:b/>
          <w:bCs/>
          <w:color w:val="000000" w:themeColor="text1"/>
          <w:kern w:val="0"/>
          <w:szCs w:val="21"/>
          <w14:textFill>
            <w14:solidFill>
              <w14:schemeClr w14:val="tx1"/>
            </w14:solidFill>
          </w14:textFill>
        </w:rPr>
        <w:t>保险责任</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在本附加险合同保险期间内，保险人承担下列保险责任：</w:t>
      </w:r>
    </w:p>
    <w:p>
      <w:pPr>
        <w:adjustRightInd w:val="0"/>
        <w:snapToGrid w:val="0"/>
        <w:spacing w:after="156" w:afterLines="50" w:line="360" w:lineRule="auto"/>
        <w:ind w:firstLine="420" w:firstLineChars="200"/>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被保险人因遭受意外伤害或在等待期满后因疾病原因，在保险期间内初次发生本附加险条款约定的重大疾病（无论一种或者多种）并经医院</w:t>
      </w:r>
      <w:r>
        <w:rPr>
          <w:rFonts w:hint="eastAsia" w:ascii="宋体" w:hAnsi="宋体"/>
          <w:color w:val="auto"/>
          <w:kern w:val="0"/>
          <w:szCs w:val="21"/>
        </w:rPr>
        <w:t>专科医生确</w:t>
      </w:r>
      <w:r>
        <w:rPr>
          <w:rFonts w:hint="eastAsia" w:ascii="宋体" w:hAnsi="宋体"/>
          <w:color w:val="000000" w:themeColor="text1"/>
          <w:kern w:val="0"/>
          <w:szCs w:val="21"/>
          <w14:textFill>
            <w14:solidFill>
              <w14:schemeClr w14:val="tx1"/>
            </w14:solidFill>
          </w14:textFill>
        </w:rPr>
        <w:t>诊的，保险人按本附加险保险金额给付重大疾病保险金，本附加险的保险责任终止。</w:t>
      </w:r>
    </w:p>
    <w:p>
      <w:pPr>
        <w:adjustRightInd w:val="0"/>
        <w:snapToGrid w:val="0"/>
        <w:spacing w:after="156" w:afterLines="50" w:line="360" w:lineRule="auto"/>
        <w:ind w:firstLine="420" w:firstLineChars="200"/>
        <w:rPr>
          <w:rFonts w:ascii="宋体" w:hAnsi="宋体"/>
          <w:b/>
          <w:bCs/>
          <w:color w:val="000000" w:themeColor="text1"/>
          <w:kern w:val="0"/>
          <w:szCs w:val="21"/>
          <w14:textFill>
            <w14:solidFill>
              <w14:schemeClr w14:val="tx1"/>
            </w14:solidFill>
          </w14:textFill>
        </w:rPr>
      </w:pPr>
      <w:r>
        <w:rPr>
          <w:rFonts w:hint="eastAsia" w:ascii="宋体" w:hAnsi="宋体"/>
          <w:b/>
          <w:bCs/>
          <w:color w:val="000000" w:themeColor="text1"/>
          <w:kern w:val="0"/>
          <w:szCs w:val="21"/>
          <w14:textFill>
            <w14:solidFill>
              <w14:schemeClr w14:val="tx1"/>
            </w14:solidFill>
          </w14:textFill>
        </w:rPr>
        <w:t>被保险人在等待期满前（因遭受意外伤害导致保险事故的除外）患有本附加险合同约定的重大疾病（无论一种或者多种），保险人不承担给付保险金的责任，向投保人退还本</w:t>
      </w:r>
      <w:r>
        <w:rPr>
          <w:rFonts w:ascii="宋体" w:hAnsi="宋体"/>
          <w:b/>
          <w:bCs/>
          <w:color w:val="000000" w:themeColor="text1"/>
          <w:kern w:val="0"/>
          <w:szCs w:val="21"/>
          <w14:textFill>
            <w14:solidFill>
              <w14:schemeClr w14:val="tx1"/>
            </w14:solidFill>
          </w14:textFill>
        </w:rPr>
        <w:t>附加险合同的</w:t>
      </w:r>
      <w:r>
        <w:rPr>
          <w:rFonts w:hint="eastAsia" w:ascii="宋体" w:hAnsi="宋体"/>
          <w:b/>
          <w:bCs/>
          <w:color w:val="000000" w:themeColor="text1"/>
          <w:kern w:val="0"/>
          <w:szCs w:val="21"/>
          <w14:textFill>
            <w14:solidFill>
              <w14:schemeClr w14:val="tx1"/>
            </w14:solidFill>
          </w14:textFill>
        </w:rPr>
        <w:t>现金价</w:t>
      </w:r>
      <w:r>
        <w:rPr>
          <w:rFonts w:ascii="宋体" w:hAnsi="宋体"/>
          <w:b/>
          <w:bCs/>
          <w:color w:val="000000" w:themeColor="text1"/>
          <w:kern w:val="0"/>
          <w:szCs w:val="21"/>
          <w14:textFill>
            <w14:solidFill>
              <w14:schemeClr w14:val="tx1"/>
            </w14:solidFill>
          </w14:textFill>
        </w:rPr>
        <w:t>值</w:t>
      </w:r>
      <w:r>
        <w:rPr>
          <w:rFonts w:hint="eastAsia" w:ascii="宋体" w:hAnsi="宋体"/>
          <w:b/>
          <w:bCs/>
          <w:color w:val="000000" w:themeColor="text1"/>
          <w:kern w:val="0"/>
          <w:szCs w:val="21"/>
          <w14:textFill>
            <w14:solidFill>
              <w14:schemeClr w14:val="tx1"/>
            </w14:solidFill>
          </w14:textFill>
        </w:rPr>
        <w:t>（见</w:t>
      </w:r>
      <w:r>
        <w:rPr>
          <w:rFonts w:ascii="宋体" w:hAnsi="宋体"/>
          <w:b/>
          <w:bCs/>
          <w:color w:val="000000" w:themeColor="text1"/>
          <w:kern w:val="0"/>
          <w:szCs w:val="21"/>
          <w14:textFill>
            <w14:solidFill>
              <w14:schemeClr w14:val="tx1"/>
            </w14:solidFill>
          </w14:textFill>
        </w:rPr>
        <w:t>释义</w:t>
      </w:r>
      <w:r>
        <w:rPr>
          <w:rFonts w:hint="eastAsia" w:ascii="宋体" w:hAnsi="宋体"/>
          <w:b/>
          <w:bCs/>
          <w:color w:val="000000" w:themeColor="text1"/>
          <w:kern w:val="0"/>
          <w:szCs w:val="21"/>
          <w14:textFill>
            <w14:solidFill>
              <w14:schemeClr w14:val="tx1"/>
            </w14:solidFill>
          </w14:textFill>
        </w:rPr>
        <w:t>，</w:t>
      </w:r>
      <w:r>
        <w:rPr>
          <w:rFonts w:ascii="宋体" w:hAnsi="宋体"/>
          <w:b/>
          <w:bCs/>
          <w:color w:val="000000" w:themeColor="text1"/>
          <w:kern w:val="0"/>
          <w:szCs w:val="21"/>
          <w14:textFill>
            <w14:solidFill>
              <w14:schemeClr w14:val="tx1"/>
            </w14:solidFill>
          </w14:textFill>
        </w:rPr>
        <w:t>下同）</w:t>
      </w:r>
      <w:r>
        <w:rPr>
          <w:rFonts w:hint="eastAsia" w:ascii="宋体" w:hAnsi="宋体"/>
          <w:b/>
          <w:bCs/>
          <w:color w:val="000000" w:themeColor="text1"/>
          <w:kern w:val="0"/>
          <w:szCs w:val="21"/>
          <w14:textFill>
            <w14:solidFill>
              <w14:schemeClr w14:val="tx1"/>
            </w14:solidFill>
          </w14:textFill>
        </w:rPr>
        <w:t>，本附加险的保险责任终止。</w:t>
      </w:r>
    </w:p>
    <w:p>
      <w:pPr>
        <w:adjustRightInd w:val="0"/>
        <w:snapToGrid w:val="0"/>
        <w:spacing w:after="156" w:afterLines="50" w:line="360" w:lineRule="auto"/>
        <w:ind w:firstLine="420" w:firstLineChars="200"/>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本附加险条款所称</w:t>
      </w:r>
      <w:r>
        <w:rPr>
          <w:rFonts w:hint="eastAsia" w:ascii="宋体" w:hAnsi="宋体"/>
          <w:b/>
          <w:color w:val="000000" w:themeColor="text1"/>
          <w:kern w:val="0"/>
          <w:szCs w:val="21"/>
          <w14:textFill>
            <w14:solidFill>
              <w14:schemeClr w14:val="tx1"/>
            </w14:solidFill>
          </w14:textFill>
        </w:rPr>
        <w:t>意外伤害</w:t>
      </w:r>
      <w:r>
        <w:rPr>
          <w:rFonts w:hint="eastAsia" w:ascii="宋体" w:hAnsi="宋体"/>
          <w:color w:val="000000" w:themeColor="text1"/>
          <w:kern w:val="0"/>
          <w:szCs w:val="21"/>
          <w14:textFill>
            <w14:solidFill>
              <w14:schemeClr w14:val="tx1"/>
            </w14:solidFill>
          </w14:textFill>
        </w:rPr>
        <w:t>，指以外来的、突发的、非本意的和非疾病的客观事件为直接原因致使身体受到的伤害。</w:t>
      </w:r>
    </w:p>
    <w:p>
      <w:pPr>
        <w:adjustRightInd w:val="0"/>
        <w:snapToGrid w:val="0"/>
        <w:spacing w:after="156" w:afterLines="50" w:line="360" w:lineRule="auto"/>
        <w:ind w:firstLine="420" w:firstLineChars="200"/>
        <w:rPr>
          <w:rFonts w:ascii="宋体" w:hAnsi="宋体"/>
          <w:color w:val="000000" w:themeColor="text1"/>
          <w:kern w:val="0"/>
          <w:szCs w:val="21"/>
          <w14:textFill>
            <w14:solidFill>
              <w14:schemeClr w14:val="tx1"/>
            </w14:solidFill>
          </w14:textFill>
        </w:rPr>
      </w:pPr>
      <w:r>
        <w:rPr>
          <w:rFonts w:hint="eastAsia" w:ascii="宋体" w:hAnsi="宋体"/>
          <w:b/>
          <w:bCs/>
          <w:color w:val="000000" w:themeColor="text1"/>
          <w:kern w:val="0"/>
          <w:szCs w:val="21"/>
          <w14:textFill>
            <w14:solidFill>
              <w14:schemeClr w14:val="tx1"/>
            </w14:solidFill>
          </w14:textFill>
        </w:rPr>
        <w:t>本附加险等待期自本附加险保险期间开始之日或本附加险生效之日（以较晚者为准）开始计算，期限为30日</w:t>
      </w:r>
      <w:r>
        <w:rPr>
          <w:rFonts w:hint="eastAsia"/>
          <w:lang w:eastAsia="zh-CN"/>
        </w:rPr>
        <w:t>（</w:t>
      </w:r>
      <w:r>
        <w:rPr>
          <w:rFonts w:hint="eastAsia"/>
          <w:lang w:val="en-US" w:eastAsia="zh-CN"/>
        </w:rPr>
        <w:t>含）</w:t>
      </w:r>
      <w:r>
        <w:rPr>
          <w:rFonts w:hint="eastAsia" w:ascii="宋体" w:hAnsi="宋体"/>
          <w:color w:val="000000" w:themeColor="text1"/>
          <w:kern w:val="0"/>
          <w:szCs w:val="21"/>
          <w14:textFill>
            <w14:solidFill>
              <w14:schemeClr w14:val="tx1"/>
            </w14:solidFill>
          </w14:textFill>
        </w:rPr>
        <w:t>，连续投保者不适用等待期。</w:t>
      </w:r>
    </w:p>
    <w:p>
      <w:pPr>
        <w:adjustRightInd w:val="0"/>
        <w:snapToGrid w:val="0"/>
        <w:spacing w:after="156" w:afterLines="50" w:line="360" w:lineRule="auto"/>
        <w:ind w:firstLine="420" w:firstLineChars="200"/>
        <w:rPr>
          <w:rFonts w:asci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第五条</w:t>
      </w:r>
      <w:r>
        <w:rPr>
          <w:rFonts w:ascii="宋体" w:hAnsi="宋体"/>
          <w:b/>
          <w:bCs/>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责任免除</w:t>
      </w:r>
    </w:p>
    <w:p>
      <w:pPr>
        <w:adjustRightInd w:val="0"/>
        <w:snapToGrid w:val="0"/>
        <w:spacing w:after="156" w:afterLines="50" w:line="360" w:lineRule="auto"/>
        <w:ind w:firstLine="420"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因下列原因之一或下列情形之一</w:t>
      </w:r>
      <w:r>
        <w:rPr>
          <w:rFonts w:ascii="宋体"/>
          <w:b/>
          <w:color w:val="000000" w:themeColor="text1"/>
          <w:szCs w:val="21"/>
          <w14:textFill>
            <w14:solidFill>
              <w14:schemeClr w14:val="tx1"/>
            </w14:solidFill>
          </w14:textFill>
        </w:rPr>
        <w:t>,</w:t>
      </w:r>
      <w:r>
        <w:rPr>
          <w:rFonts w:hint="eastAsia" w:ascii="宋体" w:hAnsi="宋体"/>
          <w:b/>
          <w:color w:val="000000" w:themeColor="text1"/>
          <w:szCs w:val="21"/>
          <w14:textFill>
            <w14:solidFill>
              <w14:schemeClr w14:val="tx1"/>
            </w14:solidFill>
          </w14:textFill>
        </w:rPr>
        <w:t>导致被保险人患有本附加险合同所指重大疾病，保险人不承担给付保险金的责任：</w:t>
      </w:r>
    </w:p>
    <w:p>
      <w:pPr>
        <w:adjustRightInd w:val="0"/>
        <w:snapToGrid w:val="0"/>
        <w:spacing w:after="156" w:afterLines="50" w:line="360" w:lineRule="auto"/>
        <w:ind w:firstLine="420" w:firstLineChars="200"/>
        <w:rPr>
          <w:rFonts w:asci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一、投保人对被保险人的故意杀害或故意伤害；</w:t>
      </w:r>
    </w:p>
    <w:p>
      <w:pPr>
        <w:adjustRightInd w:val="0"/>
        <w:snapToGrid w:val="0"/>
        <w:spacing w:after="156" w:afterLines="50" w:line="360" w:lineRule="auto"/>
        <w:ind w:firstLine="420" w:firstLineChars="200"/>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二、</w:t>
      </w:r>
      <w:r>
        <w:rPr>
          <w:rFonts w:hint="eastAsia"/>
          <w:b/>
          <w:color w:val="000000" w:themeColor="text1"/>
          <w14:textFill>
            <w14:solidFill>
              <w14:schemeClr w14:val="tx1"/>
            </w14:solidFill>
          </w14:textFill>
        </w:rPr>
        <w:t>被保险人故意犯罪或抗拒依法采取的刑事强制措施；</w:t>
      </w:r>
    </w:p>
    <w:p>
      <w:pPr>
        <w:adjustRightInd w:val="0"/>
        <w:snapToGrid w:val="0"/>
        <w:spacing w:after="156" w:afterLines="50" w:line="360" w:lineRule="auto"/>
        <w:ind w:firstLine="420" w:firstLineChars="200"/>
        <w:rPr>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三</w:t>
      </w:r>
      <w:r>
        <w:rPr>
          <w:rFonts w:ascii="宋体" w:hAnsi="宋体"/>
          <w:b/>
          <w:color w:val="000000" w:themeColor="text1"/>
          <w14:textFill>
            <w14:solidFill>
              <w14:schemeClr w14:val="tx1"/>
            </w14:solidFill>
          </w14:textFill>
        </w:rPr>
        <w:t>、</w:t>
      </w:r>
      <w:r>
        <w:rPr>
          <w:rFonts w:hint="eastAsia"/>
          <w:b/>
          <w:color w:val="000000" w:themeColor="text1"/>
          <w14:textFill>
            <w14:solidFill>
              <w14:schemeClr w14:val="tx1"/>
            </w14:solidFill>
          </w14:textFill>
        </w:rPr>
        <w:t>被保险人故意自伤、自杀，但被保险人自杀时为无民事行为能力人的除外；</w:t>
      </w:r>
    </w:p>
    <w:p>
      <w:pPr>
        <w:adjustRightInd w:val="0"/>
        <w:snapToGrid w:val="0"/>
        <w:spacing w:after="156" w:afterLines="50" w:line="360" w:lineRule="auto"/>
        <w:ind w:firstLine="420" w:firstLineChars="200"/>
        <w:rPr>
          <w:rFonts w:asci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四、</w:t>
      </w:r>
      <w:r>
        <w:rPr>
          <w:rFonts w:hint="eastAsia" w:ascii="宋体" w:hAnsi="宋体"/>
          <w:b/>
          <w:color w:val="000000" w:themeColor="text1"/>
          <w:szCs w:val="21"/>
          <w14:textFill>
            <w14:solidFill>
              <w14:schemeClr w14:val="tx1"/>
            </w14:solidFill>
          </w14:textFill>
        </w:rPr>
        <w:t>被保险人服用、吸食或注射毒品；</w:t>
      </w:r>
    </w:p>
    <w:p>
      <w:pPr>
        <w:adjustRightInd w:val="0"/>
        <w:snapToGrid w:val="0"/>
        <w:spacing w:after="156" w:afterLines="50" w:line="360" w:lineRule="auto"/>
        <w:ind w:firstLine="420"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五、被保险人酒后驾驶（见释义）、无合法有效驾驶证（见释义）驾驶，或驾驶无</w:t>
      </w:r>
      <w:r>
        <w:rPr>
          <w:rFonts w:hint="eastAsia" w:ascii="宋体" w:hAnsi="宋体"/>
          <w:b/>
          <w:color w:val="FF0000"/>
          <w:szCs w:val="21"/>
          <w:highlight w:val="none"/>
        </w:rPr>
        <w:t>合法</w:t>
      </w:r>
      <w:r>
        <w:rPr>
          <w:rFonts w:hint="eastAsia" w:ascii="宋体" w:hAnsi="宋体"/>
          <w:b/>
          <w:color w:val="000000" w:themeColor="text1"/>
          <w:szCs w:val="21"/>
          <w:highlight w:val="none"/>
          <w14:textFill>
            <w14:solidFill>
              <w14:schemeClr w14:val="tx1"/>
            </w14:solidFill>
          </w14:textFill>
        </w:rPr>
        <w:t>有效行驶证（见释义）的机动车；</w:t>
      </w:r>
    </w:p>
    <w:p>
      <w:pPr>
        <w:adjustRightInd w:val="0"/>
        <w:snapToGrid w:val="0"/>
        <w:spacing w:after="156" w:afterLines="50" w:line="360" w:lineRule="auto"/>
        <w:ind w:firstLine="420"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六、被</w:t>
      </w:r>
      <w:r>
        <w:rPr>
          <w:rFonts w:ascii="宋体" w:hAnsi="宋体"/>
          <w:b/>
          <w:color w:val="000000" w:themeColor="text1"/>
          <w:szCs w:val="21"/>
          <w14:textFill>
            <w14:solidFill>
              <w14:schemeClr w14:val="tx1"/>
            </w14:solidFill>
          </w14:textFill>
        </w:rPr>
        <w:t>保险人</w:t>
      </w:r>
      <w:r>
        <w:rPr>
          <w:rFonts w:hint="eastAsia"/>
          <w:b/>
          <w:color w:val="000000" w:themeColor="text1"/>
          <w14:textFill>
            <w14:solidFill>
              <w14:schemeClr w14:val="tx1"/>
            </w14:solidFill>
          </w14:textFill>
        </w:rPr>
        <w:t>感染艾滋病病毒或患艾滋病</w:t>
      </w:r>
      <w:r>
        <w:rPr>
          <w:rFonts w:hint="eastAsia" w:ascii="宋体" w:hAnsi="宋体"/>
          <w:b/>
          <w:color w:val="000000" w:themeColor="text1"/>
          <w:szCs w:val="21"/>
          <w14:textFill>
            <w14:solidFill>
              <w14:schemeClr w14:val="tx1"/>
            </w14:solidFill>
          </w14:textFill>
        </w:rPr>
        <w:t>；</w:t>
      </w:r>
    </w:p>
    <w:p>
      <w:pPr>
        <w:adjustRightInd w:val="0"/>
        <w:snapToGrid w:val="0"/>
        <w:spacing w:after="156" w:afterLines="50" w:line="360" w:lineRule="auto"/>
        <w:ind w:firstLine="420"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七、战争、军事冲突、暴乱或武装叛乱；</w:t>
      </w:r>
    </w:p>
    <w:p>
      <w:pPr>
        <w:adjustRightInd w:val="0"/>
        <w:snapToGrid w:val="0"/>
        <w:spacing w:after="156" w:afterLines="50" w:line="360" w:lineRule="auto"/>
        <w:ind w:firstLine="420"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八、核爆炸、核辐射或核污染；</w:t>
      </w:r>
    </w:p>
    <w:p>
      <w:pPr>
        <w:adjustRightInd w:val="0"/>
        <w:snapToGrid w:val="0"/>
        <w:spacing w:after="156" w:afterLines="50" w:line="360" w:lineRule="auto"/>
        <w:ind w:firstLine="420" w:firstLineChars="200"/>
        <w:rPr>
          <w:rFonts w:ascii="宋体"/>
          <w:b/>
          <w:color w:val="000000" w:themeColor="text1"/>
          <w14:textFill>
            <w14:solidFill>
              <w14:schemeClr w14:val="tx1"/>
            </w14:solidFill>
          </w14:textFill>
        </w:rPr>
      </w:pPr>
      <w:r>
        <w:rPr>
          <w:rFonts w:hint="eastAsia" w:ascii="宋体" w:hAnsi="宋体"/>
          <w:b/>
          <w:color w:val="000000" w:themeColor="text1"/>
          <w:szCs w:val="21"/>
          <w14:textFill>
            <w14:solidFill>
              <w14:schemeClr w14:val="tx1"/>
            </w14:solidFill>
          </w14:textFill>
        </w:rPr>
        <w:t>九、</w:t>
      </w:r>
      <w:r>
        <w:rPr>
          <w:rFonts w:hint="eastAsia" w:ascii="宋体" w:hAnsi="宋体"/>
          <w:b/>
          <w:color w:val="000000" w:themeColor="text1"/>
          <w14:textFill>
            <w14:solidFill>
              <w14:schemeClr w14:val="tx1"/>
            </w14:solidFill>
          </w14:textFill>
        </w:rPr>
        <w:t>被保险人患遗传性疾病（见释义），先天性畸形、变形或染色体异常（见释义）。</w:t>
      </w:r>
    </w:p>
    <w:p>
      <w:pPr>
        <w:adjustRightInd w:val="0"/>
        <w:snapToGrid w:val="0"/>
        <w:spacing w:after="156" w:afterLines="50" w:line="360" w:lineRule="auto"/>
        <w:ind w:firstLine="420"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除投保人、被保险人故意制造保险事故外，若由于本保险合同中责任免除的原因或者情形导致的被保险人身故，保险人将退还本保险合同的</w:t>
      </w:r>
      <w:r>
        <w:rPr>
          <w:rFonts w:ascii="宋体" w:hAnsi="宋体"/>
          <w:b/>
          <w:color w:val="000000" w:themeColor="text1"/>
          <w:szCs w:val="21"/>
          <w14:textFill>
            <w14:solidFill>
              <w14:schemeClr w14:val="tx1"/>
            </w14:solidFill>
          </w14:textFill>
        </w:rPr>
        <w:t>现金价值</w:t>
      </w:r>
      <w:r>
        <w:rPr>
          <w:rFonts w:hint="eastAsia" w:ascii="宋体" w:hAnsi="宋体"/>
          <w:b/>
          <w:color w:val="000000" w:themeColor="text1"/>
          <w:szCs w:val="21"/>
          <w14:textFill>
            <w14:solidFill>
              <w14:schemeClr w14:val="tx1"/>
            </w14:solidFill>
          </w14:textFill>
        </w:rPr>
        <w:t>；</w:t>
      </w:r>
    </w:p>
    <w:p>
      <w:pPr>
        <w:numPr>
          <w:ilvl w:val="0"/>
          <w:numId w:val="1"/>
        </w:numPr>
        <w:adjustRightInd w:val="0"/>
        <w:snapToGrid w:val="0"/>
        <w:spacing w:after="156" w:afterLines="50" w:line="360" w:lineRule="auto"/>
        <w:ind w:firstLine="420"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投保前已有的未告知的既往症（详见释义）；</w:t>
      </w:r>
    </w:p>
    <w:p>
      <w:pPr>
        <w:numPr>
          <w:ilvl w:val="0"/>
          <w:numId w:val="1"/>
        </w:numPr>
        <w:adjustRightInd w:val="0"/>
        <w:snapToGrid w:val="0"/>
        <w:spacing w:after="156" w:afterLines="50" w:line="360" w:lineRule="auto"/>
        <w:ind w:firstLine="420"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被保险人对首次投保前已患未治愈疾病（详见释义）。</w:t>
      </w:r>
    </w:p>
    <w:p>
      <w:pPr>
        <w:snapToGrid w:val="0"/>
        <w:spacing w:after="156" w:afterLines="50" w:line="360" w:lineRule="auto"/>
        <w:ind w:firstLine="420" w:firstLineChars="200"/>
        <w:jc w:val="center"/>
        <w:rPr>
          <w:rFonts w:asci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第三部分</w:t>
      </w:r>
      <w:r>
        <w:rPr>
          <w:rFonts w:ascii="宋体" w:hAnsi="宋体"/>
          <w:b/>
          <w:color w:val="000000" w:themeColor="text1"/>
          <w14:textFill>
            <w14:solidFill>
              <w14:schemeClr w14:val="tx1"/>
            </w14:solidFill>
          </w14:textFill>
        </w:rPr>
        <w:t xml:space="preserve"> </w:t>
      </w:r>
      <w:r>
        <w:rPr>
          <w:rFonts w:hint="eastAsia" w:ascii="宋体" w:hAnsi="宋体"/>
          <w:b/>
          <w:color w:val="000000" w:themeColor="text1"/>
          <w14:textFill>
            <w14:solidFill>
              <w14:schemeClr w14:val="tx1"/>
            </w14:solidFill>
          </w14:textFill>
        </w:rPr>
        <w:t>保险期间、保险金额和保险费</w:t>
      </w:r>
    </w:p>
    <w:p>
      <w:pPr>
        <w:snapToGrid w:val="0"/>
        <w:spacing w:after="156" w:afterLines="50" w:line="360" w:lineRule="auto"/>
        <w:ind w:firstLine="420"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第六条</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保险期间</w:t>
      </w:r>
    </w:p>
    <w:p>
      <w:pPr>
        <w:snapToGrid w:val="0"/>
        <w:spacing w:after="156" w:afterLines="50" w:line="360" w:lineRule="auto"/>
        <w:ind w:firstLine="420" w:firstLineChars="200"/>
        <w:rPr>
          <w:rFonts w:ascii="宋体" w:hAnsi="宋体"/>
          <w:color w:val="000000" w:themeColor="text1"/>
          <w:szCs w:val="20"/>
          <w14:textFill>
            <w14:solidFill>
              <w14:schemeClr w14:val="tx1"/>
            </w14:solidFill>
          </w14:textFill>
        </w:rPr>
      </w:pPr>
      <w:r>
        <w:rPr>
          <w:rFonts w:hint="eastAsia" w:ascii="宋体" w:hAnsi="宋体"/>
          <w:color w:val="000000" w:themeColor="text1"/>
          <w:szCs w:val="21"/>
          <w14:textFill>
            <w14:solidFill>
              <w14:schemeClr w14:val="tx1"/>
            </w14:solidFill>
          </w14:textFill>
        </w:rPr>
        <w:t>本附加险合同保险期间与主险合同一致</w:t>
      </w:r>
      <w:r>
        <w:rPr>
          <w:rFonts w:hint="eastAsia" w:ascii="宋体" w:hAnsi="宋体"/>
          <w:color w:val="000000" w:themeColor="text1"/>
          <w:szCs w:val="20"/>
          <w14:textFill>
            <w14:solidFill>
              <w14:schemeClr w14:val="tx1"/>
            </w14:solidFill>
          </w14:textFill>
        </w:rPr>
        <w:t>，以保险单载明的起讫时间为准。本产品为不保证续保产品，保险期间届满，</w:t>
      </w:r>
      <w:r>
        <w:rPr>
          <w:rFonts w:hint="eastAsia" w:ascii="宋体" w:hAnsi="宋体"/>
          <w:color w:val="000000" w:themeColor="text1"/>
          <w:szCs w:val="20"/>
          <w:lang w:val="en-US" w:eastAsia="zh-CN"/>
          <w14:textFill>
            <w14:solidFill>
              <w14:schemeClr w14:val="tx1"/>
            </w14:solidFill>
          </w14:textFill>
        </w:rPr>
        <w:t>投保人</w:t>
      </w:r>
      <w:r>
        <w:rPr>
          <w:rFonts w:hint="eastAsia"/>
          <w:lang w:val="en-US" w:eastAsia="zh-CN"/>
        </w:rPr>
        <w:t>可以</w:t>
      </w:r>
      <w:r>
        <w:rPr>
          <w:rFonts w:hint="eastAsia" w:ascii="宋体" w:hAnsi="宋体"/>
          <w:color w:val="000000" w:themeColor="text1"/>
          <w:szCs w:val="20"/>
          <w14:textFill>
            <w14:solidFill>
              <w14:schemeClr w14:val="tx1"/>
            </w14:solidFill>
          </w14:textFill>
        </w:rPr>
        <w:t>重新向</w:t>
      </w:r>
      <w:r>
        <w:rPr>
          <w:rFonts w:hint="eastAsia" w:ascii="宋体" w:hAnsi="宋体"/>
          <w:color w:val="000000" w:themeColor="text1"/>
          <w:szCs w:val="20"/>
          <w:lang w:val="en-US" w:eastAsia="zh-CN"/>
          <w14:textFill>
            <w14:solidFill>
              <w14:schemeClr w14:val="tx1"/>
            </w14:solidFill>
          </w14:textFill>
        </w:rPr>
        <w:t>保险人</w:t>
      </w:r>
      <w:r>
        <w:rPr>
          <w:rFonts w:hint="eastAsia" w:ascii="宋体" w:hAnsi="宋体"/>
          <w:color w:val="000000" w:themeColor="text1"/>
          <w:szCs w:val="20"/>
          <w14:textFill>
            <w14:solidFill>
              <w14:schemeClr w14:val="tx1"/>
            </w14:solidFill>
          </w14:textFill>
        </w:rPr>
        <w:t>申请投保本产品，并经</w:t>
      </w:r>
      <w:r>
        <w:rPr>
          <w:rFonts w:hint="eastAsia" w:ascii="宋体" w:hAnsi="宋体"/>
          <w:color w:val="000000" w:themeColor="text1"/>
          <w:szCs w:val="20"/>
          <w:lang w:val="en-US" w:eastAsia="zh-CN"/>
          <w14:textFill>
            <w14:solidFill>
              <w14:schemeClr w14:val="tx1"/>
            </w14:solidFill>
          </w14:textFill>
        </w:rPr>
        <w:t>保险人</w:t>
      </w:r>
      <w:r>
        <w:rPr>
          <w:rFonts w:hint="eastAsia" w:ascii="宋体" w:hAnsi="宋体"/>
          <w:color w:val="000000" w:themeColor="text1"/>
          <w:szCs w:val="20"/>
          <w14:textFill>
            <w14:solidFill>
              <w14:schemeClr w14:val="tx1"/>
            </w14:solidFill>
          </w14:textFill>
        </w:rPr>
        <w:t>同意，交纳保险费，获得新的保险合同。</w:t>
      </w:r>
    </w:p>
    <w:p>
      <w:pPr>
        <w:snapToGrid w:val="0"/>
        <w:spacing w:after="156" w:afterLines="50" w:line="360" w:lineRule="auto"/>
        <w:ind w:firstLine="420" w:firstLineChars="200"/>
        <w:rPr>
          <w:rFonts w:asci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第七条</w:t>
      </w:r>
      <w:r>
        <w:rPr>
          <w:rFonts w:ascii="宋体" w:hAnsi="宋体"/>
          <w:b/>
          <w:color w:val="000000" w:themeColor="text1"/>
          <w14:textFill>
            <w14:solidFill>
              <w14:schemeClr w14:val="tx1"/>
            </w14:solidFill>
          </w14:textFill>
        </w:rPr>
        <w:t xml:space="preserve"> </w:t>
      </w:r>
      <w:r>
        <w:rPr>
          <w:rFonts w:hint="eastAsia" w:ascii="宋体" w:hAnsi="宋体"/>
          <w:b/>
          <w:color w:val="000000" w:themeColor="text1"/>
          <w14:textFill>
            <w14:solidFill>
              <w14:schemeClr w14:val="tx1"/>
            </w14:solidFill>
          </w14:textFill>
        </w:rPr>
        <w:t>保险金额</w:t>
      </w:r>
    </w:p>
    <w:p>
      <w:pPr>
        <w:snapToGrid w:val="0"/>
        <w:spacing w:after="156" w:afterLines="50" w:line="360" w:lineRule="auto"/>
        <w:ind w:firstLine="420" w:firstLineChars="200"/>
        <w:rPr>
          <w:rFonts w:asci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保险金额是保险人承担给付保险金责任的最高限额。本附加险合同保险金额由投保人、保险人双方约定，并在保险单中载明。</w:t>
      </w:r>
      <w:r>
        <w:rPr>
          <w:rFonts w:hint="eastAsia" w:ascii="宋体" w:hAnsi="宋体"/>
          <w:b/>
          <w:color w:val="000000" w:themeColor="text1"/>
          <w14:textFill>
            <w14:solidFill>
              <w14:schemeClr w14:val="tx1"/>
            </w14:solidFill>
          </w14:textFill>
        </w:rPr>
        <w:t>保险金额一经确定，在本附加险合同保险期间内不得变更。</w:t>
      </w:r>
    </w:p>
    <w:p>
      <w:pPr>
        <w:snapToGrid w:val="0"/>
        <w:spacing w:after="156" w:afterLines="50" w:line="360" w:lineRule="auto"/>
        <w:ind w:firstLine="420" w:firstLineChars="200"/>
        <w:rPr>
          <w:rFonts w:asci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第八条</w:t>
      </w:r>
      <w:r>
        <w:rPr>
          <w:rFonts w:ascii="宋体" w:hAnsi="宋体"/>
          <w:b/>
          <w:color w:val="000000" w:themeColor="text1"/>
          <w14:textFill>
            <w14:solidFill>
              <w14:schemeClr w14:val="tx1"/>
            </w14:solidFill>
          </w14:textFill>
        </w:rPr>
        <w:t xml:space="preserve"> </w:t>
      </w:r>
      <w:r>
        <w:rPr>
          <w:rFonts w:hint="eastAsia" w:ascii="宋体" w:hAnsi="宋体"/>
          <w:b/>
          <w:color w:val="000000" w:themeColor="text1"/>
          <w14:textFill>
            <w14:solidFill>
              <w14:schemeClr w14:val="tx1"/>
            </w14:solidFill>
          </w14:textFill>
        </w:rPr>
        <w:t>保险费</w:t>
      </w:r>
      <w:r>
        <w:rPr>
          <w:rFonts w:ascii="宋体" w:hAnsi="宋体"/>
          <w:b/>
          <w:color w:val="000000" w:themeColor="text1"/>
          <w14:textFill>
            <w14:solidFill>
              <w14:schemeClr w14:val="tx1"/>
            </w14:solidFill>
          </w14:textFill>
        </w:rPr>
        <w:t xml:space="preserve">  </w:t>
      </w:r>
    </w:p>
    <w:p>
      <w:pPr>
        <w:snapToGrid w:val="0"/>
        <w:spacing w:after="156" w:afterLines="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保险费的交付方式、交付日期与主险合同相同。</w:t>
      </w:r>
    </w:p>
    <w:p>
      <w:pPr>
        <w:pStyle w:val="31"/>
        <w:spacing w:after="156" w:afterLines="50" w:line="360" w:lineRule="auto"/>
        <w:ind w:firstLine="420" w:firstLineChars="200"/>
        <w:jc w:val="center"/>
        <w:rPr>
          <w:rFonts w:ascii="宋体"/>
          <w:b w:val="0"/>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第四部分</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保险金申请与给付</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第九条</w:t>
      </w:r>
      <w:r>
        <w:rPr>
          <w:rFonts w:ascii="宋体" w:hAnsi="宋体"/>
          <w:b/>
          <w:color w:val="000000" w:themeColor="text1"/>
          <w:kern w:val="0"/>
          <w:szCs w:val="21"/>
          <w14:textFill>
            <w14:solidFill>
              <w14:schemeClr w14:val="tx1"/>
            </w14:solidFill>
          </w14:textFill>
        </w:rPr>
        <w:t xml:space="preserve"> </w:t>
      </w:r>
      <w:r>
        <w:rPr>
          <w:rFonts w:hint="eastAsia" w:ascii="宋体" w:hAnsi="宋体"/>
          <w:b/>
          <w:color w:val="000000" w:themeColor="text1"/>
          <w:kern w:val="0"/>
          <w:szCs w:val="21"/>
          <w14:textFill>
            <w14:solidFill>
              <w14:schemeClr w14:val="tx1"/>
            </w14:solidFill>
          </w14:textFill>
        </w:rPr>
        <w:t>保险金申请人（见释义，下同）</w:t>
      </w:r>
      <w:r>
        <w:rPr>
          <w:rFonts w:hint="eastAsia" w:ascii="宋体" w:hAnsi="宋体"/>
          <w:color w:val="000000" w:themeColor="text1"/>
          <w:kern w:val="0"/>
          <w:szCs w:val="21"/>
          <w14:textFill>
            <w14:solidFill>
              <w14:schemeClr w14:val="tx1"/>
            </w14:solidFill>
          </w14:textFill>
        </w:rPr>
        <w:t>向保险人申请给付保险金时，应提交以下材料。保险金申请人因特殊原因不能提供以下材料的，应提供其他合法有效的材料。</w:t>
      </w:r>
      <w:r>
        <w:rPr>
          <w:rFonts w:hint="eastAsia" w:ascii="宋体" w:hAnsi="宋体"/>
          <w:b/>
          <w:color w:val="000000" w:themeColor="text1"/>
          <w:kern w:val="0"/>
          <w:szCs w:val="21"/>
          <w14:textFill>
            <w14:solidFill>
              <w14:schemeClr w14:val="tx1"/>
            </w14:solidFill>
          </w14:textFill>
        </w:rPr>
        <w:t>保险金申请人未能提供有关材料，导致保险人无法核实该申请的真实性的，保险人对无法核实部分不承担给付保险金的责任。</w:t>
      </w:r>
    </w:p>
    <w:p>
      <w:pPr>
        <w:widowControl/>
        <w:autoSpaceDE w:val="0"/>
        <w:autoSpaceDN w:val="0"/>
        <w:adjustRightInd w:val="0"/>
        <w:spacing w:after="156" w:afterLines="50" w:line="360" w:lineRule="auto"/>
        <w:ind w:firstLine="567" w:firstLineChars="27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一、保险金给付申请书；</w:t>
      </w:r>
    </w:p>
    <w:p>
      <w:pPr>
        <w:widowControl/>
        <w:autoSpaceDE w:val="0"/>
        <w:autoSpaceDN w:val="0"/>
        <w:adjustRightInd w:val="0"/>
        <w:spacing w:after="156" w:afterLines="50" w:line="360" w:lineRule="auto"/>
        <w:ind w:firstLine="567" w:firstLineChars="27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二、保险金申请人和被保险人的有效身份证明；</w:t>
      </w:r>
    </w:p>
    <w:p>
      <w:pPr>
        <w:widowControl/>
        <w:autoSpaceDE w:val="0"/>
        <w:autoSpaceDN w:val="0"/>
        <w:adjustRightInd w:val="0"/>
        <w:spacing w:after="156" w:afterLines="50" w:line="360" w:lineRule="auto"/>
        <w:ind w:firstLine="567" w:firstLineChars="27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三、医院出具的附有病理显微镜检查、血液检验及其它客观医学方法检验报告的疾病诊断证明书（包括但不限于诊断全称、病历和治疗过程），病理报告、血液或淋巴检验报告；如有必要，保险人有权对被保险人进行复检，复检费用由保险人承担；</w:t>
      </w:r>
    </w:p>
    <w:p>
      <w:pPr>
        <w:widowControl/>
        <w:autoSpaceDE w:val="0"/>
        <w:autoSpaceDN w:val="0"/>
        <w:adjustRightInd w:val="0"/>
        <w:spacing w:after="156" w:afterLines="50" w:line="360" w:lineRule="auto"/>
        <w:ind w:firstLine="567" w:firstLineChars="27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四、保险金申请人所能提供的与确认保险事故的性质、原因、损失程度等有关的其他证明和资料；</w:t>
      </w:r>
    </w:p>
    <w:p>
      <w:pPr>
        <w:widowControl/>
        <w:autoSpaceDE w:val="0"/>
        <w:autoSpaceDN w:val="0"/>
        <w:adjustRightInd w:val="0"/>
        <w:spacing w:after="156" w:afterLines="50" w:line="360" w:lineRule="auto"/>
        <w:ind w:firstLine="567" w:firstLineChars="27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五、若保险金申请人委托他人申请的，还应提供授权委托书原件、委托人和受托人的身份证明等相关证明文件。受益人为无民事行为能力人或者限制民事行为能力人的，由其监护人代为申领保险金，并需要提供监护人的身份、关系证明等资料。</w:t>
      </w:r>
    </w:p>
    <w:p>
      <w:pPr>
        <w:pStyle w:val="31"/>
        <w:spacing w:after="156" w:afterLines="50" w:line="360" w:lineRule="auto"/>
        <w:ind w:firstLine="420" w:firstLineChars="200"/>
        <w:jc w:val="center"/>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第五部分</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合同解除和效力终止</w:t>
      </w:r>
    </w:p>
    <w:p>
      <w:pPr>
        <w:pStyle w:val="36"/>
        <w:spacing w:after="50" w:line="360" w:lineRule="auto"/>
        <w:ind w:firstLine="315" w:firstLineChars="150"/>
        <w:rPr>
          <w:rFonts w:hAnsi="幼圆" w:eastAsia="宋体"/>
          <w:color w:val="000000" w:themeColor="text1"/>
          <w:sz w:val="21"/>
          <w:szCs w:val="21"/>
          <w14:textFill>
            <w14:solidFill>
              <w14:schemeClr w14:val="tx1"/>
            </w14:solidFill>
          </w14:textFill>
        </w:rPr>
      </w:pPr>
      <w:r>
        <w:rPr>
          <w:rFonts w:hint="eastAsia" w:hAnsi="幼圆" w:eastAsia="宋体"/>
          <w:b/>
          <w:color w:val="000000" w:themeColor="text1"/>
          <w:sz w:val="21"/>
          <w:szCs w:val="21"/>
          <w14:textFill>
            <w14:solidFill>
              <w14:schemeClr w14:val="tx1"/>
            </w14:solidFill>
          </w14:textFill>
        </w:rPr>
        <w:t>第十条</w:t>
      </w:r>
      <w:r>
        <w:rPr>
          <w:rFonts w:hAnsi="幼圆" w:eastAsia="宋体"/>
          <w:color w:val="000000" w:themeColor="text1"/>
          <w:sz w:val="21"/>
          <w:szCs w:val="21"/>
          <w14:textFill>
            <w14:solidFill>
              <w14:schemeClr w14:val="tx1"/>
            </w14:solidFill>
          </w14:textFill>
        </w:rPr>
        <w:t xml:space="preserve"> </w:t>
      </w:r>
      <w:r>
        <w:rPr>
          <w:rFonts w:hint="eastAsia" w:hAnsi="幼圆" w:eastAsia="宋体"/>
          <w:b/>
          <w:color w:val="000000" w:themeColor="text1"/>
          <w:sz w:val="21"/>
          <w:szCs w:val="21"/>
          <w14:textFill>
            <w14:solidFill>
              <w14:schemeClr w14:val="tx1"/>
            </w14:solidFill>
          </w14:textFill>
        </w:rPr>
        <w:t>合同解除</w:t>
      </w:r>
    </w:p>
    <w:p>
      <w:pPr>
        <w:pStyle w:val="36"/>
        <w:spacing w:after="50" w:line="360" w:lineRule="auto"/>
        <w:ind w:firstLine="420" w:firstLineChars="200"/>
        <w:rPr>
          <w:rFonts w:hAnsi="幼圆" w:eastAsia="宋体"/>
          <w:color w:val="000000" w:themeColor="text1"/>
          <w:sz w:val="21"/>
          <w:szCs w:val="21"/>
          <w14:textFill>
            <w14:solidFill>
              <w14:schemeClr w14:val="tx1"/>
            </w14:solidFill>
          </w14:textFill>
        </w:rPr>
      </w:pPr>
      <w:r>
        <w:rPr>
          <w:rFonts w:hint="eastAsia" w:hAnsi="幼圆" w:eastAsia="宋体"/>
          <w:color w:val="000000" w:themeColor="text1"/>
          <w:sz w:val="21"/>
          <w:szCs w:val="21"/>
          <w14:textFill>
            <w14:solidFill>
              <w14:schemeClr w14:val="tx1"/>
            </w14:solidFill>
          </w14:textFill>
        </w:rPr>
        <w:t>投保人可以要求单独解除本附加险合同。</w:t>
      </w:r>
      <w:r>
        <w:rPr>
          <w:rFonts w:hint="eastAsia" w:hAnsi="幼圆" w:eastAsia="宋体"/>
          <w:b/>
          <w:color w:val="000000" w:themeColor="text1"/>
          <w:sz w:val="21"/>
          <w:szCs w:val="21"/>
          <w14:textFill>
            <w14:solidFill>
              <w14:schemeClr w14:val="tx1"/>
            </w14:solidFill>
          </w14:textFill>
        </w:rPr>
        <w:t>若投保人书面通知要求解除主险合同，本附加险合同一并解除。但已发生本附加险合同约定的保险事故但尚未给付保险金的，投保人不得要求解除本附加险合同。</w:t>
      </w:r>
      <w:r>
        <w:rPr>
          <w:rFonts w:hint="eastAsia" w:hAnsi="幼圆" w:eastAsia="宋体"/>
          <w:color w:val="000000" w:themeColor="text1"/>
          <w:sz w:val="21"/>
          <w:szCs w:val="21"/>
          <w14:textFill>
            <w14:solidFill>
              <w14:schemeClr w14:val="tx1"/>
            </w14:solidFill>
          </w14:textFill>
        </w:rPr>
        <w:t>投保人要求解除本附加险合同时，应提供下列证明和资料：</w:t>
      </w:r>
    </w:p>
    <w:p>
      <w:pPr>
        <w:autoSpaceDE w:val="0"/>
        <w:autoSpaceDN w:val="0"/>
        <w:adjustRightInd w:val="0"/>
        <w:spacing w:after="50" w:line="360" w:lineRule="auto"/>
        <w:ind w:firstLine="420" w:firstLineChars="200"/>
        <w:jc w:val="left"/>
        <w:rPr>
          <w:rFonts w:ascii="幼圆" w:hAnsi="幼圆" w:cs="幼圆"/>
          <w:color w:val="000000" w:themeColor="text1"/>
          <w:kern w:val="0"/>
          <w:szCs w:val="21"/>
          <w14:textFill>
            <w14:solidFill>
              <w14:schemeClr w14:val="tx1"/>
            </w14:solidFill>
          </w14:textFill>
        </w:rPr>
      </w:pPr>
      <w:r>
        <w:rPr>
          <w:rFonts w:hint="eastAsia" w:ascii="幼圆" w:hAnsi="幼圆" w:cs="幼圆"/>
          <w:color w:val="000000" w:themeColor="text1"/>
          <w:kern w:val="0"/>
          <w:szCs w:val="21"/>
          <w14:textFill>
            <w14:solidFill>
              <w14:schemeClr w14:val="tx1"/>
            </w14:solidFill>
          </w14:textFill>
        </w:rPr>
        <w:t>一、保险单；</w:t>
      </w:r>
    </w:p>
    <w:p>
      <w:pPr>
        <w:autoSpaceDE w:val="0"/>
        <w:autoSpaceDN w:val="0"/>
        <w:adjustRightInd w:val="0"/>
        <w:spacing w:after="50" w:line="360" w:lineRule="auto"/>
        <w:ind w:firstLine="420" w:firstLineChars="200"/>
        <w:jc w:val="left"/>
        <w:rPr>
          <w:rFonts w:ascii="幼圆" w:hAnsi="幼圆" w:cs="幼圆"/>
          <w:color w:val="000000" w:themeColor="text1"/>
          <w:kern w:val="0"/>
          <w:szCs w:val="21"/>
          <w14:textFill>
            <w14:solidFill>
              <w14:schemeClr w14:val="tx1"/>
            </w14:solidFill>
          </w14:textFill>
        </w:rPr>
      </w:pPr>
      <w:r>
        <w:rPr>
          <w:rFonts w:hint="eastAsia" w:ascii="幼圆" w:hAnsi="幼圆" w:cs="幼圆"/>
          <w:color w:val="000000" w:themeColor="text1"/>
          <w:kern w:val="0"/>
          <w:szCs w:val="21"/>
          <w14:textFill>
            <w14:solidFill>
              <w14:schemeClr w14:val="tx1"/>
            </w14:solidFill>
          </w14:textFill>
        </w:rPr>
        <w:t>二、解除合同申请书；</w:t>
      </w:r>
    </w:p>
    <w:p>
      <w:pPr>
        <w:autoSpaceDE w:val="0"/>
        <w:autoSpaceDN w:val="0"/>
        <w:adjustRightInd w:val="0"/>
        <w:spacing w:after="50" w:line="360" w:lineRule="auto"/>
        <w:ind w:firstLine="420" w:firstLineChars="200"/>
        <w:jc w:val="left"/>
        <w:rPr>
          <w:rFonts w:ascii="幼圆" w:hAnsi="幼圆" w:cs="幼圆"/>
          <w:color w:val="000000" w:themeColor="text1"/>
          <w:kern w:val="0"/>
          <w:szCs w:val="21"/>
          <w14:textFill>
            <w14:solidFill>
              <w14:schemeClr w14:val="tx1"/>
            </w14:solidFill>
          </w14:textFill>
        </w:rPr>
      </w:pPr>
      <w:r>
        <w:rPr>
          <w:rFonts w:hint="eastAsia" w:ascii="幼圆" w:hAnsi="幼圆" w:cs="幼圆"/>
          <w:color w:val="000000" w:themeColor="text1"/>
          <w:kern w:val="0"/>
          <w:szCs w:val="21"/>
          <w14:textFill>
            <w14:solidFill>
              <w14:schemeClr w14:val="tx1"/>
            </w14:solidFill>
          </w14:textFill>
        </w:rPr>
        <w:t>三、投保人法定身份证明。</w:t>
      </w:r>
    </w:p>
    <w:p>
      <w:pPr>
        <w:widowControl/>
        <w:autoSpaceDE w:val="0"/>
        <w:autoSpaceDN w:val="0"/>
        <w:adjustRightInd w:val="0"/>
        <w:spacing w:after="156" w:afterLines="50" w:line="360" w:lineRule="auto"/>
        <w:ind w:firstLine="420" w:firstLineChars="200"/>
        <w:jc w:val="left"/>
        <w:textAlignment w:val="bottom"/>
        <w:rPr>
          <w:rFonts w:ascii="宋体"/>
          <w:b/>
          <w:color w:val="000000" w:themeColor="text1"/>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本附加险合同</w:t>
      </w:r>
      <w:r>
        <w:rPr>
          <w:rFonts w:hint="eastAsia" w:ascii="宋体" w:hAnsi="宋体"/>
          <w:b/>
          <w:color w:val="000000" w:themeColor="text1"/>
          <w:szCs w:val="21"/>
          <w14:textFill>
            <w14:solidFill>
              <w14:schemeClr w14:val="tx1"/>
            </w14:solidFill>
          </w14:textFill>
        </w:rPr>
        <w:t>解除后，保险人参照主险合同有关约定退还本附加险合同的现金价</w:t>
      </w:r>
      <w:r>
        <w:rPr>
          <w:rFonts w:ascii="宋体" w:hAnsi="宋体"/>
          <w:b/>
          <w:color w:val="000000" w:themeColor="text1"/>
          <w:szCs w:val="21"/>
          <w14:textFill>
            <w14:solidFill>
              <w14:schemeClr w14:val="tx1"/>
            </w14:solidFill>
          </w14:textFill>
        </w:rPr>
        <w:t>值</w:t>
      </w:r>
      <w:r>
        <w:rPr>
          <w:rFonts w:hint="eastAsia" w:ascii="宋体" w:hAnsi="宋体"/>
          <w:b/>
          <w:color w:val="000000" w:themeColor="text1"/>
          <w:szCs w:val="21"/>
          <w14:textFill>
            <w14:solidFill>
              <w14:schemeClr w14:val="tx1"/>
            </w14:solidFill>
          </w14:textFill>
        </w:rPr>
        <w:t>。</w:t>
      </w:r>
    </w:p>
    <w:p>
      <w:pPr>
        <w:autoSpaceDE w:val="0"/>
        <w:autoSpaceDN w:val="0"/>
        <w:adjustRightInd w:val="0"/>
        <w:spacing w:after="50" w:line="360" w:lineRule="auto"/>
        <w:ind w:firstLine="315" w:firstLineChars="150"/>
        <w:jc w:val="left"/>
        <w:rPr>
          <w:rFonts w:ascii="宋体"/>
          <w:b/>
          <w:color w:val="000000" w:themeColor="text1"/>
          <w:szCs w:val="21"/>
          <w14:textFill>
            <w14:solidFill>
              <w14:schemeClr w14:val="tx1"/>
            </w14:solidFill>
          </w14:textFill>
        </w:rPr>
      </w:pPr>
      <w:r>
        <w:rPr>
          <w:rFonts w:hint="eastAsia" w:ascii="宋体" w:hAnsi="宋体" w:cs="幼圆"/>
          <w:b/>
          <w:bCs/>
          <w:color w:val="000000" w:themeColor="text1"/>
          <w:kern w:val="0"/>
          <w:szCs w:val="21"/>
          <w14:textFill>
            <w14:solidFill>
              <w14:schemeClr w14:val="tx1"/>
            </w14:solidFill>
          </w14:textFill>
        </w:rPr>
        <w:t>第十一条</w:t>
      </w:r>
      <w:r>
        <w:rPr>
          <w:rFonts w:ascii="宋体" w:hAnsi="宋体" w:cs="幼圆"/>
          <w:b/>
          <w:bCs/>
          <w:color w:val="000000" w:themeColor="text1"/>
          <w:kern w:val="0"/>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效力终止</w:t>
      </w:r>
    </w:p>
    <w:p>
      <w:pPr>
        <w:autoSpaceDE w:val="0"/>
        <w:autoSpaceDN w:val="0"/>
        <w:adjustRightInd w:val="0"/>
        <w:spacing w:after="50" w:line="360" w:lineRule="auto"/>
        <w:ind w:firstLine="411" w:firstLineChars="196"/>
        <w:jc w:val="left"/>
        <w:rPr>
          <w:rFonts w:ascii="幼圆" w:hAnsi="幼圆" w:cs="幼圆"/>
          <w:color w:val="000000" w:themeColor="text1"/>
          <w:kern w:val="0"/>
          <w:szCs w:val="21"/>
          <w14:textFill>
            <w14:solidFill>
              <w14:schemeClr w14:val="tx1"/>
            </w14:solidFill>
          </w14:textFill>
        </w:rPr>
      </w:pPr>
      <w:r>
        <w:rPr>
          <w:rFonts w:hint="eastAsia" w:ascii="幼圆" w:hAnsi="幼圆" w:cs="幼圆"/>
          <w:color w:val="000000" w:themeColor="text1"/>
          <w:kern w:val="0"/>
          <w:szCs w:val="21"/>
          <w14:textFill>
            <w14:solidFill>
              <w14:schemeClr w14:val="tx1"/>
            </w14:solidFill>
          </w14:textFill>
        </w:rPr>
        <w:t>发生下列情形之一时，本附加险合同效力终止：</w:t>
      </w:r>
    </w:p>
    <w:p>
      <w:pPr>
        <w:autoSpaceDE w:val="0"/>
        <w:autoSpaceDN w:val="0"/>
        <w:adjustRightInd w:val="0"/>
        <w:spacing w:after="50" w:line="360" w:lineRule="auto"/>
        <w:ind w:firstLine="420" w:firstLineChars="200"/>
        <w:jc w:val="left"/>
        <w:rPr>
          <w:rFonts w:ascii="幼圆" w:hAnsi="幼圆" w:cs="幼圆"/>
          <w:color w:val="000000" w:themeColor="text1"/>
          <w:kern w:val="0"/>
          <w:szCs w:val="21"/>
          <w14:textFill>
            <w14:solidFill>
              <w14:schemeClr w14:val="tx1"/>
            </w14:solidFill>
          </w14:textFill>
        </w:rPr>
      </w:pPr>
      <w:r>
        <w:rPr>
          <w:rFonts w:hint="eastAsia" w:ascii="幼圆" w:hAnsi="幼圆" w:cs="幼圆"/>
          <w:color w:val="000000" w:themeColor="text1"/>
          <w:kern w:val="0"/>
          <w:szCs w:val="21"/>
          <w14:textFill>
            <w14:solidFill>
              <w14:schemeClr w14:val="tx1"/>
            </w14:solidFill>
          </w14:textFill>
        </w:rPr>
        <w:t>一、主险合同效力终止；</w:t>
      </w:r>
    </w:p>
    <w:p>
      <w:pPr>
        <w:autoSpaceDE w:val="0"/>
        <w:autoSpaceDN w:val="0"/>
        <w:adjustRightInd w:val="0"/>
        <w:spacing w:after="50" w:line="360" w:lineRule="auto"/>
        <w:ind w:firstLine="420" w:firstLineChars="200"/>
        <w:jc w:val="left"/>
        <w:rPr>
          <w:rFonts w:ascii="幼圆" w:hAnsi="幼圆" w:cs="幼圆"/>
          <w:color w:val="000000" w:themeColor="text1"/>
          <w:kern w:val="0"/>
          <w:szCs w:val="21"/>
          <w14:textFill>
            <w14:solidFill>
              <w14:schemeClr w14:val="tx1"/>
            </w14:solidFill>
          </w14:textFill>
        </w:rPr>
      </w:pPr>
      <w:r>
        <w:rPr>
          <w:rFonts w:hint="eastAsia" w:ascii="幼圆" w:hAnsi="幼圆" w:cs="幼圆"/>
          <w:color w:val="000000" w:themeColor="text1"/>
          <w:kern w:val="0"/>
          <w:szCs w:val="21"/>
          <w14:textFill>
            <w14:solidFill>
              <w14:schemeClr w14:val="tx1"/>
            </w14:solidFill>
          </w14:textFill>
        </w:rPr>
        <w:t>二、被保险人身故；</w:t>
      </w:r>
    </w:p>
    <w:p>
      <w:pPr>
        <w:autoSpaceDE w:val="0"/>
        <w:autoSpaceDN w:val="0"/>
        <w:adjustRightInd w:val="0"/>
        <w:spacing w:after="50" w:line="360" w:lineRule="auto"/>
        <w:ind w:firstLine="420" w:firstLineChars="200"/>
        <w:jc w:val="left"/>
        <w:rPr>
          <w:rFonts w:ascii="幼圆" w:hAnsi="幼圆" w:cs="幼圆"/>
          <w:color w:val="000000" w:themeColor="text1"/>
          <w:kern w:val="0"/>
          <w:szCs w:val="21"/>
          <w14:textFill>
            <w14:solidFill>
              <w14:schemeClr w14:val="tx1"/>
            </w14:solidFill>
          </w14:textFill>
        </w:rPr>
      </w:pPr>
      <w:r>
        <w:rPr>
          <w:rFonts w:hint="eastAsia" w:ascii="幼圆" w:hAnsi="幼圆" w:cs="幼圆"/>
          <w:color w:val="000000" w:themeColor="text1"/>
          <w:kern w:val="0"/>
          <w:szCs w:val="21"/>
          <w14:textFill>
            <w14:solidFill>
              <w14:schemeClr w14:val="tx1"/>
            </w14:solidFill>
          </w14:textFill>
        </w:rPr>
        <w:t>三、投保人解除本附加险合同；</w:t>
      </w:r>
    </w:p>
    <w:p>
      <w:pPr>
        <w:autoSpaceDE w:val="0"/>
        <w:autoSpaceDN w:val="0"/>
        <w:adjustRightInd w:val="0"/>
        <w:spacing w:after="50" w:line="360" w:lineRule="auto"/>
        <w:ind w:firstLine="420" w:firstLineChars="200"/>
        <w:jc w:val="left"/>
        <w:rPr>
          <w:rFonts w:ascii="幼圆" w:hAnsi="幼圆" w:cs="幼圆"/>
          <w:color w:val="000000" w:themeColor="text1"/>
          <w:kern w:val="0"/>
          <w:szCs w:val="21"/>
          <w14:textFill>
            <w14:solidFill>
              <w14:schemeClr w14:val="tx1"/>
            </w14:solidFill>
          </w14:textFill>
        </w:rPr>
      </w:pPr>
      <w:r>
        <w:rPr>
          <w:rFonts w:hint="eastAsia" w:ascii="幼圆" w:hAnsi="幼圆" w:cs="幼圆"/>
          <w:color w:val="000000" w:themeColor="text1"/>
          <w:kern w:val="0"/>
          <w:szCs w:val="21"/>
          <w14:textFill>
            <w14:solidFill>
              <w14:schemeClr w14:val="tx1"/>
            </w14:solidFill>
          </w14:textFill>
        </w:rPr>
        <w:t>四、保险期间届满；</w:t>
      </w:r>
    </w:p>
    <w:p>
      <w:pPr>
        <w:autoSpaceDE w:val="0"/>
        <w:autoSpaceDN w:val="0"/>
        <w:adjustRightInd w:val="0"/>
        <w:spacing w:after="50" w:line="360" w:lineRule="auto"/>
        <w:ind w:firstLine="420" w:firstLineChars="200"/>
        <w:jc w:val="left"/>
        <w:rPr>
          <w:rFonts w:ascii="幼圆" w:hAnsi="幼圆" w:cs="幼圆"/>
          <w:color w:val="000000" w:themeColor="text1"/>
          <w:kern w:val="0"/>
          <w:szCs w:val="21"/>
          <w14:textFill>
            <w14:solidFill>
              <w14:schemeClr w14:val="tx1"/>
            </w14:solidFill>
          </w14:textFill>
        </w:rPr>
      </w:pPr>
      <w:r>
        <w:rPr>
          <w:rFonts w:hint="eastAsia" w:ascii="幼圆" w:hAnsi="幼圆" w:cs="幼圆"/>
          <w:color w:val="000000" w:themeColor="text1"/>
          <w:kern w:val="0"/>
          <w:szCs w:val="21"/>
          <w14:textFill>
            <w14:solidFill>
              <w14:schemeClr w14:val="tx1"/>
            </w14:solidFill>
          </w14:textFill>
        </w:rPr>
        <w:t>五、本附加险合同约定的其他终止事项。</w:t>
      </w:r>
    </w:p>
    <w:p>
      <w:pPr>
        <w:widowControl/>
        <w:autoSpaceDE w:val="0"/>
        <w:autoSpaceDN w:val="0"/>
        <w:adjustRightInd w:val="0"/>
        <w:spacing w:after="156" w:afterLines="50" w:line="360" w:lineRule="auto"/>
        <w:ind w:firstLine="420" w:firstLineChars="200"/>
        <w:jc w:val="left"/>
        <w:textAlignment w:val="bottom"/>
        <w:rPr>
          <w:rFonts w:ascii="宋体"/>
          <w:b/>
          <w:color w:val="000000" w:themeColor="text1"/>
          <w:kern w:val="0"/>
          <w:szCs w:val="21"/>
          <w14:textFill>
            <w14:solidFill>
              <w14:schemeClr w14:val="tx1"/>
            </w14:solidFill>
          </w14:textFill>
        </w:rPr>
      </w:pPr>
      <w:r>
        <w:rPr>
          <w:rFonts w:hint="eastAsia" w:ascii="幼圆" w:hAnsi="幼圆" w:cs="幼圆"/>
          <w:b/>
          <w:color w:val="000000" w:themeColor="text1"/>
          <w:kern w:val="0"/>
          <w:szCs w:val="21"/>
          <w14:textFill>
            <w14:solidFill>
              <w14:schemeClr w14:val="tx1"/>
            </w14:solidFill>
          </w14:textFill>
        </w:rPr>
        <w:t>本附加险合同效力终止时，未发生保险金给付的，保险人参照主险合同有关约定退还本附加险合同未满期净保费；已发生本附加险合同约定的保险事故但尚未给付保险金的，本公司不退还任何保险费。</w:t>
      </w:r>
    </w:p>
    <w:p>
      <w:pPr>
        <w:pStyle w:val="31"/>
        <w:spacing w:after="156" w:afterLines="50" w:line="360" w:lineRule="auto"/>
        <w:ind w:firstLine="420" w:firstLineChars="200"/>
        <w:jc w:val="center"/>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第六部分</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重大疾病定义</w:t>
      </w:r>
    </w:p>
    <w:p>
      <w:pPr>
        <w:autoSpaceDE w:val="0"/>
        <w:autoSpaceDN w:val="0"/>
        <w:adjustRightInd w:val="0"/>
        <w:spacing w:after="50" w:line="360" w:lineRule="auto"/>
        <w:ind w:firstLine="432"/>
        <w:rPr>
          <w:rFonts w:ascii="宋体"/>
          <w:b/>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本附加险条款所定义的重大疾病共有29种，其中第1至28种重大疾病为中国保险行业协会颁布的《重大疾病保险的疾病定义使用规范（2020年修订版）》（以下简称“规范”）规定的疾病，且疾病名称和疾病定义与“规范”一致，第29种重大疾病为“规范”规定范围之外的疾病。</w:t>
      </w:r>
    </w:p>
    <w:p>
      <w:pPr>
        <w:autoSpaceDE w:val="0"/>
        <w:autoSpaceDN w:val="0"/>
        <w:adjustRightInd w:val="0"/>
        <w:spacing w:after="50" w:line="360" w:lineRule="auto"/>
        <w:ind w:firstLine="432"/>
        <w:rPr>
          <w:rFonts w:asci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第十二条</w:t>
      </w:r>
      <w:r>
        <w:rPr>
          <w:rFonts w:ascii="宋体" w:hAnsi="宋体"/>
          <w:b/>
          <w:color w:val="000000" w:themeColor="text1"/>
          <w:kern w:val="0"/>
          <w:szCs w:val="21"/>
          <w14:textFill>
            <w14:solidFill>
              <w14:schemeClr w14:val="tx1"/>
            </w14:solidFill>
          </w14:textFill>
        </w:rPr>
        <w:t xml:space="preserve"> </w:t>
      </w:r>
      <w:r>
        <w:rPr>
          <w:rFonts w:hint="eastAsia" w:ascii="宋体" w:hAnsi="宋体"/>
          <w:b/>
          <w:color w:val="000000" w:themeColor="text1"/>
          <w:kern w:val="0"/>
          <w:szCs w:val="21"/>
          <w14:textFill>
            <w14:solidFill>
              <w14:schemeClr w14:val="tx1"/>
            </w14:solidFill>
          </w14:textFill>
        </w:rPr>
        <w:t>重大疾病</w:t>
      </w:r>
      <w:r>
        <w:rPr>
          <w:rFonts w:hint="eastAsia" w:ascii="宋体" w:hAnsi="宋体"/>
          <w:color w:val="000000" w:themeColor="text1"/>
          <w:kern w:val="0"/>
          <w:szCs w:val="21"/>
          <w14:textFill>
            <w14:solidFill>
              <w14:schemeClr w14:val="tx1"/>
            </w14:solidFill>
          </w14:textFill>
        </w:rPr>
        <w:t>：指由</w:t>
      </w:r>
      <w:r>
        <w:rPr>
          <w:rFonts w:hint="eastAsia" w:ascii="宋体" w:hAnsi="宋体" w:cs="宋体"/>
          <w:b/>
          <w:bCs/>
          <w:color w:val="000000" w:themeColor="text1"/>
          <w:szCs w:val="21"/>
          <w14:textFill>
            <w14:solidFill>
              <w14:schemeClr w14:val="tx1"/>
            </w14:solidFill>
          </w14:textFill>
        </w:rPr>
        <w:t>专科医生</w:t>
      </w:r>
      <w:r>
        <w:rPr>
          <w:rFonts w:ascii="宋体" w:hAnsi="宋体" w:cs="宋体"/>
          <w:b/>
          <w:bCs/>
          <w:color w:val="000000" w:themeColor="text1"/>
          <w:szCs w:val="21"/>
          <w14:textFill>
            <w14:solidFill>
              <w14:schemeClr w14:val="tx1"/>
            </w14:solidFill>
          </w14:textFill>
        </w:rPr>
        <w:t>(</w:t>
      </w:r>
      <w:r>
        <w:rPr>
          <w:rFonts w:hint="eastAsia" w:ascii="宋体" w:hAnsi="宋体" w:cs="宋体"/>
          <w:b/>
          <w:bCs/>
          <w:color w:val="000000" w:themeColor="text1"/>
          <w:szCs w:val="21"/>
          <w14:textFill>
            <w14:solidFill>
              <w14:schemeClr w14:val="tx1"/>
            </w14:solidFill>
          </w14:textFill>
        </w:rPr>
        <w:t>见释义，下同</w:t>
      </w:r>
      <w:r>
        <w:rPr>
          <w:rFonts w:ascii="宋体" w:hAnsi="宋体" w:cs="宋体"/>
          <w:b/>
          <w:bCs/>
          <w:color w:val="000000" w:themeColor="text1"/>
          <w:szCs w:val="21"/>
          <w14:textFill>
            <w14:solidFill>
              <w14:schemeClr w14:val="tx1"/>
            </w14:solidFill>
          </w14:textFill>
        </w:rPr>
        <w:t>)</w:t>
      </w:r>
      <w:r>
        <w:rPr>
          <w:rFonts w:hint="eastAsia" w:ascii="宋体" w:hAnsi="宋体"/>
          <w:color w:val="000000" w:themeColor="text1"/>
          <w:kern w:val="0"/>
          <w:szCs w:val="21"/>
          <w14:textFill>
            <w14:solidFill>
              <w14:schemeClr w14:val="tx1"/>
            </w14:solidFill>
          </w14:textFill>
        </w:rPr>
        <w:t>明确诊断被保险人初次患有符合下列疾病定义所述条件的疾病、疾病状态或手术：</w:t>
      </w:r>
    </w:p>
    <w:p>
      <w:pPr>
        <w:pStyle w:val="3"/>
        <w:tabs>
          <w:tab w:val="left" w:pos="945"/>
        </w:tabs>
        <w:spacing w:before="0" w:after="0" w:line="240" w:lineRule="auto"/>
        <w:ind w:firstLine="420" w:firstLine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一、恶性肿瘤——重度</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s="Arial"/>
          <w:color w:val="000000" w:themeColor="text1"/>
          <w:spacing w:val="8"/>
          <w:kern w:val="0"/>
          <w:szCs w:val="21"/>
          <w14:textFill>
            <w14:solidFill>
              <w14:schemeClr w14:val="tx1"/>
            </w14:solidFill>
          </w14:textFill>
        </w:rPr>
        <w:t>指</w:t>
      </w:r>
      <w:r>
        <w:rPr>
          <w:rFonts w:hint="eastAsia" w:ascii="宋体" w:hAnsi="宋体"/>
          <w:color w:val="000000" w:themeColor="text1"/>
          <w:kern w:val="0"/>
          <w:szCs w:val="21"/>
          <w14:textFill>
            <w14:solidFill>
              <w14:schemeClr w14:val="tx1"/>
            </w14:solidFill>
          </w14:textFill>
        </w:rPr>
        <w:t>恶性细胞不受控制的进行性增长和扩散，浸润和破坏周围正常组织，可以经血管、淋巴管和体腔扩散转移到身体其他部位，病灶经组织病理学检查（涵盖骨髓病理学检查）</w:t>
      </w:r>
      <w:r>
        <w:rPr>
          <w:rFonts w:ascii="宋体" w:hAnsi="宋体"/>
          <w:color w:val="000000" w:themeColor="text1"/>
          <w:kern w:val="0"/>
          <w:szCs w:val="21"/>
          <w14:textFill>
            <w14:solidFill>
              <w14:schemeClr w14:val="tx1"/>
            </w14:solidFill>
          </w14:textFill>
        </w:rPr>
        <w:footnoteReference w:id="0"/>
      </w:r>
      <w:r>
        <w:rPr>
          <w:rFonts w:hint="eastAsia" w:ascii="宋体" w:hAnsi="宋体"/>
          <w:color w:val="000000" w:themeColor="text1"/>
          <w:kern w:val="0"/>
          <w:szCs w:val="21"/>
          <w14:textFill>
            <w14:solidFill>
              <w14:schemeClr w14:val="tx1"/>
            </w14:solidFill>
          </w14:textFill>
        </w:rPr>
        <w:t>结果明确诊断，临床诊断属于世界卫生组织（WHO，World Health Organization）《疾病和有关健康问题的国际统计分类》第十次修订版（ICD-10）的恶性肿瘤类别及《国际疾病分类肿瘤学专辑》第三版（ICD-O-3）</w:t>
      </w:r>
      <w:r>
        <w:rPr>
          <w:rFonts w:ascii="宋体" w:hAnsi="宋体"/>
          <w:color w:val="000000" w:themeColor="text1"/>
          <w:kern w:val="0"/>
          <w:szCs w:val="21"/>
          <w14:textFill>
            <w14:solidFill>
              <w14:schemeClr w14:val="tx1"/>
            </w14:solidFill>
          </w14:textFill>
        </w:rPr>
        <w:footnoteReference w:id="1"/>
      </w:r>
      <w:r>
        <w:rPr>
          <w:rFonts w:hint="eastAsia" w:ascii="宋体" w:hAnsi="宋体"/>
          <w:color w:val="000000" w:themeColor="text1"/>
          <w:kern w:val="0"/>
          <w:szCs w:val="21"/>
          <w14:textFill>
            <w14:solidFill>
              <w14:schemeClr w14:val="tx1"/>
            </w14:solidFill>
          </w14:textFill>
        </w:rPr>
        <w:t>的肿瘤形态学编码属于3、6、9（恶性肿瘤）范畴的疾病。</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下列疾病不属于“恶性肿瘤——重度”，不在保障范围内：</w:t>
      </w:r>
    </w:p>
    <w:p>
      <w:pPr>
        <w:numPr>
          <w:ilvl w:val="0"/>
          <w:numId w:val="2"/>
        </w:numPr>
        <w:autoSpaceDE w:val="0"/>
        <w:autoSpaceDN w:val="0"/>
        <w:adjustRightInd w:val="0"/>
        <w:snapToGrid w:val="0"/>
        <w:jc w:val="left"/>
        <w:rPr>
          <w:rFonts w:ascii="宋体" w:hAnsi="宋体" w:cs="Arial"/>
          <w:b/>
          <w:color w:val="000000" w:themeColor="text1"/>
          <w:spacing w:val="8"/>
          <w:kern w:val="0"/>
          <w:szCs w:val="21"/>
          <w14:textFill>
            <w14:solidFill>
              <w14:schemeClr w14:val="tx1"/>
            </w14:solidFill>
          </w14:textFill>
        </w:rPr>
      </w:pPr>
      <w:r>
        <w:rPr>
          <w:rFonts w:hint="eastAsia" w:ascii="宋体" w:hAnsi="宋体" w:cs="Arial"/>
          <w:b/>
          <w:color w:val="000000" w:themeColor="text1"/>
          <w:spacing w:val="8"/>
          <w:kern w:val="0"/>
          <w:szCs w:val="21"/>
          <w14:textFill>
            <w14:solidFill>
              <w14:schemeClr w14:val="tx1"/>
            </w14:solidFill>
          </w14:textFill>
        </w:rPr>
        <w:t>ICD-O-3肿瘤形态学编码属于0（良性肿瘤）、1（动态未定性肿瘤）、2（原位癌和非侵袭性癌）范畴的疾病，如：</w:t>
      </w:r>
    </w:p>
    <w:p>
      <w:pPr>
        <w:numPr>
          <w:ilvl w:val="1"/>
          <w:numId w:val="2"/>
        </w:numPr>
        <w:snapToGrid w:val="0"/>
        <w:rPr>
          <w:rFonts w:ascii="宋体" w:hAnsi="宋体" w:cs="Arial"/>
          <w:b/>
          <w:color w:val="000000" w:themeColor="text1"/>
          <w:spacing w:val="8"/>
          <w:kern w:val="0"/>
          <w:szCs w:val="21"/>
          <w14:textFill>
            <w14:solidFill>
              <w14:schemeClr w14:val="tx1"/>
            </w14:solidFill>
          </w14:textFill>
        </w:rPr>
      </w:pPr>
      <w:r>
        <w:rPr>
          <w:rFonts w:hint="eastAsia" w:ascii="宋体" w:hAnsi="宋体" w:cs="Arial"/>
          <w:b/>
          <w:color w:val="000000" w:themeColor="text1"/>
          <w:spacing w:val="8"/>
          <w:kern w:val="0"/>
          <w:szCs w:val="21"/>
          <w14:textFill>
            <w14:solidFill>
              <w14:schemeClr w14:val="tx1"/>
            </w14:solidFill>
          </w14:textFill>
        </w:rPr>
        <w:t>原位癌，癌前病变，非浸润性癌，非侵袭性癌，肿瘤细胞未侵犯基底层，上皮内瘤变，细胞不典型性增生等；</w:t>
      </w:r>
    </w:p>
    <w:p>
      <w:pPr>
        <w:numPr>
          <w:ilvl w:val="1"/>
          <w:numId w:val="2"/>
        </w:numPr>
        <w:autoSpaceDE w:val="0"/>
        <w:autoSpaceDN w:val="0"/>
        <w:adjustRightInd w:val="0"/>
        <w:snapToGrid w:val="0"/>
        <w:rPr>
          <w:rFonts w:ascii="宋体" w:hAnsi="宋体" w:cs="Arial"/>
          <w:b/>
          <w:color w:val="000000" w:themeColor="text1"/>
          <w:spacing w:val="8"/>
          <w:kern w:val="0"/>
          <w:szCs w:val="21"/>
          <w14:textFill>
            <w14:solidFill>
              <w14:schemeClr w14:val="tx1"/>
            </w14:solidFill>
          </w14:textFill>
        </w:rPr>
      </w:pPr>
      <w:r>
        <w:rPr>
          <w:rFonts w:hint="eastAsia" w:ascii="宋体" w:hAnsi="宋体" w:cs="Arial"/>
          <w:b/>
          <w:color w:val="000000" w:themeColor="text1"/>
          <w:spacing w:val="8"/>
          <w:kern w:val="0"/>
          <w:szCs w:val="21"/>
          <w14:textFill>
            <w14:solidFill>
              <w14:schemeClr w14:val="tx1"/>
            </w14:solidFill>
          </w14:textFill>
        </w:rPr>
        <w:t>交界性肿瘤，交界恶性肿瘤，肿瘤低度恶性潜能，潜在低度恶性肿瘤等；</w:t>
      </w:r>
    </w:p>
    <w:p>
      <w:pPr>
        <w:numPr>
          <w:ilvl w:val="0"/>
          <w:numId w:val="2"/>
        </w:numPr>
        <w:autoSpaceDE w:val="0"/>
        <w:autoSpaceDN w:val="0"/>
        <w:adjustRightInd w:val="0"/>
        <w:snapToGrid w:val="0"/>
        <w:rPr>
          <w:rFonts w:ascii="宋体" w:hAnsi="宋体" w:cs="Arial"/>
          <w:b/>
          <w:color w:val="000000" w:themeColor="text1"/>
          <w:spacing w:val="8"/>
          <w:kern w:val="0"/>
          <w:szCs w:val="21"/>
          <w14:textFill>
            <w14:solidFill>
              <w14:schemeClr w14:val="tx1"/>
            </w14:solidFill>
          </w14:textFill>
        </w:rPr>
      </w:pPr>
      <w:r>
        <w:rPr>
          <w:rFonts w:hint="eastAsia" w:ascii="宋体" w:hAnsi="宋体" w:cs="Arial"/>
          <w:b/>
          <w:color w:val="000000" w:themeColor="text1"/>
          <w:spacing w:val="8"/>
          <w:kern w:val="0"/>
          <w:szCs w:val="21"/>
          <w14:textFill>
            <w14:solidFill>
              <w14:schemeClr w14:val="tx1"/>
            </w14:solidFill>
          </w14:textFill>
        </w:rPr>
        <w:t>TNM分期为Ⅰ期或更轻分期的甲状腺癌</w:t>
      </w:r>
      <w:r>
        <w:rPr>
          <w:rFonts w:ascii="宋体" w:hAnsi="宋体" w:cs="Arial"/>
          <w:b/>
          <w:color w:val="000000" w:themeColor="text1"/>
          <w:spacing w:val="8"/>
          <w:kern w:val="0"/>
          <w:sz w:val="24"/>
          <w:szCs w:val="21"/>
          <w:vertAlign w:val="superscript"/>
          <w14:textFill>
            <w14:solidFill>
              <w14:schemeClr w14:val="tx1"/>
            </w14:solidFill>
          </w14:textFill>
        </w:rPr>
        <w:footnoteReference w:id="2"/>
      </w:r>
      <w:r>
        <w:rPr>
          <w:rFonts w:hint="eastAsia" w:ascii="宋体" w:hAnsi="宋体" w:cs="Arial"/>
          <w:b/>
          <w:color w:val="000000" w:themeColor="text1"/>
          <w:spacing w:val="8"/>
          <w:kern w:val="0"/>
          <w:szCs w:val="21"/>
          <w14:textFill>
            <w14:solidFill>
              <w14:schemeClr w14:val="tx1"/>
            </w14:solidFill>
          </w14:textFill>
        </w:rPr>
        <w:t>；</w:t>
      </w:r>
    </w:p>
    <w:p>
      <w:pPr>
        <w:numPr>
          <w:ilvl w:val="0"/>
          <w:numId w:val="2"/>
        </w:numPr>
        <w:autoSpaceDE w:val="0"/>
        <w:autoSpaceDN w:val="0"/>
        <w:adjustRightInd w:val="0"/>
        <w:snapToGrid w:val="0"/>
        <w:rPr>
          <w:rFonts w:ascii="宋体" w:hAnsi="宋体" w:cs="Arial"/>
          <w:b/>
          <w:color w:val="000000" w:themeColor="text1"/>
          <w:spacing w:val="8"/>
          <w:kern w:val="0"/>
          <w:szCs w:val="21"/>
          <w14:textFill>
            <w14:solidFill>
              <w14:schemeClr w14:val="tx1"/>
            </w14:solidFill>
          </w14:textFill>
        </w:rPr>
      </w:pPr>
      <w:r>
        <w:rPr>
          <w:rFonts w:hint="eastAsia" w:ascii="宋体" w:hAnsi="宋体" w:cs="Arial"/>
          <w:b/>
          <w:color w:val="000000" w:themeColor="text1"/>
          <w:spacing w:val="8"/>
          <w:kern w:val="0"/>
          <w:szCs w:val="21"/>
          <w14:textFill>
            <w14:solidFill>
              <w14:schemeClr w14:val="tx1"/>
            </w14:solidFill>
          </w14:textFill>
        </w:rPr>
        <w:t>TNM分期为T</w:t>
      </w:r>
      <w:r>
        <w:rPr>
          <w:rFonts w:hint="eastAsia" w:ascii="宋体" w:hAnsi="宋体" w:cs="Arial"/>
          <w:b/>
          <w:color w:val="000000" w:themeColor="text1"/>
          <w:spacing w:val="8"/>
          <w:kern w:val="0"/>
          <w:szCs w:val="21"/>
          <w:vertAlign w:val="subscript"/>
          <w14:textFill>
            <w14:solidFill>
              <w14:schemeClr w14:val="tx1"/>
            </w14:solidFill>
          </w14:textFill>
        </w:rPr>
        <w:t>1</w:t>
      </w:r>
      <w:r>
        <w:rPr>
          <w:rFonts w:hint="eastAsia" w:ascii="宋体" w:hAnsi="宋体" w:cs="Arial"/>
          <w:b/>
          <w:color w:val="000000" w:themeColor="text1"/>
          <w:spacing w:val="8"/>
          <w:kern w:val="0"/>
          <w:szCs w:val="21"/>
          <w14:textFill>
            <w14:solidFill>
              <w14:schemeClr w14:val="tx1"/>
            </w14:solidFill>
          </w14:textFill>
        </w:rPr>
        <w:t>N</w:t>
      </w:r>
      <w:r>
        <w:rPr>
          <w:rFonts w:hint="eastAsia" w:ascii="宋体" w:hAnsi="宋体" w:cs="Arial"/>
          <w:b/>
          <w:color w:val="000000" w:themeColor="text1"/>
          <w:spacing w:val="8"/>
          <w:kern w:val="0"/>
          <w:szCs w:val="21"/>
          <w:vertAlign w:val="subscript"/>
          <w14:textFill>
            <w14:solidFill>
              <w14:schemeClr w14:val="tx1"/>
            </w14:solidFill>
          </w14:textFill>
        </w:rPr>
        <w:t>0</w:t>
      </w:r>
      <w:r>
        <w:rPr>
          <w:rFonts w:hint="eastAsia" w:ascii="宋体" w:hAnsi="宋体" w:cs="Arial"/>
          <w:b/>
          <w:color w:val="000000" w:themeColor="text1"/>
          <w:spacing w:val="8"/>
          <w:kern w:val="0"/>
          <w:szCs w:val="21"/>
          <w14:textFill>
            <w14:solidFill>
              <w14:schemeClr w14:val="tx1"/>
            </w14:solidFill>
          </w14:textFill>
        </w:rPr>
        <w:t>M</w:t>
      </w:r>
      <w:r>
        <w:rPr>
          <w:rFonts w:hint="eastAsia" w:ascii="宋体" w:hAnsi="宋体" w:cs="Arial"/>
          <w:b/>
          <w:color w:val="000000" w:themeColor="text1"/>
          <w:spacing w:val="8"/>
          <w:kern w:val="0"/>
          <w:szCs w:val="21"/>
          <w:vertAlign w:val="subscript"/>
          <w14:textFill>
            <w14:solidFill>
              <w14:schemeClr w14:val="tx1"/>
            </w14:solidFill>
          </w14:textFill>
        </w:rPr>
        <w:t>0</w:t>
      </w:r>
      <w:r>
        <w:rPr>
          <w:rFonts w:hint="eastAsia" w:ascii="宋体" w:hAnsi="宋体" w:cs="Arial"/>
          <w:b/>
          <w:color w:val="000000" w:themeColor="text1"/>
          <w:spacing w:val="8"/>
          <w:kern w:val="0"/>
          <w:szCs w:val="21"/>
          <w14:textFill>
            <w14:solidFill>
              <w14:schemeClr w14:val="tx1"/>
            </w14:solidFill>
          </w14:textFill>
        </w:rPr>
        <w:t>期或更轻分期的前列腺癌；</w:t>
      </w:r>
    </w:p>
    <w:p>
      <w:pPr>
        <w:numPr>
          <w:ilvl w:val="0"/>
          <w:numId w:val="2"/>
        </w:numPr>
        <w:autoSpaceDE w:val="0"/>
        <w:autoSpaceDN w:val="0"/>
        <w:adjustRightInd w:val="0"/>
        <w:snapToGrid w:val="0"/>
        <w:rPr>
          <w:rFonts w:ascii="宋体" w:hAnsi="宋体" w:cs="Arial"/>
          <w:b/>
          <w:color w:val="000000" w:themeColor="text1"/>
          <w:spacing w:val="8"/>
          <w:kern w:val="0"/>
          <w:szCs w:val="21"/>
          <w14:textFill>
            <w14:solidFill>
              <w14:schemeClr w14:val="tx1"/>
            </w14:solidFill>
          </w14:textFill>
        </w:rPr>
      </w:pPr>
      <w:r>
        <w:rPr>
          <w:rFonts w:hint="eastAsia" w:ascii="宋体" w:hAnsi="宋体" w:cs="Arial"/>
          <w:b/>
          <w:color w:val="000000" w:themeColor="text1"/>
          <w:spacing w:val="8"/>
          <w:kern w:val="0"/>
          <w:szCs w:val="21"/>
          <w14:textFill>
            <w14:solidFill>
              <w14:schemeClr w14:val="tx1"/>
            </w14:solidFill>
          </w14:textFill>
        </w:rPr>
        <w:t>黑色素瘤以外的未发生淋巴结和远处转移的皮肤恶性肿瘤；</w:t>
      </w:r>
    </w:p>
    <w:p>
      <w:pPr>
        <w:numPr>
          <w:ilvl w:val="0"/>
          <w:numId w:val="2"/>
        </w:numPr>
        <w:autoSpaceDE w:val="0"/>
        <w:autoSpaceDN w:val="0"/>
        <w:adjustRightInd w:val="0"/>
        <w:snapToGrid w:val="0"/>
        <w:rPr>
          <w:rFonts w:ascii="宋体" w:hAnsi="宋体" w:cs="Arial"/>
          <w:b/>
          <w:color w:val="000000" w:themeColor="text1"/>
          <w:spacing w:val="8"/>
          <w:kern w:val="0"/>
          <w:szCs w:val="21"/>
          <w14:textFill>
            <w14:solidFill>
              <w14:schemeClr w14:val="tx1"/>
            </w14:solidFill>
          </w14:textFill>
        </w:rPr>
      </w:pPr>
      <w:r>
        <w:rPr>
          <w:rFonts w:hint="eastAsia" w:ascii="宋体" w:hAnsi="宋体" w:cs="Arial"/>
          <w:b/>
          <w:color w:val="000000" w:themeColor="text1"/>
          <w:spacing w:val="8"/>
          <w:kern w:val="0"/>
          <w:szCs w:val="21"/>
          <w14:textFill>
            <w14:solidFill>
              <w14:schemeClr w14:val="tx1"/>
            </w14:solidFill>
          </w14:textFill>
        </w:rPr>
        <w:t>相当于Binet分期方案A期程度的慢性淋巴细胞白血病；</w:t>
      </w:r>
    </w:p>
    <w:p>
      <w:pPr>
        <w:numPr>
          <w:ilvl w:val="0"/>
          <w:numId w:val="2"/>
        </w:numPr>
        <w:autoSpaceDE w:val="0"/>
        <w:autoSpaceDN w:val="0"/>
        <w:adjustRightInd w:val="0"/>
        <w:snapToGrid w:val="0"/>
        <w:rPr>
          <w:rFonts w:ascii="宋体" w:hAnsi="宋体" w:cs="Arial"/>
          <w:b/>
          <w:color w:val="000000" w:themeColor="text1"/>
          <w:spacing w:val="8"/>
          <w:kern w:val="0"/>
          <w:szCs w:val="21"/>
          <w14:textFill>
            <w14:solidFill>
              <w14:schemeClr w14:val="tx1"/>
            </w14:solidFill>
          </w14:textFill>
        </w:rPr>
      </w:pPr>
      <w:r>
        <w:rPr>
          <w:rFonts w:hint="eastAsia" w:ascii="宋体" w:hAnsi="宋体" w:cs="Arial"/>
          <w:b/>
          <w:color w:val="000000" w:themeColor="text1"/>
          <w:spacing w:val="8"/>
          <w:kern w:val="0"/>
          <w:szCs w:val="21"/>
          <w14:textFill>
            <w14:solidFill>
              <w14:schemeClr w14:val="tx1"/>
            </w14:solidFill>
          </w14:textFill>
        </w:rPr>
        <w:t>相当于Ann Arbor分期方案Ⅰ期程度的何杰金氏病；</w:t>
      </w:r>
    </w:p>
    <w:p>
      <w:pPr>
        <w:numPr>
          <w:ilvl w:val="0"/>
          <w:numId w:val="2"/>
        </w:numPr>
        <w:autoSpaceDE w:val="0"/>
        <w:autoSpaceDN w:val="0"/>
        <w:adjustRightInd w:val="0"/>
        <w:snapToGrid w:val="0"/>
        <w:rPr>
          <w:rFonts w:ascii="宋体" w:hAnsi="宋体" w:cs="Arial"/>
          <w:b/>
          <w:color w:val="000000" w:themeColor="text1"/>
          <w:spacing w:val="8"/>
          <w:kern w:val="0"/>
          <w:szCs w:val="21"/>
          <w14:textFill>
            <w14:solidFill>
              <w14:schemeClr w14:val="tx1"/>
            </w14:solidFill>
          </w14:textFill>
        </w:rPr>
      </w:pPr>
      <w:r>
        <w:rPr>
          <w:rFonts w:hint="eastAsia" w:ascii="宋体" w:hAnsi="宋体" w:cs="Arial"/>
          <w:b/>
          <w:color w:val="000000" w:themeColor="text1"/>
          <w:spacing w:val="8"/>
          <w:kern w:val="0"/>
          <w:szCs w:val="21"/>
          <w14:textFill>
            <w14:solidFill>
              <w14:schemeClr w14:val="tx1"/>
            </w14:solidFill>
          </w14:textFill>
        </w:rPr>
        <w:t>未发生淋巴结和远处转移且WHO分级为G1级别（核分裂像&lt;10/50HPF和ki-67≤2%）或更轻分级的神经内分泌肿瘤。</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二、</w:t>
      </w:r>
      <w:r>
        <w:rPr>
          <w:rFonts w:hint="eastAsia" w:ascii="宋体" w:hAnsi="宋体"/>
          <w:b/>
          <w:color w:val="000000" w:themeColor="text1"/>
          <w:kern w:val="0"/>
          <w:szCs w:val="21"/>
          <w14:textFill>
            <w14:solidFill>
              <w14:schemeClr w14:val="tx1"/>
            </w14:solidFill>
          </w14:textFill>
        </w:rPr>
        <w:t>较重急性心肌梗死</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急性心肌梗死指由于冠状动脉闭塞或梗阻引起部分心肌严重的持久性缺血造成急性心肌坏死。急性心肌梗死的诊断必须依据国际国内诊断标准，符合（1）检测到肌酸激酶同工酶（CK-MB）或肌钙蛋白（cTn）升高和/或降低的动态变化，至少一次达到或超过心肌梗死的临床诊断标准；（2）同时存在下列之一的证据，包括：缺血性胸痛症状、新发生的缺血性心电图改变、新生成的病理性Q波、影像学证据显示有新出现的心肌活性丧失或新出现局部室壁运动异常、冠脉造影证实存在冠状动脉血栓。</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较重急性心肌梗死</w:t>
      </w:r>
      <w:r>
        <w:rPr>
          <w:rFonts w:hint="eastAsia" w:ascii="宋体" w:hAnsi="宋体"/>
          <w:color w:val="000000" w:themeColor="text1"/>
          <w:kern w:val="0"/>
          <w:szCs w:val="21"/>
          <w14:textFill>
            <w14:solidFill>
              <w14:schemeClr w14:val="tx1"/>
            </w14:solidFill>
          </w14:textFill>
        </w:rPr>
        <w:t>指依照上述标准被明确诊断为急性心肌梗死，并且必须同时满足下列至少一项条件：</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（1）心肌损伤标志物肌钙蛋白（cTn）升高，至少一次检测结果达到该检验正常参考值上限的15倍（含）以上；</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（2）肌酸激酶同工酶（CK-MB）升高，至少一次检测结果达到该检验正常参考值上限的2倍（含）以上；</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（3）出现左心室收缩功能下降，在确诊6周以后，检测左室射血分数（LVEF）低于50%（不含）；</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（4）影像学检查证实存在新发的乳头肌功能失调或断裂引起的中度（含）以上的二尖瓣反流；</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（5）影像学检查证实存在新出现的室壁瘤；</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（6）出现室性心动过速、心室颤动或心源性休克。</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其他非冠状动脉阻塞性疾病所引起的肌钙蛋白（cTn）升高不在保障范围内。</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三、严重脑中风后遗症</w:t>
      </w:r>
      <w:r>
        <w:rPr>
          <w:rFonts w:ascii="宋体" w:hAnsi="宋体"/>
          <w:b/>
          <w:color w:val="000000" w:themeColor="text1"/>
          <w:kern w:val="0"/>
          <w:szCs w:val="21"/>
          <w14:textFill>
            <w14:solidFill>
              <w14:schemeClr w14:val="tx1"/>
            </w14:solidFill>
          </w14:textFill>
        </w:rPr>
        <w:tab/>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指因脑血管的突发病变引起脑血管出血、栓塞或梗塞，须由头颅断层扫描（CT）、核磁共振检查（MRI）等影像学检查证实，并导致神经系统永久性的功能障碍。神经系统永久性的功能障碍，指疾病确诊180天后，仍遗留下列至少一种障碍：</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（1）一肢（含）以上肢体</w:t>
      </w:r>
      <w:r>
        <w:rPr>
          <w:rFonts w:ascii="宋体" w:hAnsi="宋体"/>
          <w:color w:val="000000" w:themeColor="text1"/>
          <w:kern w:val="0"/>
          <w:szCs w:val="21"/>
          <w14:textFill>
            <w14:solidFill>
              <w14:schemeClr w14:val="tx1"/>
            </w14:solidFill>
          </w14:textFill>
        </w:rPr>
        <w:footnoteReference w:id="3"/>
      </w:r>
      <w:r>
        <w:rPr>
          <w:rFonts w:hint="eastAsia" w:ascii="宋体" w:hAnsi="宋体"/>
          <w:color w:val="000000" w:themeColor="text1"/>
          <w:kern w:val="0"/>
          <w:szCs w:val="21"/>
          <w14:textFill>
            <w14:solidFill>
              <w14:schemeClr w14:val="tx1"/>
            </w14:solidFill>
          </w14:textFill>
        </w:rPr>
        <w:t>肌力</w:t>
      </w:r>
      <w:r>
        <w:rPr>
          <w:rFonts w:ascii="宋体" w:hAnsi="宋体"/>
          <w:color w:val="000000" w:themeColor="text1"/>
          <w:kern w:val="0"/>
          <w:szCs w:val="21"/>
          <w14:textFill>
            <w14:solidFill>
              <w14:schemeClr w14:val="tx1"/>
            </w14:solidFill>
          </w14:textFill>
        </w:rPr>
        <w:footnoteReference w:id="4"/>
      </w:r>
      <w:r>
        <w:rPr>
          <w:rFonts w:hint="eastAsia" w:ascii="宋体" w:hAnsi="宋体"/>
          <w:color w:val="000000" w:themeColor="text1"/>
          <w:kern w:val="0"/>
          <w:szCs w:val="21"/>
          <w14:textFill>
            <w14:solidFill>
              <w14:schemeClr w14:val="tx1"/>
            </w14:solidFill>
          </w14:textFill>
        </w:rPr>
        <w:t>2级（含）以下；</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（2）语言能力完全丧失</w:t>
      </w:r>
      <w:r>
        <w:rPr>
          <w:rFonts w:ascii="宋体" w:hAnsi="宋体"/>
          <w:color w:val="000000" w:themeColor="text1"/>
          <w:kern w:val="0"/>
          <w:szCs w:val="21"/>
          <w14:textFill>
            <w14:solidFill>
              <w14:schemeClr w14:val="tx1"/>
            </w14:solidFill>
          </w14:textFill>
        </w:rPr>
        <w:footnoteReference w:id="5"/>
      </w:r>
      <w:r>
        <w:rPr>
          <w:rFonts w:hint="eastAsia" w:ascii="宋体" w:hAnsi="宋体"/>
          <w:color w:val="000000" w:themeColor="text1"/>
          <w:kern w:val="0"/>
          <w:szCs w:val="21"/>
          <w14:textFill>
            <w14:solidFill>
              <w14:schemeClr w14:val="tx1"/>
            </w14:solidFill>
          </w14:textFill>
        </w:rPr>
        <w:t>，或严重咀嚼吞咽功能障碍</w:t>
      </w:r>
      <w:r>
        <w:rPr>
          <w:rFonts w:ascii="宋体" w:hAnsi="宋体"/>
          <w:color w:val="000000" w:themeColor="text1"/>
          <w:kern w:val="0"/>
          <w:szCs w:val="21"/>
          <w14:textFill>
            <w14:solidFill>
              <w14:schemeClr w14:val="tx1"/>
            </w14:solidFill>
          </w14:textFill>
        </w:rPr>
        <w:footnoteReference w:id="6"/>
      </w:r>
      <w:r>
        <w:rPr>
          <w:rFonts w:hint="eastAsia" w:ascii="宋体" w:hAnsi="宋体"/>
          <w:color w:val="000000" w:themeColor="text1"/>
          <w:kern w:val="0"/>
          <w:szCs w:val="21"/>
          <w14:textFill>
            <w14:solidFill>
              <w14:schemeClr w14:val="tx1"/>
            </w14:solidFill>
          </w14:textFill>
        </w:rPr>
        <w:t>；</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（3）自主生活能力完全丧失，无法独立完成六项基本日常生活活动</w:t>
      </w:r>
      <w:r>
        <w:rPr>
          <w:rFonts w:ascii="宋体" w:hAnsi="宋体"/>
          <w:color w:val="000000" w:themeColor="text1"/>
          <w:kern w:val="0"/>
          <w:szCs w:val="21"/>
          <w14:textFill>
            <w14:solidFill>
              <w14:schemeClr w14:val="tx1"/>
            </w14:solidFill>
          </w14:textFill>
        </w:rPr>
        <w:footnoteReference w:id="7"/>
      </w:r>
      <w:r>
        <w:rPr>
          <w:rFonts w:hint="eastAsia" w:ascii="宋体" w:hAnsi="宋体"/>
          <w:color w:val="000000" w:themeColor="text1"/>
          <w:kern w:val="0"/>
          <w:szCs w:val="21"/>
          <w14:textFill>
            <w14:solidFill>
              <w14:schemeClr w14:val="tx1"/>
            </w14:solidFill>
          </w14:textFill>
        </w:rPr>
        <w:t>中的三项或三项以上。</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四、重大器官移植术或造血干细胞移植术</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重大器官移植术，指因相应器官功能衰竭，已经实施了肾脏、肝脏、心脏、肺脏或小肠的异体移植手术。</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造血干细胞移植术，指因造血功能损害或造血系统恶性肿瘤，已经实施了造血干细胞（包括骨髓造血干细胞、外周血造血干细胞和脐血造血干细胞）的移植手术。</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五、冠状动脉搭桥术（或称冠状动脉旁路移植术）</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指为治疗严重的冠心病，已经实施了切开心包进行的冠状动脉血管旁路移植的手术。</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所有未切开心包的冠状动脉介入治疗不在保障范围内。</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六</w:t>
      </w:r>
      <w:r>
        <w:rPr>
          <w:rFonts w:ascii="宋体" w:hAnsi="宋体"/>
          <w:b/>
          <w:color w:val="000000" w:themeColor="text1"/>
          <w:kern w:val="0"/>
          <w:szCs w:val="21"/>
          <w14:textFill>
            <w14:solidFill>
              <w14:schemeClr w14:val="tx1"/>
            </w14:solidFill>
          </w14:textFill>
        </w:rPr>
        <w:t>、</w:t>
      </w:r>
      <w:r>
        <w:rPr>
          <w:rFonts w:hint="eastAsia" w:ascii="宋体" w:hAnsi="宋体"/>
          <w:b/>
          <w:color w:val="000000" w:themeColor="text1"/>
          <w:kern w:val="0"/>
          <w:szCs w:val="21"/>
          <w14:textFill>
            <w14:solidFill>
              <w14:schemeClr w14:val="tx1"/>
            </w14:solidFill>
          </w14:textFill>
        </w:rPr>
        <w:t>严重慢性肾衰竭</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 xml:space="preserve">指双肾功能慢性不可逆性衰竭，依据肾脏病预后质量倡议（K/DOQI）制定的指南，分期达到慢性肾脏病5期，且经诊断后已经进行了至少90天的规律性透析治疗。规律性透析是指每周进行血液透析或每天进行腹膜透析。 </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七、多个肢体缺失</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指因疾病或意外伤害导致两个或两个以上肢体自腕关节或踝关节近端（靠近躯干端）以上完全性断离。</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八、急性重症肝炎或亚急性重症肝炎</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指因肝炎病毒感染引起肝脏组织弥漫性坏死，导致急性肝功能衰竭，且经血清学或病毒学检查证实，并须满足下列全部条件：</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（1）重度黄疸或黄疸迅速加重；</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（2）肝性脑病；</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（3）B超或其他影像学检查显示肝脏体积急速萎缩；</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（4）肝功能指标进行性恶化。</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九、</w:t>
      </w:r>
      <w:r>
        <w:rPr>
          <w:rFonts w:hint="eastAsia" w:ascii="宋体" w:hAnsi="宋体"/>
          <w:b/>
          <w:color w:val="000000" w:themeColor="text1"/>
          <w:kern w:val="0"/>
          <w:szCs w:val="21"/>
          <w14:textFill>
            <w14:solidFill>
              <w14:schemeClr w14:val="tx1"/>
            </w14:solidFill>
          </w14:textFill>
        </w:rPr>
        <w:t>严重非恶性颅内肿瘤</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指起源于脑、脑神经、脑被膜的非恶性肿瘤，ICD-O-3肿瘤形态学编码属于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（1）已经实施了开颅进行的颅内肿瘤完全或部分切除手术；</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（2）已经实施了针对颅内肿瘤的放射治疗，如γ刀、质子重离子治疗等。</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下列疾病不在保障范围内：</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（1）脑垂体瘤；</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（2）脑囊肿；</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（3）颅内血管性疾病（如脑动脉瘤、脑动静脉畸形、海绵状血管瘤、毛细血管扩张症等）。</w:t>
      </w:r>
    </w:p>
    <w:p>
      <w:pPr>
        <w:pStyle w:val="3"/>
        <w:tabs>
          <w:tab w:val="left" w:pos="945"/>
        </w:tabs>
        <w:spacing w:before="0" w:after="0" w:line="240" w:lineRule="auto"/>
        <w:ind w:firstLine="526" w:firstLineChars="250"/>
        <w:rPr>
          <w:rFonts w:ascii="宋体" w:hAnsi="宋体" w:cs="宋体"/>
          <w:bCs w:val="0"/>
          <w:color w:val="000000" w:themeColor="text1"/>
          <w:sz w:val="21"/>
          <w:szCs w:val="21"/>
          <w14:textFill>
            <w14:solidFill>
              <w14:schemeClr w14:val="tx1"/>
            </w14:solidFill>
          </w14:textFill>
        </w:rPr>
      </w:pPr>
      <w:r>
        <w:rPr>
          <w:rFonts w:hint="eastAsia" w:ascii="宋体" w:hAnsi="宋体" w:cs="宋体"/>
          <w:bCs w:val="0"/>
          <w:color w:val="000000" w:themeColor="text1"/>
          <w:sz w:val="21"/>
          <w:szCs w:val="21"/>
          <w14:textFill>
            <w14:solidFill>
              <w14:schemeClr w14:val="tx1"/>
            </w14:solidFill>
          </w14:textFill>
        </w:rPr>
        <w:t>十、严重慢性肝衰竭</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指因慢性肝脏疾病导致的肝衰竭，且须满足下列全部条件：</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（1）持续性黄疸；</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（2）腹水；</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（3）肝性脑病；</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（4）充血性脾肿大伴脾功能亢进或食管胃底静脉曲张。</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因酗酒或药物滥用导致的肝衰竭不在保障范围内。</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十</w:t>
      </w:r>
      <w:r>
        <w:rPr>
          <w:rFonts w:ascii="宋体" w:hAnsi="宋体"/>
          <w:b/>
          <w:color w:val="000000" w:themeColor="text1"/>
          <w:kern w:val="0"/>
          <w:szCs w:val="21"/>
          <w14:textFill>
            <w14:solidFill>
              <w14:schemeClr w14:val="tx1"/>
            </w14:solidFill>
          </w14:textFill>
        </w:rPr>
        <w:t>一、</w:t>
      </w:r>
      <w:r>
        <w:rPr>
          <w:rFonts w:hint="eastAsia" w:ascii="宋体" w:hAnsi="宋体" w:cs="宋体"/>
          <w:b/>
          <w:bCs/>
          <w:color w:val="000000" w:themeColor="text1"/>
          <w:szCs w:val="21"/>
          <w14:textFill>
            <w14:solidFill>
              <w14:schemeClr w14:val="tx1"/>
            </w14:solidFill>
          </w14:textFill>
        </w:rPr>
        <w:t>严重脑炎后遗症或严重脑膜炎后遗症</w:t>
      </w:r>
    </w:p>
    <w:p>
      <w:pPr>
        <w:autoSpaceDE w:val="0"/>
        <w:autoSpaceDN w:val="0"/>
        <w:adjustRightInd w:val="0"/>
        <w:snapToGrid w:val="0"/>
        <w:ind w:firstLine="452" w:firstLineChars="200"/>
        <w:rPr>
          <w:rFonts w:ascii="宋体" w:hAnsi="宋体" w:cs="Arial"/>
          <w:color w:val="000000" w:themeColor="text1"/>
          <w:spacing w:val="8"/>
          <w:kern w:val="0"/>
          <w:szCs w:val="21"/>
          <w14:textFill>
            <w14:solidFill>
              <w14:schemeClr w14:val="tx1"/>
            </w14:solidFill>
          </w14:textFill>
        </w:rPr>
      </w:pPr>
      <w:r>
        <w:rPr>
          <w:rFonts w:hint="eastAsia" w:ascii="宋体" w:hAnsi="宋体" w:cs="Arial"/>
          <w:color w:val="000000" w:themeColor="text1"/>
          <w:spacing w:val="8"/>
          <w:kern w:val="0"/>
          <w:szCs w:val="21"/>
          <w14:textFill>
            <w14:solidFill>
              <w14:schemeClr w14:val="tx1"/>
            </w14:solidFill>
          </w14:textFill>
        </w:rPr>
        <w:t>指因患脑炎或脑膜炎导致的神经系统永久性的功能障碍。神经系统永久性的功能障碍，指经相关专科医生确诊疾病180天后，仍遗留下列至少一种障碍：</w:t>
      </w:r>
    </w:p>
    <w:p>
      <w:pPr>
        <w:pStyle w:val="25"/>
        <w:numPr>
          <w:ilvl w:val="0"/>
          <w:numId w:val="3"/>
        </w:numPr>
        <w:autoSpaceDE w:val="0"/>
        <w:autoSpaceDN w:val="0"/>
        <w:adjustRightInd w:val="0"/>
        <w:snapToGrid w:val="0"/>
        <w:ind w:firstLineChars="0"/>
        <w:jc w:val="left"/>
        <w:rPr>
          <w:rFonts w:ascii="宋体" w:hAnsi="宋体" w:cs="Arial"/>
          <w:color w:val="000000" w:themeColor="text1"/>
          <w:spacing w:val="8"/>
          <w:kern w:val="0"/>
          <w:szCs w:val="21"/>
          <w14:textFill>
            <w14:solidFill>
              <w14:schemeClr w14:val="tx1"/>
            </w14:solidFill>
          </w14:textFill>
        </w:rPr>
      </w:pPr>
      <w:r>
        <w:rPr>
          <w:rFonts w:hint="eastAsia" w:ascii="宋体" w:hAnsi="宋体" w:cs="Arial"/>
          <w:color w:val="000000" w:themeColor="text1"/>
          <w:spacing w:val="8"/>
          <w:kern w:val="0"/>
          <w:szCs w:val="21"/>
          <w14:textFill>
            <w14:solidFill>
              <w14:schemeClr w14:val="tx1"/>
            </w14:solidFill>
          </w14:textFill>
        </w:rPr>
        <w:t>一肢（含）以上肢体肌力2级（含）以下；</w:t>
      </w:r>
    </w:p>
    <w:p>
      <w:pPr>
        <w:pStyle w:val="25"/>
        <w:numPr>
          <w:ilvl w:val="0"/>
          <w:numId w:val="3"/>
        </w:numPr>
        <w:autoSpaceDE w:val="0"/>
        <w:autoSpaceDN w:val="0"/>
        <w:adjustRightInd w:val="0"/>
        <w:snapToGrid w:val="0"/>
        <w:ind w:firstLineChars="0"/>
        <w:rPr>
          <w:rFonts w:ascii="宋体" w:hAnsi="宋体" w:cs="Arial"/>
          <w:color w:val="000000" w:themeColor="text1"/>
          <w:spacing w:val="8"/>
          <w:kern w:val="0"/>
          <w:szCs w:val="21"/>
          <w14:textFill>
            <w14:solidFill>
              <w14:schemeClr w14:val="tx1"/>
            </w14:solidFill>
          </w14:textFill>
        </w:rPr>
      </w:pPr>
      <w:r>
        <w:rPr>
          <w:rFonts w:hint="eastAsia" w:ascii="宋体" w:hAnsi="宋体" w:cs="Arial"/>
          <w:color w:val="000000" w:themeColor="text1"/>
          <w:spacing w:val="8"/>
          <w:kern w:val="0"/>
          <w:szCs w:val="21"/>
          <w14:textFill>
            <w14:solidFill>
              <w14:schemeClr w14:val="tx1"/>
            </w14:solidFill>
          </w14:textFill>
        </w:rPr>
        <w:t>语言能力完全丧失，或严重咀嚼吞咽功能障碍；</w:t>
      </w:r>
    </w:p>
    <w:p>
      <w:pPr>
        <w:pStyle w:val="25"/>
        <w:autoSpaceDE w:val="0"/>
        <w:autoSpaceDN w:val="0"/>
        <w:adjustRightInd w:val="0"/>
        <w:snapToGrid w:val="0"/>
        <w:ind w:left="113" w:firstLine="339" w:firstLineChars="150"/>
        <w:rPr>
          <w:rFonts w:ascii="宋体" w:hAnsi="宋体" w:cs="Arial"/>
          <w:color w:val="000000" w:themeColor="text1"/>
          <w:spacing w:val="8"/>
          <w:kern w:val="0"/>
          <w:szCs w:val="21"/>
          <w14:textFill>
            <w14:solidFill>
              <w14:schemeClr w14:val="tx1"/>
            </w14:solidFill>
          </w14:textFill>
        </w:rPr>
      </w:pPr>
      <w:r>
        <w:rPr>
          <w:rFonts w:hint="eastAsia" w:ascii="宋体" w:hAnsi="宋体" w:cs="Arial"/>
          <w:color w:val="000000" w:themeColor="text1"/>
          <w:spacing w:val="8"/>
          <w:kern w:val="0"/>
          <w:szCs w:val="21"/>
          <w14:textFill>
            <w14:solidFill>
              <w14:schemeClr w14:val="tx1"/>
            </w14:solidFill>
          </w14:textFill>
        </w:rPr>
        <w:t>（3）由具有评估资格的专科医生根据临床痴呆评定量表（CDR，Clinical Dementia Rating）评估结果为3分；</w:t>
      </w:r>
    </w:p>
    <w:p>
      <w:pPr>
        <w:autoSpaceDE w:val="0"/>
        <w:autoSpaceDN w:val="0"/>
        <w:adjustRightInd w:val="0"/>
        <w:snapToGrid w:val="0"/>
        <w:ind w:firstLine="452" w:firstLineChars="200"/>
        <w:rPr>
          <w:rFonts w:ascii="宋体" w:hAnsi="宋体" w:cs="Arial"/>
          <w:color w:val="000000" w:themeColor="text1"/>
          <w:spacing w:val="8"/>
          <w:kern w:val="0"/>
          <w:szCs w:val="21"/>
          <w14:textFill>
            <w14:solidFill>
              <w14:schemeClr w14:val="tx1"/>
            </w14:solidFill>
          </w14:textFill>
        </w:rPr>
      </w:pPr>
      <w:r>
        <w:rPr>
          <w:rFonts w:hint="eastAsia" w:ascii="宋体" w:hAnsi="宋体" w:cs="Arial"/>
          <w:color w:val="000000" w:themeColor="text1"/>
          <w:spacing w:val="8"/>
          <w:kern w:val="0"/>
          <w:szCs w:val="21"/>
          <w14:textFill>
            <w14:solidFill>
              <w14:schemeClr w14:val="tx1"/>
            </w14:solidFill>
          </w14:textFill>
        </w:rPr>
        <w:t>（4）自主生活能力完全丧失，无法独立完成六项基本日常生活活动中的三项或三项以上。</w:t>
      </w:r>
    </w:p>
    <w:p>
      <w:pPr>
        <w:pStyle w:val="3"/>
        <w:tabs>
          <w:tab w:val="left" w:pos="945"/>
        </w:tabs>
        <w:spacing w:before="0" w:after="0" w:line="240" w:lineRule="auto"/>
        <w:ind w:firstLine="420" w:firstLineChars="200"/>
        <w:rPr>
          <w:rFonts w:ascii="宋体" w:hAnsi="宋体" w:cs="宋体"/>
          <w:bCs w:val="0"/>
          <w:color w:val="000000" w:themeColor="text1"/>
          <w:sz w:val="21"/>
          <w:szCs w:val="21"/>
          <w14:textFill>
            <w14:solidFill>
              <w14:schemeClr w14:val="tx1"/>
            </w14:solidFill>
          </w14:textFill>
        </w:rPr>
      </w:pPr>
      <w:r>
        <w:rPr>
          <w:rFonts w:hint="eastAsia" w:ascii="宋体" w:hAnsi="宋体" w:cs="宋体"/>
          <w:bCs w:val="0"/>
          <w:color w:val="000000" w:themeColor="text1"/>
          <w:sz w:val="21"/>
          <w:szCs w:val="21"/>
          <w14:textFill>
            <w14:solidFill>
              <w14:schemeClr w14:val="tx1"/>
            </w14:solidFill>
          </w14:textFill>
        </w:rPr>
        <w:t>十</w:t>
      </w:r>
      <w:r>
        <w:rPr>
          <w:rFonts w:ascii="宋体" w:hAnsi="宋体" w:cs="宋体"/>
          <w:bCs w:val="0"/>
          <w:color w:val="000000" w:themeColor="text1"/>
          <w:sz w:val="21"/>
          <w:szCs w:val="21"/>
          <w14:textFill>
            <w14:solidFill>
              <w14:schemeClr w14:val="tx1"/>
            </w14:solidFill>
          </w14:textFill>
        </w:rPr>
        <w:t>二、</w:t>
      </w:r>
      <w:r>
        <w:rPr>
          <w:rFonts w:hint="eastAsia" w:ascii="宋体" w:hAnsi="宋体" w:cs="宋体"/>
          <w:bCs w:val="0"/>
          <w:color w:val="000000" w:themeColor="text1"/>
          <w:sz w:val="21"/>
          <w:szCs w:val="21"/>
          <w14:textFill>
            <w14:solidFill>
              <w14:schemeClr w14:val="tx1"/>
            </w14:solidFill>
          </w14:textFill>
        </w:rPr>
        <w:t>深度昏迷</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指因疾病或意外伤害导致意识丧失，对外界刺激和体内需求均无反应，昏迷程度按照格拉斯哥昏迷分级（GCS，Glasgow Coma Scale）结果为5分或5分以下，且已经持续使用呼吸机及其他生命维持系统96小时以上。</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因酗酒或药物滥用导致的深度昏迷不在保障范围内。</w:t>
      </w:r>
    </w:p>
    <w:p>
      <w:pPr>
        <w:pStyle w:val="3"/>
        <w:spacing w:before="0" w:after="0" w:line="240" w:lineRule="auto"/>
        <w:ind w:firstLine="420" w:firstLineChars="200"/>
        <w:rPr>
          <w:rFonts w:ascii="宋体" w:hAnsi="宋体" w:cs="宋体"/>
          <w:bCs w:val="0"/>
          <w:color w:val="000000" w:themeColor="text1"/>
          <w:sz w:val="21"/>
          <w:szCs w:val="21"/>
          <w14:textFill>
            <w14:solidFill>
              <w14:schemeClr w14:val="tx1"/>
            </w14:solidFill>
          </w14:textFill>
        </w:rPr>
      </w:pPr>
      <w:r>
        <w:rPr>
          <w:rFonts w:hint="eastAsia" w:ascii="宋体" w:hAnsi="宋体" w:cs="宋体"/>
          <w:bCs w:val="0"/>
          <w:color w:val="000000" w:themeColor="text1"/>
          <w:sz w:val="21"/>
          <w:szCs w:val="21"/>
          <w14:textFill>
            <w14:solidFill>
              <w14:schemeClr w14:val="tx1"/>
            </w14:solidFill>
          </w14:textFill>
        </w:rPr>
        <w:t>十</w:t>
      </w:r>
      <w:r>
        <w:rPr>
          <w:rFonts w:ascii="宋体" w:hAnsi="宋体" w:cs="宋体"/>
          <w:bCs w:val="0"/>
          <w:color w:val="000000" w:themeColor="text1"/>
          <w:sz w:val="21"/>
          <w:szCs w:val="21"/>
          <w14:textFill>
            <w14:solidFill>
              <w14:schemeClr w14:val="tx1"/>
            </w14:solidFill>
          </w14:textFill>
        </w:rPr>
        <w:t>三、</w:t>
      </w:r>
      <w:r>
        <w:rPr>
          <w:rFonts w:hint="eastAsia" w:ascii="宋体" w:hAnsi="宋体" w:cs="宋体"/>
          <w:bCs w:val="0"/>
          <w:color w:val="000000" w:themeColor="text1"/>
          <w:sz w:val="21"/>
          <w:szCs w:val="21"/>
          <w14:textFill>
            <w14:solidFill>
              <w14:schemeClr w14:val="tx1"/>
            </w14:solidFill>
          </w14:textFill>
        </w:rPr>
        <w:t>双耳失聪</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指因疾病或意外伤害导致双耳听力永久不可逆</w:t>
      </w:r>
      <w:r>
        <w:rPr>
          <w:rFonts w:ascii="宋体" w:hAnsi="宋体"/>
          <w:color w:val="000000" w:themeColor="text1"/>
          <w:kern w:val="0"/>
          <w:szCs w:val="21"/>
          <w14:textFill>
            <w14:solidFill>
              <w14:schemeClr w14:val="tx1"/>
            </w14:solidFill>
          </w14:textFill>
        </w:rPr>
        <w:footnoteReference w:id="8"/>
      </w:r>
      <w:r>
        <w:rPr>
          <w:rFonts w:hint="eastAsia" w:ascii="宋体" w:hAnsi="宋体"/>
          <w:color w:val="000000" w:themeColor="text1"/>
          <w:kern w:val="0"/>
          <w:szCs w:val="21"/>
          <w14:textFill>
            <w14:solidFill>
              <w14:schemeClr w14:val="tx1"/>
            </w14:solidFill>
          </w14:textFill>
        </w:rPr>
        <w:t>性丧失，在500赫兹、1000赫兹和2000赫兹语音频率下，平均听阈大于等于91分贝，且经纯音听力测试、声导抗检测或听觉诱发电位检测等证实。</w:t>
      </w:r>
    </w:p>
    <w:p>
      <w:pPr>
        <w:pStyle w:val="3"/>
        <w:tabs>
          <w:tab w:val="left" w:pos="945"/>
        </w:tabs>
        <w:spacing w:before="0" w:after="0" w:line="240" w:lineRule="auto"/>
        <w:ind w:firstLine="420" w:firstLineChars="200"/>
        <w:rPr>
          <w:rFonts w:ascii="宋体" w:hAnsi="宋体" w:cs="宋体"/>
          <w:bCs w:val="0"/>
          <w:color w:val="000000" w:themeColor="text1"/>
          <w:sz w:val="21"/>
          <w:szCs w:val="21"/>
          <w14:textFill>
            <w14:solidFill>
              <w14:schemeClr w14:val="tx1"/>
            </w14:solidFill>
          </w14:textFill>
        </w:rPr>
      </w:pPr>
      <w:r>
        <w:rPr>
          <w:rFonts w:hint="eastAsia" w:ascii="宋体" w:hAnsi="宋体" w:cs="宋体"/>
          <w:bCs w:val="0"/>
          <w:color w:val="000000" w:themeColor="text1"/>
          <w:sz w:val="21"/>
          <w:szCs w:val="21"/>
          <w14:textFill>
            <w14:solidFill>
              <w14:schemeClr w14:val="tx1"/>
            </w14:solidFill>
          </w14:textFill>
        </w:rPr>
        <w:t>十</w:t>
      </w:r>
      <w:r>
        <w:rPr>
          <w:rFonts w:ascii="宋体" w:hAnsi="宋体" w:cs="宋体"/>
          <w:bCs w:val="0"/>
          <w:color w:val="000000" w:themeColor="text1"/>
          <w:sz w:val="21"/>
          <w:szCs w:val="21"/>
          <w14:textFill>
            <w14:solidFill>
              <w14:schemeClr w14:val="tx1"/>
            </w14:solidFill>
          </w14:textFill>
        </w:rPr>
        <w:t>四、</w:t>
      </w:r>
      <w:r>
        <w:rPr>
          <w:rFonts w:hint="eastAsia" w:ascii="宋体" w:hAnsi="宋体" w:cs="宋体"/>
          <w:bCs w:val="0"/>
          <w:color w:val="000000" w:themeColor="text1"/>
          <w:sz w:val="21"/>
          <w:szCs w:val="21"/>
          <w14:textFill>
            <w14:solidFill>
              <w14:schemeClr w14:val="tx1"/>
            </w14:solidFill>
          </w14:textFill>
        </w:rPr>
        <w:t>双目失明</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指因疾病或意外伤害导致双眼视力永久不可逆性丧失，双眼中较好眼须满足下列至少一项条件：</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（1）眼球缺失或摘除；</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（2）矫正视力低于0.02（采用国际标准视力表，如果使用其他视力表应进行换算）；</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（3）视野半径小于5度。</w:t>
      </w:r>
    </w:p>
    <w:p>
      <w:pPr>
        <w:pStyle w:val="3"/>
        <w:tabs>
          <w:tab w:val="left" w:pos="945"/>
        </w:tabs>
        <w:spacing w:before="0" w:after="0" w:line="240" w:lineRule="auto"/>
        <w:ind w:firstLine="526" w:firstLineChars="250"/>
        <w:rPr>
          <w:rFonts w:ascii="宋体" w:hAnsi="宋体" w:cs="宋体"/>
          <w:bCs w:val="0"/>
          <w:color w:val="000000" w:themeColor="text1"/>
          <w:sz w:val="21"/>
          <w:szCs w:val="21"/>
          <w14:textFill>
            <w14:solidFill>
              <w14:schemeClr w14:val="tx1"/>
            </w14:solidFill>
          </w14:textFill>
        </w:rPr>
      </w:pPr>
      <w:r>
        <w:rPr>
          <w:rFonts w:hint="eastAsia" w:ascii="宋体" w:hAnsi="宋体" w:cs="宋体"/>
          <w:bCs w:val="0"/>
          <w:color w:val="000000" w:themeColor="text1"/>
          <w:sz w:val="21"/>
          <w:szCs w:val="21"/>
          <w14:textFill>
            <w14:solidFill>
              <w14:schemeClr w14:val="tx1"/>
            </w14:solidFill>
          </w14:textFill>
        </w:rPr>
        <w:t>十五</w:t>
      </w:r>
      <w:r>
        <w:rPr>
          <w:rFonts w:ascii="宋体" w:hAnsi="宋体" w:cs="宋体"/>
          <w:bCs w:val="0"/>
          <w:color w:val="000000" w:themeColor="text1"/>
          <w:sz w:val="21"/>
          <w:szCs w:val="21"/>
          <w14:textFill>
            <w14:solidFill>
              <w14:schemeClr w14:val="tx1"/>
            </w14:solidFill>
          </w14:textFill>
        </w:rPr>
        <w:t>、</w:t>
      </w:r>
      <w:r>
        <w:rPr>
          <w:rFonts w:hint="eastAsia" w:ascii="宋体" w:hAnsi="宋体" w:cs="宋体"/>
          <w:bCs w:val="0"/>
          <w:color w:val="000000" w:themeColor="text1"/>
          <w:sz w:val="21"/>
          <w:szCs w:val="21"/>
          <w14:textFill>
            <w14:solidFill>
              <w14:schemeClr w14:val="tx1"/>
            </w14:solidFill>
          </w14:textFill>
        </w:rPr>
        <w:t>瘫痪</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指因疾病或意外伤害导致两肢或两肢以上肢体随意运动功能永久完全丧失。肢体随意运动功能永久完全丧失，指疾病确诊180天后或意外伤害发生180天后，每肢三大关节中的两大关节仍然完全僵硬，或肢体肌力在2级（含）以下。</w:t>
      </w:r>
    </w:p>
    <w:p>
      <w:pPr>
        <w:pStyle w:val="3"/>
        <w:tabs>
          <w:tab w:val="left" w:pos="945"/>
        </w:tabs>
        <w:spacing w:before="0" w:after="0" w:line="240" w:lineRule="auto"/>
        <w:ind w:firstLine="526" w:firstLineChars="250"/>
        <w:rPr>
          <w:rFonts w:ascii="宋体" w:hAnsi="宋体" w:cs="宋体"/>
          <w:bCs w:val="0"/>
          <w:color w:val="000000" w:themeColor="text1"/>
          <w:sz w:val="21"/>
          <w:szCs w:val="21"/>
          <w14:textFill>
            <w14:solidFill>
              <w14:schemeClr w14:val="tx1"/>
            </w14:solidFill>
          </w14:textFill>
        </w:rPr>
      </w:pPr>
      <w:r>
        <w:rPr>
          <w:rFonts w:hint="eastAsia" w:ascii="宋体" w:hAnsi="宋体" w:cs="宋体"/>
          <w:bCs w:val="0"/>
          <w:color w:val="000000" w:themeColor="text1"/>
          <w:sz w:val="21"/>
          <w:szCs w:val="21"/>
          <w14:textFill>
            <w14:solidFill>
              <w14:schemeClr w14:val="tx1"/>
            </w14:solidFill>
          </w14:textFill>
        </w:rPr>
        <w:t>十六</w:t>
      </w:r>
      <w:r>
        <w:rPr>
          <w:rFonts w:ascii="宋体" w:hAnsi="宋体" w:cs="宋体"/>
          <w:bCs w:val="0"/>
          <w:color w:val="000000" w:themeColor="text1"/>
          <w:sz w:val="21"/>
          <w:szCs w:val="21"/>
          <w14:textFill>
            <w14:solidFill>
              <w14:schemeClr w14:val="tx1"/>
            </w14:solidFill>
          </w14:textFill>
        </w:rPr>
        <w:t>、</w:t>
      </w:r>
      <w:r>
        <w:rPr>
          <w:rFonts w:hint="eastAsia" w:ascii="宋体" w:hAnsi="宋体" w:cs="宋体"/>
          <w:bCs w:val="0"/>
          <w:color w:val="000000" w:themeColor="text1"/>
          <w:sz w:val="21"/>
          <w:szCs w:val="21"/>
          <w14:textFill>
            <w14:solidFill>
              <w14:schemeClr w14:val="tx1"/>
            </w14:solidFill>
          </w14:textFill>
        </w:rPr>
        <w:t>心脏瓣膜手术</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指为治疗心脏瓣膜疾病，已经实施了切开心脏进行的心脏瓣膜置换或修复的手术。</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所有未切开心脏的心脏瓣膜介入手术不在保障范围内。</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十</w:t>
      </w:r>
      <w:r>
        <w:rPr>
          <w:rFonts w:ascii="宋体" w:hAnsi="宋体"/>
          <w:b/>
          <w:color w:val="000000" w:themeColor="text1"/>
          <w:kern w:val="0"/>
          <w:szCs w:val="21"/>
          <w14:textFill>
            <w14:solidFill>
              <w14:schemeClr w14:val="tx1"/>
            </w14:solidFill>
          </w14:textFill>
        </w:rPr>
        <w:t>七、</w:t>
      </w:r>
      <w:r>
        <w:rPr>
          <w:rFonts w:hint="eastAsia" w:ascii="宋体" w:hAnsi="宋体"/>
          <w:b/>
          <w:color w:val="000000" w:themeColor="text1"/>
          <w:kern w:val="0"/>
          <w:szCs w:val="21"/>
          <w14:textFill>
            <w14:solidFill>
              <w14:schemeClr w14:val="tx1"/>
            </w14:solidFill>
          </w14:textFill>
        </w:rPr>
        <w:t>严重阿尔茨海默病</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（1）由具有评估资格的专科医生根据临床痴呆评定量表（CDR，Clinical Dementia Rating）评估结果为3分；</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（2）自主生活能力完全丧失，无法独立完成六项基本日常生活活动中的三项或三项以上。</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阿尔茨海默病之外的其他类型痴呆不在保障范围内。</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十八</w:t>
      </w:r>
      <w:r>
        <w:rPr>
          <w:rFonts w:ascii="宋体" w:hAnsi="宋体"/>
          <w:b/>
          <w:color w:val="000000" w:themeColor="text1"/>
          <w:kern w:val="0"/>
          <w:szCs w:val="21"/>
          <w14:textFill>
            <w14:solidFill>
              <w14:schemeClr w14:val="tx1"/>
            </w14:solidFill>
          </w14:textFill>
        </w:rPr>
        <w:t>、</w:t>
      </w:r>
      <w:r>
        <w:rPr>
          <w:rFonts w:hint="eastAsia" w:ascii="宋体" w:hAnsi="宋体"/>
          <w:b/>
          <w:color w:val="000000" w:themeColor="text1"/>
          <w:kern w:val="0"/>
          <w:szCs w:val="21"/>
          <w14:textFill>
            <w14:solidFill>
              <w14:schemeClr w14:val="tx1"/>
            </w14:solidFill>
          </w14:textFill>
        </w:rPr>
        <w:t>严重脑损伤</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（1）一肢（含）以上肢体肌力2级（含）以下；</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（2）语言能力完全丧失，或严重咀嚼吞咽功能障碍；</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（3）自主生活能力完全丧失，无法独立完成六项基本日常生活活动中的三项或三项以上。</w:t>
      </w:r>
    </w:p>
    <w:p>
      <w:pPr>
        <w:pStyle w:val="3"/>
        <w:tabs>
          <w:tab w:val="left" w:pos="945"/>
        </w:tabs>
        <w:spacing w:before="0" w:after="0" w:line="240" w:lineRule="auto"/>
        <w:ind w:firstLine="526" w:firstLineChars="250"/>
        <w:rPr>
          <w:rFonts w:ascii="宋体" w:hAnsi="宋体" w:cs="宋体"/>
          <w:bCs w:val="0"/>
          <w:color w:val="000000" w:themeColor="text1"/>
          <w:sz w:val="21"/>
          <w:szCs w:val="21"/>
          <w14:textFill>
            <w14:solidFill>
              <w14:schemeClr w14:val="tx1"/>
            </w14:solidFill>
          </w14:textFill>
        </w:rPr>
      </w:pPr>
      <w:r>
        <w:rPr>
          <w:rFonts w:hint="eastAsia" w:ascii="宋体" w:hAnsi="宋体" w:cs="宋体"/>
          <w:bCs w:val="0"/>
          <w:color w:val="000000" w:themeColor="text1"/>
          <w:sz w:val="21"/>
          <w:szCs w:val="21"/>
          <w14:textFill>
            <w14:solidFill>
              <w14:schemeClr w14:val="tx1"/>
            </w14:solidFill>
          </w14:textFill>
        </w:rPr>
        <w:t>十九</w:t>
      </w:r>
      <w:r>
        <w:rPr>
          <w:rFonts w:ascii="宋体" w:hAnsi="宋体" w:cs="宋体"/>
          <w:bCs w:val="0"/>
          <w:color w:val="000000" w:themeColor="text1"/>
          <w:sz w:val="21"/>
          <w:szCs w:val="21"/>
          <w14:textFill>
            <w14:solidFill>
              <w14:schemeClr w14:val="tx1"/>
            </w14:solidFill>
          </w14:textFill>
        </w:rPr>
        <w:t>、</w:t>
      </w:r>
      <w:r>
        <w:rPr>
          <w:rFonts w:hint="eastAsia" w:ascii="宋体" w:hAnsi="宋体" w:cs="宋体"/>
          <w:bCs w:val="0"/>
          <w:color w:val="000000" w:themeColor="text1"/>
          <w:sz w:val="21"/>
          <w:szCs w:val="21"/>
          <w14:textFill>
            <w14:solidFill>
              <w14:schemeClr w14:val="tx1"/>
            </w14:solidFill>
          </w14:textFill>
        </w:rPr>
        <w:t>严重原发性帕金森病</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是一种中枢神经系统的退行性疾病，临床表现为运动迟缓、静止性震颤或肌强直等，经相关专科医生确诊，且须满足自主生活能力完全丧失，无法独立完成六项基本日常生活活动中的三项或三项以上。</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继发性帕金森综合征、帕金森叠加综合征不在保障范围内。</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二</w:t>
      </w:r>
      <w:r>
        <w:rPr>
          <w:rFonts w:ascii="宋体" w:hAnsi="宋体"/>
          <w:b/>
          <w:color w:val="000000" w:themeColor="text1"/>
          <w:kern w:val="0"/>
          <w:szCs w:val="21"/>
          <w14:textFill>
            <w14:solidFill>
              <w14:schemeClr w14:val="tx1"/>
            </w14:solidFill>
          </w14:textFill>
        </w:rPr>
        <w:t>十、</w:t>
      </w:r>
      <w:r>
        <w:rPr>
          <w:rFonts w:hint="eastAsia" w:ascii="宋体" w:hAnsi="宋体"/>
          <w:b/>
          <w:color w:val="000000" w:themeColor="text1"/>
          <w:kern w:val="0"/>
          <w:szCs w:val="21"/>
          <w14:textFill>
            <w14:solidFill>
              <w14:schemeClr w14:val="tx1"/>
            </w14:solidFill>
          </w14:textFill>
        </w:rPr>
        <w:t>严重Ⅲ度烧伤</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指烧伤程度为Ⅲ度，且Ⅲ度烧伤的面积达到全身体表面积的20％或20％以上。体表面积根据《中国新九分法》计算。</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二</w:t>
      </w:r>
      <w:r>
        <w:rPr>
          <w:rFonts w:ascii="宋体" w:hAnsi="宋体"/>
          <w:b/>
          <w:color w:val="000000" w:themeColor="text1"/>
          <w:kern w:val="0"/>
          <w:szCs w:val="21"/>
          <w14:textFill>
            <w14:solidFill>
              <w14:schemeClr w14:val="tx1"/>
            </w14:solidFill>
          </w14:textFill>
        </w:rPr>
        <w:t>十一、</w:t>
      </w:r>
      <w:r>
        <w:rPr>
          <w:rFonts w:hint="eastAsia" w:ascii="宋体" w:hAnsi="宋体"/>
          <w:b/>
          <w:color w:val="000000" w:themeColor="text1"/>
          <w:kern w:val="0"/>
          <w:szCs w:val="21"/>
          <w14:textFill>
            <w14:solidFill>
              <w14:schemeClr w14:val="tx1"/>
            </w14:solidFill>
          </w14:textFill>
        </w:rPr>
        <w:t>严重特发性肺动脉高压</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指不明原因的肺动脉压力持续性增高，进行性发展而导致的慢性疾病，已经造成永久不可逆性的体力活动能力受限，达到美国纽约心脏病学会（New York Heart Association，NYHA）心功能状态分级</w:t>
      </w:r>
      <w:r>
        <w:rPr>
          <w:rFonts w:ascii="宋体" w:hAnsi="宋体"/>
          <w:color w:val="000000" w:themeColor="text1"/>
          <w:kern w:val="0"/>
          <w:szCs w:val="21"/>
          <w14:textFill>
            <w14:solidFill>
              <w14:schemeClr w14:val="tx1"/>
            </w14:solidFill>
          </w14:textFill>
        </w:rPr>
        <w:footnoteReference w:id="9"/>
      </w:r>
      <w:r>
        <w:rPr>
          <w:rFonts w:hint="eastAsia" w:ascii="宋体" w:hAnsi="宋体"/>
          <w:color w:val="000000" w:themeColor="text1"/>
          <w:kern w:val="0"/>
          <w:szCs w:val="21"/>
          <w14:textFill>
            <w14:solidFill>
              <w14:schemeClr w14:val="tx1"/>
            </w14:solidFill>
          </w14:textFill>
        </w:rPr>
        <w:t>IV级，且静息状态下肺动脉平均压在36mmHg（含）以上。</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二</w:t>
      </w:r>
      <w:r>
        <w:rPr>
          <w:rFonts w:ascii="宋体" w:hAnsi="宋体"/>
          <w:b/>
          <w:color w:val="000000" w:themeColor="text1"/>
          <w:kern w:val="0"/>
          <w:szCs w:val="21"/>
          <w14:textFill>
            <w14:solidFill>
              <w14:schemeClr w14:val="tx1"/>
            </w14:solidFill>
          </w14:textFill>
        </w:rPr>
        <w:t>十二、</w:t>
      </w:r>
      <w:r>
        <w:rPr>
          <w:rFonts w:hint="eastAsia" w:ascii="宋体" w:hAnsi="宋体"/>
          <w:b/>
          <w:color w:val="000000" w:themeColor="text1"/>
          <w:kern w:val="0"/>
          <w:szCs w:val="21"/>
          <w14:textFill>
            <w14:solidFill>
              <w14:schemeClr w14:val="tx1"/>
            </w14:solidFill>
          </w14:textFill>
        </w:rPr>
        <w:t>严重运动神经元病</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是一组中枢神经系统运动神经元的进行性变性疾病，包括进行性脊肌萎缩症、进行性延髓麻痹症、原发性侧索硬化症、肌萎缩性侧索硬化症,经相关专科医生确诊，且须满足下列至少一项条件：</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（1）严重咀嚼吞咽功能障碍；</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（2）呼吸肌麻痹导致严重呼吸困难，且已经持续使用呼吸机7天（含）以上；</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（3）自主生活能力完全丧失，无法独立完成六项基本日常生活活动中的三项或三项以上。</w:t>
      </w:r>
    </w:p>
    <w:p>
      <w:pPr>
        <w:pStyle w:val="3"/>
        <w:tabs>
          <w:tab w:val="left" w:pos="945"/>
        </w:tabs>
        <w:spacing w:before="0" w:after="0" w:line="240" w:lineRule="auto"/>
        <w:ind w:firstLine="420" w:firstLineChars="200"/>
        <w:rPr>
          <w:rFonts w:ascii="宋体" w:hAnsi="宋体" w:cs="宋体"/>
          <w:bCs w:val="0"/>
          <w:color w:val="000000" w:themeColor="text1"/>
          <w:sz w:val="21"/>
          <w:szCs w:val="21"/>
          <w14:textFill>
            <w14:solidFill>
              <w14:schemeClr w14:val="tx1"/>
            </w14:solidFill>
          </w14:textFill>
        </w:rPr>
      </w:pPr>
      <w:r>
        <w:rPr>
          <w:rFonts w:hint="eastAsia" w:ascii="宋体" w:hAnsi="宋体" w:cs="宋体"/>
          <w:bCs w:val="0"/>
          <w:color w:val="000000" w:themeColor="text1"/>
          <w:sz w:val="21"/>
          <w:szCs w:val="21"/>
          <w14:textFill>
            <w14:solidFill>
              <w14:schemeClr w14:val="tx1"/>
            </w14:solidFill>
          </w14:textFill>
        </w:rPr>
        <w:t>二十三</w:t>
      </w:r>
      <w:r>
        <w:rPr>
          <w:rFonts w:ascii="宋体" w:hAnsi="宋体" w:cs="宋体"/>
          <w:bCs w:val="0"/>
          <w:color w:val="000000" w:themeColor="text1"/>
          <w:sz w:val="21"/>
          <w:szCs w:val="21"/>
          <w14:textFill>
            <w14:solidFill>
              <w14:schemeClr w14:val="tx1"/>
            </w14:solidFill>
          </w14:textFill>
        </w:rPr>
        <w:t>、</w:t>
      </w:r>
      <w:r>
        <w:rPr>
          <w:rFonts w:hint="eastAsia" w:ascii="宋体" w:hAnsi="宋体" w:cs="宋体"/>
          <w:bCs w:val="0"/>
          <w:color w:val="000000" w:themeColor="text1"/>
          <w:sz w:val="21"/>
          <w:szCs w:val="21"/>
          <w14:textFill>
            <w14:solidFill>
              <w14:schemeClr w14:val="tx1"/>
            </w14:solidFill>
          </w14:textFill>
        </w:rPr>
        <w:t>语言能力丧失</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指因疾病或意外伤害导致语言能力完全丧失，经过积极治疗至少12个月（声带完全切除不受此时间限制），仍无法通过现有医疗手段恢复。</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精神心理因素所致的语言能力丧失不在保障范围内。</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二</w:t>
      </w:r>
      <w:r>
        <w:rPr>
          <w:rFonts w:ascii="宋体" w:hAnsi="宋体"/>
          <w:b/>
          <w:color w:val="000000" w:themeColor="text1"/>
          <w:kern w:val="0"/>
          <w:szCs w:val="21"/>
          <w14:textFill>
            <w14:solidFill>
              <w14:schemeClr w14:val="tx1"/>
            </w14:solidFill>
          </w14:textFill>
        </w:rPr>
        <w:t>十四、</w:t>
      </w:r>
      <w:r>
        <w:rPr>
          <w:rFonts w:hint="eastAsia" w:ascii="宋体" w:hAnsi="宋体"/>
          <w:b/>
          <w:color w:val="000000" w:themeColor="text1"/>
          <w:kern w:val="0"/>
          <w:szCs w:val="21"/>
          <w14:textFill>
            <w14:solidFill>
              <w14:schemeClr w14:val="tx1"/>
            </w14:solidFill>
          </w14:textFill>
        </w:rPr>
        <w:t>重型再生障碍性贫血</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指因骨髓造血功能慢性持续性衰竭导致的贫血、中性粒细胞减少及血小板减少，且须满足下列全部条件：</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（1）骨髓穿刺检查或骨髓活检结果支持诊断：骨髓细胞增生程度&lt;正常的25%；如≥正常的25%但&lt;50%，则残存的造血细胞应&lt;30%；</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（2）外周血象须具备以下三项条件中的两项：</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①中性粒细胞绝对值&lt;0.5×109/L；</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②网织红细胞计数&lt;20×109/L；</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③血小板绝对值&lt;20×109/L。</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二</w:t>
      </w:r>
      <w:r>
        <w:rPr>
          <w:rFonts w:ascii="宋体" w:hAnsi="宋体"/>
          <w:b/>
          <w:color w:val="000000" w:themeColor="text1"/>
          <w:kern w:val="0"/>
          <w:szCs w:val="21"/>
          <w14:textFill>
            <w14:solidFill>
              <w14:schemeClr w14:val="tx1"/>
            </w14:solidFill>
          </w14:textFill>
        </w:rPr>
        <w:t>十五、</w:t>
      </w:r>
      <w:r>
        <w:rPr>
          <w:rFonts w:hint="eastAsia" w:ascii="宋体" w:hAnsi="宋体" w:cs="宋体"/>
          <w:b/>
          <w:bCs/>
          <w:color w:val="000000" w:themeColor="text1"/>
          <w:szCs w:val="21"/>
          <w14:textFill>
            <w14:solidFill>
              <w14:schemeClr w14:val="tx1"/>
            </w14:solidFill>
          </w14:textFill>
        </w:rPr>
        <w:t>主动脉手术</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指为治疗主动脉疾病或主动脉创伤，已经实施了开胸（含胸腔镜下）或开腹（含腹腔镜下）进行的切除、置换、修补病损主动脉血管、主动脉创伤后修复的手术。主动脉指升主动脉、主动脉弓和降主动脉（含胸主动脉和腹主动脉），不包括升主动脉、主动脉弓和降主动脉的分支血管。</w:t>
      </w:r>
    </w:p>
    <w:p>
      <w:pPr>
        <w:autoSpaceDE w:val="0"/>
        <w:autoSpaceDN w:val="0"/>
        <w:adjustRightInd w:val="0"/>
        <w:spacing w:after="50" w:line="360" w:lineRule="auto"/>
        <w:ind w:firstLine="432"/>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所有未实施开胸或开腹的动脉内介入治疗不在保障范围内。</w:t>
      </w:r>
    </w:p>
    <w:p>
      <w:pPr>
        <w:pStyle w:val="3"/>
        <w:tabs>
          <w:tab w:val="left" w:pos="945"/>
        </w:tabs>
        <w:spacing w:before="0" w:after="0" w:line="240" w:lineRule="auto"/>
        <w:ind w:firstLine="420" w:firstLineChars="200"/>
        <w:rPr>
          <w:rFonts w:ascii="宋体" w:hAnsi="宋体" w:cs="宋体"/>
          <w:bCs w:val="0"/>
          <w:color w:val="000000" w:themeColor="text1"/>
          <w:sz w:val="21"/>
          <w:szCs w:val="21"/>
          <w14:textFill>
            <w14:solidFill>
              <w14:schemeClr w14:val="tx1"/>
            </w14:solidFill>
          </w14:textFill>
        </w:rPr>
      </w:pPr>
      <w:r>
        <w:rPr>
          <w:rFonts w:hint="eastAsia" w:ascii="宋体" w:hAnsi="宋体" w:cs="宋体"/>
          <w:bCs w:val="0"/>
          <w:color w:val="000000" w:themeColor="text1"/>
          <w:sz w:val="21"/>
          <w:szCs w:val="21"/>
          <w14:textFill>
            <w14:solidFill>
              <w14:schemeClr w14:val="tx1"/>
            </w14:solidFill>
          </w14:textFill>
        </w:rPr>
        <w:t>二</w:t>
      </w:r>
      <w:r>
        <w:rPr>
          <w:rFonts w:ascii="宋体" w:hAnsi="宋体" w:cs="宋体"/>
          <w:bCs w:val="0"/>
          <w:color w:val="000000" w:themeColor="text1"/>
          <w:sz w:val="21"/>
          <w:szCs w:val="21"/>
          <w14:textFill>
            <w14:solidFill>
              <w14:schemeClr w14:val="tx1"/>
            </w14:solidFill>
          </w14:textFill>
        </w:rPr>
        <w:t>十六、</w:t>
      </w:r>
      <w:r>
        <w:rPr>
          <w:rFonts w:hint="eastAsia" w:ascii="宋体" w:hAnsi="宋体" w:cs="宋体"/>
          <w:bCs w:val="0"/>
          <w:color w:val="000000" w:themeColor="text1"/>
          <w:sz w:val="21"/>
          <w:szCs w:val="21"/>
          <w14:textFill>
            <w14:solidFill>
              <w14:schemeClr w14:val="tx1"/>
            </w14:solidFill>
          </w14:textFill>
        </w:rPr>
        <w:t>严重慢性呼吸衰竭</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指因慢性呼吸系统疾病导致永久不可逆性的呼吸衰竭，经过积极治疗180天后满足以下所有条件：</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（1）静息时出现呼吸困难；</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（2）肺功能第一秒用力呼气容积（FEV1）占预计值的百分比＜30%；</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（3）在静息状态、呼吸空气条件下，动脉血氧分压（PaO2）＜50mmHg。</w:t>
      </w:r>
    </w:p>
    <w:p>
      <w:pPr>
        <w:pStyle w:val="3"/>
        <w:tabs>
          <w:tab w:val="left" w:pos="945"/>
        </w:tabs>
        <w:spacing w:before="0" w:after="0" w:line="240" w:lineRule="auto"/>
        <w:ind w:firstLine="526" w:firstLineChars="250"/>
        <w:rPr>
          <w:rFonts w:ascii="宋体" w:hAnsi="宋体" w:cs="宋体"/>
          <w:bCs w:val="0"/>
          <w:color w:val="000000" w:themeColor="text1"/>
          <w:sz w:val="21"/>
          <w:szCs w:val="21"/>
          <w14:textFill>
            <w14:solidFill>
              <w14:schemeClr w14:val="tx1"/>
            </w14:solidFill>
          </w14:textFill>
        </w:rPr>
      </w:pPr>
      <w:r>
        <w:rPr>
          <w:rFonts w:hint="eastAsia" w:ascii="宋体" w:hAnsi="宋体" w:cs="宋体"/>
          <w:bCs w:val="0"/>
          <w:color w:val="000000" w:themeColor="text1"/>
          <w:sz w:val="21"/>
          <w:szCs w:val="21"/>
          <w14:textFill>
            <w14:solidFill>
              <w14:schemeClr w14:val="tx1"/>
            </w14:solidFill>
          </w14:textFill>
        </w:rPr>
        <w:t>二</w:t>
      </w:r>
      <w:r>
        <w:rPr>
          <w:rFonts w:ascii="宋体" w:hAnsi="宋体" w:cs="宋体"/>
          <w:bCs w:val="0"/>
          <w:color w:val="000000" w:themeColor="text1"/>
          <w:sz w:val="21"/>
          <w:szCs w:val="21"/>
          <w14:textFill>
            <w14:solidFill>
              <w14:schemeClr w14:val="tx1"/>
            </w14:solidFill>
          </w14:textFill>
        </w:rPr>
        <w:t>十</w:t>
      </w:r>
      <w:r>
        <w:rPr>
          <w:rFonts w:hint="eastAsia" w:ascii="宋体" w:hAnsi="宋体" w:cs="宋体"/>
          <w:bCs w:val="0"/>
          <w:color w:val="000000" w:themeColor="text1"/>
          <w:sz w:val="21"/>
          <w:szCs w:val="21"/>
          <w14:textFill>
            <w14:solidFill>
              <w14:schemeClr w14:val="tx1"/>
            </w14:solidFill>
          </w14:textFill>
        </w:rPr>
        <w:t>七</w:t>
      </w:r>
      <w:r>
        <w:rPr>
          <w:rFonts w:ascii="宋体" w:hAnsi="宋体" w:cs="宋体"/>
          <w:bCs w:val="0"/>
          <w:color w:val="000000" w:themeColor="text1"/>
          <w:sz w:val="21"/>
          <w:szCs w:val="21"/>
          <w14:textFill>
            <w14:solidFill>
              <w14:schemeClr w14:val="tx1"/>
            </w14:solidFill>
          </w14:textFill>
        </w:rPr>
        <w:t>、</w:t>
      </w:r>
      <w:r>
        <w:rPr>
          <w:rFonts w:hint="eastAsia" w:ascii="宋体" w:hAnsi="宋体" w:cs="宋体"/>
          <w:bCs w:val="0"/>
          <w:color w:val="000000" w:themeColor="text1"/>
          <w:sz w:val="21"/>
          <w:szCs w:val="21"/>
          <w14:textFill>
            <w14:solidFill>
              <w14:schemeClr w14:val="tx1"/>
            </w14:solidFill>
          </w14:textFill>
        </w:rPr>
        <w:t>严重克罗恩病</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 xml:space="preserve">指一种慢性肉芽肿性肠炎，具有特征性的克罗恩病（Crohn病）病理组织学变化，须根据组织病理学特点诊断，且已经造成瘘管形成并伴有肠梗阻或肠穿孔。 </w:t>
      </w:r>
    </w:p>
    <w:p>
      <w:pPr>
        <w:pStyle w:val="3"/>
        <w:tabs>
          <w:tab w:val="left" w:pos="945"/>
        </w:tabs>
        <w:spacing w:before="0" w:after="0" w:line="240" w:lineRule="auto"/>
        <w:ind w:firstLine="420" w:firstLineChars="200"/>
        <w:rPr>
          <w:rFonts w:ascii="宋体" w:hAnsi="宋体" w:cs="宋体"/>
          <w:bCs w:val="0"/>
          <w:color w:val="000000" w:themeColor="text1"/>
          <w:sz w:val="21"/>
          <w:szCs w:val="21"/>
          <w14:textFill>
            <w14:solidFill>
              <w14:schemeClr w14:val="tx1"/>
            </w14:solidFill>
          </w14:textFill>
        </w:rPr>
      </w:pPr>
      <w:r>
        <w:rPr>
          <w:rFonts w:hint="eastAsia" w:ascii="宋体" w:hAnsi="宋体" w:cs="宋体"/>
          <w:bCs w:val="0"/>
          <w:color w:val="000000" w:themeColor="text1"/>
          <w:sz w:val="21"/>
          <w:szCs w:val="21"/>
          <w14:textFill>
            <w14:solidFill>
              <w14:schemeClr w14:val="tx1"/>
            </w14:solidFill>
          </w14:textFill>
        </w:rPr>
        <w:t>二十</w:t>
      </w:r>
      <w:r>
        <w:rPr>
          <w:rFonts w:ascii="宋体" w:hAnsi="宋体" w:cs="宋体"/>
          <w:bCs w:val="0"/>
          <w:color w:val="000000" w:themeColor="text1"/>
          <w:sz w:val="21"/>
          <w:szCs w:val="21"/>
          <w14:textFill>
            <w14:solidFill>
              <w14:schemeClr w14:val="tx1"/>
            </w14:solidFill>
          </w14:textFill>
        </w:rPr>
        <w:t>八、</w:t>
      </w:r>
      <w:r>
        <w:rPr>
          <w:rFonts w:hint="eastAsia" w:ascii="宋体" w:hAnsi="宋体" w:cs="宋体"/>
          <w:bCs w:val="0"/>
          <w:color w:val="000000" w:themeColor="text1"/>
          <w:sz w:val="21"/>
          <w:szCs w:val="21"/>
          <w14:textFill>
            <w14:solidFill>
              <w14:schemeClr w14:val="tx1"/>
            </w14:solidFill>
          </w14:textFill>
        </w:rPr>
        <w:t>严重溃疡性结肠炎</w:t>
      </w:r>
    </w:p>
    <w:p>
      <w:pPr>
        <w:autoSpaceDE w:val="0"/>
        <w:autoSpaceDN w:val="0"/>
        <w:adjustRightInd w:val="0"/>
        <w:spacing w:after="50" w:line="360" w:lineRule="auto"/>
        <w:ind w:firstLine="432"/>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指伴有致命性电解质紊乱的急性暴发性溃疡性结肠炎，病变已经累及全结肠，表现为严重的血便和系统性症状体征，须根据组织病理学特点诊断，且已经实施了结肠切除或回肠造瘘术。</w:t>
      </w:r>
    </w:p>
    <w:p>
      <w:pPr>
        <w:autoSpaceDE w:val="0"/>
        <w:autoSpaceDN w:val="0"/>
        <w:adjustRightInd w:val="0"/>
        <w:spacing w:after="50" w:line="360" w:lineRule="auto"/>
        <w:ind w:firstLine="432"/>
        <w:rPr>
          <w:rFonts w:ascii="宋体" w:cs="宋体"/>
          <w:b/>
          <w:color w:val="000000" w:themeColor="text1"/>
          <w:szCs w:val="21"/>
          <w:lang w:val="zh-CN"/>
          <w14:textFill>
            <w14:solidFill>
              <w14:schemeClr w14:val="tx1"/>
            </w14:solidFill>
          </w14:textFill>
        </w:rPr>
      </w:pPr>
      <w:r>
        <w:rPr>
          <w:rFonts w:hint="eastAsia" w:ascii="宋体" w:cs="宋体"/>
          <w:b/>
          <w:color w:val="000000" w:themeColor="text1"/>
          <w:szCs w:val="21"/>
          <w:lang w:val="zh-CN"/>
          <w14:textFill>
            <w14:solidFill>
              <w14:schemeClr w14:val="tx1"/>
            </w14:solidFill>
          </w14:textFill>
        </w:rPr>
        <w:t>二十九、严重川崎病</w:t>
      </w:r>
    </w:p>
    <w:p>
      <w:pPr>
        <w:adjustRightInd w:val="0"/>
        <w:spacing w:after="156" w:afterLines="50" w:line="360" w:lineRule="auto"/>
        <w:ind w:firstLine="420" w:firstLineChars="200"/>
        <w:jc w:val="center"/>
        <w:textAlignment w:val="baseline"/>
        <w:rPr>
          <w:rFonts w:ascii="宋体" w:cs="宋体"/>
          <w:color w:val="000000" w:themeColor="text1"/>
          <w:szCs w:val="21"/>
          <w:lang w:val="zh-CN"/>
          <w14:textFill>
            <w14:solidFill>
              <w14:schemeClr w14:val="tx1"/>
            </w14:solidFill>
          </w14:textFill>
        </w:rPr>
      </w:pPr>
      <w:r>
        <w:rPr>
          <w:rFonts w:hint="eastAsia" w:ascii="宋体" w:cs="宋体"/>
          <w:color w:val="000000" w:themeColor="text1"/>
          <w:szCs w:val="21"/>
          <w:lang w:val="zh-CN"/>
          <w14:textFill>
            <w14:solidFill>
              <w14:schemeClr w14:val="tx1"/>
            </w14:solidFill>
          </w14:textFill>
        </w:rPr>
        <w:t>指一种血管炎综合征，临床表现为急性发热，皮肤粘膜病损和淋巴结肿大。本病须经专科医生明确诊断，同时须由血管造影或超声心动图检查证实，满足下列至少一项条件：</w:t>
      </w:r>
    </w:p>
    <w:p>
      <w:pPr>
        <w:adjustRightInd w:val="0"/>
        <w:spacing w:after="156" w:afterLines="50" w:line="360" w:lineRule="auto"/>
        <w:ind w:firstLine="420" w:firstLineChars="200"/>
        <w:textAlignment w:val="baseline"/>
        <w:rPr>
          <w:rFonts w:ascii="宋体" w:cs="宋体"/>
          <w:color w:val="000000" w:themeColor="text1"/>
          <w:szCs w:val="21"/>
          <w:lang w:val="zh-CN"/>
          <w14:textFill>
            <w14:solidFill>
              <w14:schemeClr w14:val="tx1"/>
            </w14:solidFill>
          </w14:textFill>
        </w:rPr>
      </w:pPr>
      <w:r>
        <w:rPr>
          <w:rFonts w:hint="eastAsia" w:ascii="宋体" w:cs="宋体"/>
          <w:color w:val="000000" w:themeColor="text1"/>
          <w:szCs w:val="21"/>
          <w:lang w:val="zh-CN"/>
          <w14:textFill>
            <w14:solidFill>
              <w14:schemeClr w14:val="tx1"/>
            </w14:solidFill>
          </w14:textFill>
        </w:rPr>
        <w:t>（1）伴有冠状动脉瘤，且冠状动脉瘤于最初急性发病后持续至少180天；</w:t>
      </w:r>
    </w:p>
    <w:p>
      <w:pPr>
        <w:adjustRightInd w:val="0"/>
        <w:spacing w:after="156" w:afterLines="50" w:line="360" w:lineRule="auto"/>
        <w:ind w:firstLine="420" w:firstLineChars="200"/>
        <w:textAlignment w:val="baseline"/>
        <w:rPr>
          <w:rFonts w:ascii="宋体" w:cs="宋体"/>
          <w:color w:val="000000" w:themeColor="text1"/>
          <w:szCs w:val="21"/>
          <w:lang w:val="zh-CN"/>
          <w14:textFill>
            <w14:solidFill>
              <w14:schemeClr w14:val="tx1"/>
            </w14:solidFill>
          </w14:textFill>
        </w:rPr>
      </w:pPr>
      <w:r>
        <w:rPr>
          <w:rFonts w:hint="eastAsia" w:ascii="宋体" w:cs="宋体"/>
          <w:color w:val="000000" w:themeColor="text1"/>
          <w:szCs w:val="21"/>
          <w:lang w:val="zh-CN"/>
          <w14:textFill>
            <w14:solidFill>
              <w14:schemeClr w14:val="tx1"/>
            </w14:solidFill>
          </w14:textFill>
        </w:rPr>
        <w:t>（2）伴有冠状动脉瘤，且实际接受了对冠状动脉瘤进行的手术治疗。</w:t>
      </w:r>
    </w:p>
    <w:p>
      <w:pPr>
        <w:adjustRightInd w:val="0"/>
        <w:spacing w:after="156" w:afterLines="50" w:line="360" w:lineRule="auto"/>
        <w:ind w:firstLine="420" w:firstLineChars="200"/>
        <w:jc w:val="center"/>
        <w:textAlignment w:val="baseline"/>
        <w:rPr>
          <w:rFonts w:ascii="宋体"/>
          <w:b/>
          <w:color w:val="000000" w:themeColor="text1"/>
          <w:kern w:val="0"/>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第七部分</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kern w:val="0"/>
          <w:szCs w:val="21"/>
          <w14:textFill>
            <w14:solidFill>
              <w14:schemeClr w14:val="tx1"/>
            </w14:solidFill>
          </w14:textFill>
        </w:rPr>
        <w:t>释义</w:t>
      </w:r>
    </w:p>
    <w:p>
      <w:pPr>
        <w:widowControl/>
        <w:autoSpaceDE w:val="0"/>
        <w:autoSpaceDN w:val="0"/>
        <w:adjustRightInd w:val="0"/>
        <w:spacing w:after="156" w:afterLines="50" w:line="360" w:lineRule="auto"/>
        <w:ind w:firstLine="420" w:firstLineChars="200"/>
        <w:jc w:val="left"/>
        <w:textAlignment w:val="bottom"/>
        <w:rPr>
          <w:rFonts w:ascii="宋体"/>
          <w:bCs/>
          <w:color w:val="000000" w:themeColor="text1"/>
          <w:szCs w:val="21"/>
          <w14:textFill>
            <w14:solidFill>
              <w14:schemeClr w14:val="tx1"/>
            </w14:solidFill>
          </w14:textFill>
        </w:rPr>
      </w:pPr>
      <w:r>
        <w:rPr>
          <w:rFonts w:hint="eastAsia" w:ascii="宋体" w:hAnsi="宋体" w:cs="幼圆"/>
          <w:b/>
          <w:bCs/>
          <w:color w:val="000000" w:themeColor="text1"/>
          <w:kern w:val="0"/>
          <w:szCs w:val="21"/>
          <w14:textFill>
            <w14:solidFill>
              <w14:schemeClr w14:val="tx1"/>
            </w14:solidFill>
          </w14:textFill>
        </w:rPr>
        <w:t>第十三条</w:t>
      </w:r>
      <w:r>
        <w:rPr>
          <w:rFonts w:ascii="宋体" w:hAnsi="宋体" w:cs="幼圆"/>
          <w:b/>
          <w:bCs/>
          <w:color w:val="000000" w:themeColor="text1"/>
          <w:kern w:val="0"/>
          <w:szCs w:val="21"/>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除另有约定外，本附加险合同中的下列词语具有如下含义：</w:t>
      </w:r>
    </w:p>
    <w:p>
      <w:pPr>
        <w:widowControl/>
        <w:autoSpaceDE w:val="0"/>
        <w:autoSpaceDN w:val="0"/>
        <w:adjustRightInd w:val="0"/>
        <w:spacing w:after="156" w:afterLines="50" w:line="360" w:lineRule="auto"/>
        <w:ind w:firstLine="420" w:firstLineChars="200"/>
        <w:jc w:val="left"/>
        <w:textAlignment w:val="bottom"/>
        <w:rPr>
          <w:rFonts w:ascii="宋体" w:hAns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一、医院：</w:t>
      </w:r>
      <w:r>
        <w:rPr>
          <w:rFonts w:hint="eastAsia" w:ascii="宋体" w:hAnsi="宋体"/>
          <w:color w:val="000000" w:themeColor="text1"/>
          <w:kern w:val="0"/>
          <w:szCs w:val="21"/>
          <w14:textFill>
            <w14:solidFill>
              <w14:schemeClr w14:val="tx1"/>
            </w14:solidFill>
          </w14:textFill>
        </w:rPr>
        <w:t>指中华人民共和国境内（</w:t>
      </w:r>
      <w:r>
        <w:rPr>
          <w:rFonts w:hint="eastAsia" w:ascii="宋体" w:hAnsi="宋体"/>
          <w:b/>
          <w:bCs/>
          <w:color w:val="000000" w:themeColor="text1"/>
          <w:kern w:val="0"/>
          <w:szCs w:val="21"/>
          <w14:textFill>
            <w14:solidFill>
              <w14:schemeClr w14:val="tx1"/>
            </w14:solidFill>
          </w14:textFill>
        </w:rPr>
        <w:t>不包括香港特别行政区、澳门特别行政区以及台湾地区</w:t>
      </w:r>
      <w:r>
        <w:rPr>
          <w:rFonts w:hint="eastAsia" w:ascii="宋体" w:hAnsi="宋体"/>
          <w:color w:val="000000" w:themeColor="text1"/>
          <w:kern w:val="0"/>
          <w:szCs w:val="21"/>
          <w14:textFill>
            <w14:solidFill>
              <w14:schemeClr w14:val="tx1"/>
            </w14:solidFill>
          </w14:textFill>
        </w:rPr>
        <w:t>）合法经营的二级以上（含二级）医院或保险人认可的医疗机构；</w:t>
      </w:r>
    </w:p>
    <w:p>
      <w:pPr>
        <w:widowControl/>
        <w:autoSpaceDE w:val="0"/>
        <w:autoSpaceDN w:val="0"/>
        <w:adjustRightInd w:val="0"/>
        <w:spacing w:after="156" w:afterLines="50" w:line="360" w:lineRule="auto"/>
        <w:ind w:firstLine="420" w:firstLineChars="200"/>
        <w:jc w:val="left"/>
        <w:textAlignment w:val="bottom"/>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保险人认可的医疗机构是指保险人在保险单、批单或者批注中列明的医疗机构。</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二、初次确诊</w:t>
      </w:r>
      <w:r>
        <w:rPr>
          <w:rFonts w:hint="eastAsia" w:ascii="宋体" w:hAnsi="宋体"/>
          <w:color w:val="000000" w:themeColor="text1"/>
          <w:kern w:val="0"/>
          <w:szCs w:val="21"/>
          <w14:textFill>
            <w14:solidFill>
              <w14:schemeClr w14:val="tx1"/>
            </w14:solidFill>
          </w14:textFill>
        </w:rPr>
        <w:t>：指被保险人自出生之日起第一次经医院确诊患有某种疾病，而不是指本附加险合同生效</w:t>
      </w:r>
      <w:r>
        <w:rPr>
          <w:rFonts w:hint="eastAsia"/>
          <w:color w:val="000000" w:themeColor="text1"/>
          <w14:textFill>
            <w14:solidFill>
              <w14:schemeClr w14:val="tx1"/>
            </w14:solidFill>
          </w14:textFill>
        </w:rPr>
        <w:t>之</w:t>
      </w:r>
      <w:r>
        <w:rPr>
          <w:rFonts w:hint="eastAsia" w:ascii="宋体" w:hAnsi="宋体"/>
          <w:color w:val="000000" w:themeColor="text1"/>
          <w:kern w:val="0"/>
          <w:szCs w:val="21"/>
          <w14:textFill>
            <w14:solidFill>
              <w14:schemeClr w14:val="tx1"/>
            </w14:solidFill>
          </w14:textFill>
        </w:rPr>
        <w:t>后第一次经医院确诊患有某种疾病。例如，</w:t>
      </w:r>
      <w:r>
        <w:rPr>
          <w:rFonts w:ascii="宋体" w:hAnsi="宋体"/>
          <w:color w:val="000000" w:themeColor="text1"/>
          <w:kern w:val="0"/>
          <w:szCs w:val="21"/>
          <w14:textFill>
            <w14:solidFill>
              <w14:schemeClr w14:val="tx1"/>
            </w14:solidFill>
          </w14:textFill>
        </w:rPr>
        <w:t>2010</w:t>
      </w:r>
      <w:r>
        <w:rPr>
          <w:rFonts w:hint="eastAsia" w:ascii="宋体" w:hAnsi="宋体"/>
          <w:color w:val="000000" w:themeColor="text1"/>
          <w:kern w:val="0"/>
          <w:szCs w:val="21"/>
          <w14:textFill>
            <w14:solidFill>
              <w14:schemeClr w14:val="tx1"/>
            </w14:solidFill>
          </w14:textFill>
        </w:rPr>
        <w:t>年</w:t>
      </w:r>
      <w:r>
        <w:rPr>
          <w:rFonts w:ascii="宋体" w:hAnsi="宋体"/>
          <w:color w:val="000000" w:themeColor="text1"/>
          <w:kern w:val="0"/>
          <w:szCs w:val="21"/>
          <w14:textFill>
            <w14:solidFill>
              <w14:schemeClr w14:val="tx1"/>
            </w14:solidFill>
          </w14:textFill>
        </w:rPr>
        <w:t>1</w:t>
      </w:r>
      <w:r>
        <w:rPr>
          <w:rFonts w:hint="eastAsia" w:ascii="宋体" w:hAnsi="宋体"/>
          <w:color w:val="000000" w:themeColor="text1"/>
          <w:kern w:val="0"/>
          <w:szCs w:val="21"/>
          <w14:textFill>
            <w14:solidFill>
              <w14:schemeClr w14:val="tx1"/>
            </w14:solidFill>
          </w14:textFill>
        </w:rPr>
        <w:t>月</w:t>
      </w:r>
      <w:r>
        <w:rPr>
          <w:rFonts w:ascii="宋体" w:hAnsi="宋体"/>
          <w:color w:val="000000" w:themeColor="text1"/>
          <w:kern w:val="0"/>
          <w:szCs w:val="21"/>
          <w14:textFill>
            <w14:solidFill>
              <w14:schemeClr w14:val="tx1"/>
            </w14:solidFill>
          </w14:textFill>
        </w:rPr>
        <w:t>1</w:t>
      </w:r>
      <w:r>
        <w:rPr>
          <w:rFonts w:hint="eastAsia" w:ascii="宋体" w:hAnsi="宋体"/>
          <w:color w:val="000000" w:themeColor="text1"/>
          <w:kern w:val="0"/>
          <w:szCs w:val="21"/>
          <w14:textFill>
            <w14:solidFill>
              <w14:schemeClr w14:val="tx1"/>
            </w14:solidFill>
          </w14:textFill>
        </w:rPr>
        <w:t>日本附加险合同经</w:t>
      </w:r>
      <w:r>
        <w:rPr>
          <w:rFonts w:hint="eastAsia" w:ascii="宋体" w:hAnsi="宋体"/>
          <w:b/>
          <w:color w:val="000000" w:themeColor="text1"/>
          <w:kern w:val="0"/>
          <w:szCs w:val="21"/>
          <w14:textFill>
            <w14:solidFill>
              <w14:schemeClr w14:val="tx1"/>
            </w14:solidFill>
          </w14:textFill>
        </w:rPr>
        <w:t>首次投保（见释义）</w:t>
      </w:r>
      <w:r>
        <w:rPr>
          <w:rFonts w:hint="eastAsia" w:ascii="宋体" w:hAnsi="宋体"/>
          <w:color w:val="000000" w:themeColor="text1"/>
          <w:kern w:val="0"/>
          <w:szCs w:val="21"/>
          <w14:textFill>
            <w14:solidFill>
              <w14:schemeClr w14:val="tx1"/>
            </w14:solidFill>
          </w14:textFill>
        </w:rPr>
        <w:t>学生平安保险后生效，若：</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（一）</w:t>
      </w:r>
      <w:r>
        <w:rPr>
          <w:rFonts w:ascii="宋体" w:hAnsi="宋体"/>
          <w:color w:val="000000" w:themeColor="text1"/>
          <w:kern w:val="0"/>
          <w:szCs w:val="21"/>
          <w14:textFill>
            <w14:solidFill>
              <w14:schemeClr w14:val="tx1"/>
            </w14:solidFill>
          </w14:textFill>
        </w:rPr>
        <w:t>2009</w:t>
      </w:r>
      <w:r>
        <w:rPr>
          <w:rFonts w:hint="eastAsia" w:ascii="宋体" w:hAnsi="宋体"/>
          <w:color w:val="000000" w:themeColor="text1"/>
          <w:kern w:val="0"/>
          <w:szCs w:val="21"/>
          <w14:textFill>
            <w14:solidFill>
              <w14:schemeClr w14:val="tx1"/>
            </w14:solidFill>
          </w14:textFill>
        </w:rPr>
        <w:t>年</w:t>
      </w:r>
      <w:r>
        <w:rPr>
          <w:rFonts w:ascii="宋体" w:hAnsi="宋体"/>
          <w:color w:val="000000" w:themeColor="text1"/>
          <w:kern w:val="0"/>
          <w:szCs w:val="21"/>
          <w14:textFill>
            <w14:solidFill>
              <w14:schemeClr w14:val="tx1"/>
            </w14:solidFill>
          </w14:textFill>
        </w:rPr>
        <w:t>1</w:t>
      </w:r>
      <w:r>
        <w:rPr>
          <w:rFonts w:hint="eastAsia" w:ascii="宋体" w:hAnsi="宋体"/>
          <w:color w:val="000000" w:themeColor="text1"/>
          <w:kern w:val="0"/>
          <w:szCs w:val="21"/>
          <w14:textFill>
            <w14:solidFill>
              <w14:schemeClr w14:val="tx1"/>
            </w14:solidFill>
          </w14:textFill>
        </w:rPr>
        <w:t>月</w:t>
      </w:r>
      <w:r>
        <w:rPr>
          <w:rFonts w:ascii="宋体" w:hAnsi="宋体"/>
          <w:color w:val="000000" w:themeColor="text1"/>
          <w:kern w:val="0"/>
          <w:szCs w:val="21"/>
          <w14:textFill>
            <w14:solidFill>
              <w14:schemeClr w14:val="tx1"/>
            </w14:solidFill>
          </w14:textFill>
        </w:rPr>
        <w:t>1</w:t>
      </w:r>
      <w:r>
        <w:rPr>
          <w:rFonts w:hint="eastAsia" w:ascii="宋体" w:hAnsi="宋体"/>
          <w:color w:val="000000" w:themeColor="text1"/>
          <w:kern w:val="0"/>
          <w:szCs w:val="21"/>
          <w14:textFill>
            <w14:solidFill>
              <w14:schemeClr w14:val="tx1"/>
            </w14:solidFill>
          </w14:textFill>
        </w:rPr>
        <w:t>日被保险人自出生后第一次经医院确诊罹患“恶性肿瘤”，因</w:t>
      </w:r>
      <w:r>
        <w:rPr>
          <w:rFonts w:ascii="宋体" w:hAnsi="宋体"/>
          <w:color w:val="000000" w:themeColor="text1"/>
          <w:kern w:val="0"/>
          <w:szCs w:val="21"/>
          <w14:textFill>
            <w14:solidFill>
              <w14:schemeClr w14:val="tx1"/>
            </w14:solidFill>
          </w14:textFill>
        </w:rPr>
        <w:t xml:space="preserve"> </w:t>
      </w:r>
      <w:r>
        <w:rPr>
          <w:rFonts w:hint="eastAsia" w:ascii="宋体" w:hAnsi="宋体"/>
          <w:color w:val="000000" w:themeColor="text1"/>
          <w:kern w:val="0"/>
          <w:szCs w:val="21"/>
          <w14:textFill>
            <w14:solidFill>
              <w14:schemeClr w14:val="tx1"/>
            </w14:solidFill>
          </w14:textFill>
        </w:rPr>
        <w:t>“初次确诊”发生在本附加险合同生效之前，故此情况不属于保险责任范围，保险人不承担保险责任；</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（二）</w:t>
      </w:r>
      <w:r>
        <w:rPr>
          <w:rFonts w:ascii="宋体" w:hAnsi="宋体"/>
          <w:color w:val="000000" w:themeColor="text1"/>
          <w:kern w:val="0"/>
          <w:szCs w:val="21"/>
          <w14:textFill>
            <w14:solidFill>
              <w14:schemeClr w14:val="tx1"/>
            </w14:solidFill>
          </w14:textFill>
        </w:rPr>
        <w:t>2010</w:t>
      </w:r>
      <w:r>
        <w:rPr>
          <w:rFonts w:hint="eastAsia" w:ascii="宋体" w:hAnsi="宋体"/>
          <w:color w:val="000000" w:themeColor="text1"/>
          <w:kern w:val="0"/>
          <w:szCs w:val="21"/>
          <w14:textFill>
            <w14:solidFill>
              <w14:schemeClr w14:val="tx1"/>
            </w14:solidFill>
          </w14:textFill>
        </w:rPr>
        <w:t>年</w:t>
      </w:r>
      <w:r>
        <w:rPr>
          <w:rFonts w:ascii="宋体" w:hAnsi="宋体"/>
          <w:color w:val="000000" w:themeColor="text1"/>
          <w:kern w:val="0"/>
          <w:szCs w:val="21"/>
          <w14:textFill>
            <w14:solidFill>
              <w14:schemeClr w14:val="tx1"/>
            </w14:solidFill>
          </w14:textFill>
        </w:rPr>
        <w:t>1</w:t>
      </w:r>
      <w:r>
        <w:rPr>
          <w:rFonts w:hint="eastAsia" w:ascii="宋体" w:hAnsi="宋体"/>
          <w:color w:val="000000" w:themeColor="text1"/>
          <w:kern w:val="0"/>
          <w:szCs w:val="21"/>
          <w14:textFill>
            <w14:solidFill>
              <w14:schemeClr w14:val="tx1"/>
            </w14:solidFill>
          </w14:textFill>
        </w:rPr>
        <w:t>月</w:t>
      </w:r>
      <w:r>
        <w:rPr>
          <w:rFonts w:ascii="宋体" w:hAnsi="宋体"/>
          <w:color w:val="000000" w:themeColor="text1"/>
          <w:kern w:val="0"/>
          <w:szCs w:val="21"/>
          <w14:textFill>
            <w14:solidFill>
              <w14:schemeClr w14:val="tx1"/>
            </w14:solidFill>
          </w14:textFill>
        </w:rPr>
        <w:t>15</w:t>
      </w:r>
      <w:r>
        <w:rPr>
          <w:rFonts w:hint="eastAsia" w:ascii="宋体" w:hAnsi="宋体"/>
          <w:color w:val="000000" w:themeColor="text1"/>
          <w:kern w:val="0"/>
          <w:szCs w:val="21"/>
          <w14:textFill>
            <w14:solidFill>
              <w14:schemeClr w14:val="tx1"/>
            </w14:solidFill>
          </w14:textFill>
        </w:rPr>
        <w:t>日被保险人自出生后第一次经医院确诊罹患“恶性肿瘤”，因</w:t>
      </w:r>
      <w:r>
        <w:rPr>
          <w:rFonts w:ascii="宋体" w:hAnsi="宋体"/>
          <w:color w:val="000000" w:themeColor="text1"/>
          <w:kern w:val="0"/>
          <w:szCs w:val="21"/>
          <w14:textFill>
            <w14:solidFill>
              <w14:schemeClr w14:val="tx1"/>
            </w14:solidFill>
          </w14:textFill>
        </w:rPr>
        <w:t xml:space="preserve"> </w:t>
      </w:r>
      <w:r>
        <w:rPr>
          <w:rFonts w:hint="eastAsia" w:ascii="宋体" w:hAnsi="宋体"/>
          <w:color w:val="000000" w:themeColor="text1"/>
          <w:kern w:val="0"/>
          <w:szCs w:val="21"/>
          <w14:textFill>
            <w14:solidFill>
              <w14:schemeClr w14:val="tx1"/>
            </w14:solidFill>
          </w14:textFill>
        </w:rPr>
        <w:t>“初次确诊”发生在本附加险合同生效之日起</w:t>
      </w:r>
      <w:r>
        <w:rPr>
          <w:rFonts w:ascii="宋体" w:hAnsi="宋体"/>
          <w:color w:val="000000" w:themeColor="text1"/>
          <w:kern w:val="0"/>
          <w:szCs w:val="21"/>
          <w14:textFill>
            <w14:solidFill>
              <w14:schemeClr w14:val="tx1"/>
            </w14:solidFill>
          </w14:textFill>
        </w:rPr>
        <w:t>30</w:t>
      </w:r>
      <w:r>
        <w:rPr>
          <w:rFonts w:hint="eastAsia" w:ascii="宋体" w:hAnsi="宋体"/>
          <w:color w:val="000000" w:themeColor="text1"/>
          <w:kern w:val="0"/>
          <w:szCs w:val="21"/>
          <w14:textFill>
            <w14:solidFill>
              <w14:schemeClr w14:val="tx1"/>
            </w14:solidFill>
          </w14:textFill>
        </w:rPr>
        <w:t>日内，故保险人按照本附加险合同对应所交保险费给付重大疾病保险金，本附加险合同终止；</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（三）</w:t>
      </w:r>
      <w:r>
        <w:rPr>
          <w:rFonts w:ascii="宋体" w:hAnsi="宋体"/>
          <w:color w:val="000000" w:themeColor="text1"/>
          <w:kern w:val="0"/>
          <w:szCs w:val="21"/>
          <w14:textFill>
            <w14:solidFill>
              <w14:schemeClr w14:val="tx1"/>
            </w14:solidFill>
          </w14:textFill>
        </w:rPr>
        <w:t>2010</w:t>
      </w:r>
      <w:r>
        <w:rPr>
          <w:rFonts w:hint="eastAsia" w:ascii="宋体" w:hAnsi="宋体"/>
          <w:color w:val="000000" w:themeColor="text1"/>
          <w:kern w:val="0"/>
          <w:szCs w:val="21"/>
          <w14:textFill>
            <w14:solidFill>
              <w14:schemeClr w14:val="tx1"/>
            </w14:solidFill>
          </w14:textFill>
        </w:rPr>
        <w:t>年</w:t>
      </w:r>
      <w:r>
        <w:rPr>
          <w:rFonts w:ascii="宋体" w:hAnsi="宋体"/>
          <w:color w:val="000000" w:themeColor="text1"/>
          <w:kern w:val="0"/>
          <w:szCs w:val="21"/>
          <w14:textFill>
            <w14:solidFill>
              <w14:schemeClr w14:val="tx1"/>
            </w14:solidFill>
          </w14:textFill>
        </w:rPr>
        <w:t>2</w:t>
      </w:r>
      <w:r>
        <w:rPr>
          <w:rFonts w:hint="eastAsia" w:ascii="宋体" w:hAnsi="宋体"/>
          <w:color w:val="000000" w:themeColor="text1"/>
          <w:kern w:val="0"/>
          <w:szCs w:val="21"/>
          <w14:textFill>
            <w14:solidFill>
              <w14:schemeClr w14:val="tx1"/>
            </w14:solidFill>
          </w14:textFill>
        </w:rPr>
        <w:t>月</w:t>
      </w:r>
      <w:r>
        <w:rPr>
          <w:rFonts w:ascii="宋体" w:hAnsi="宋体"/>
          <w:color w:val="000000" w:themeColor="text1"/>
          <w:kern w:val="0"/>
          <w:szCs w:val="21"/>
          <w14:textFill>
            <w14:solidFill>
              <w14:schemeClr w14:val="tx1"/>
            </w14:solidFill>
          </w14:textFill>
        </w:rPr>
        <w:t>1</w:t>
      </w:r>
      <w:r>
        <w:rPr>
          <w:rFonts w:hint="eastAsia" w:ascii="宋体" w:hAnsi="宋体"/>
          <w:color w:val="000000" w:themeColor="text1"/>
          <w:kern w:val="0"/>
          <w:szCs w:val="21"/>
          <w14:textFill>
            <w14:solidFill>
              <w14:schemeClr w14:val="tx1"/>
            </w14:solidFill>
          </w14:textFill>
        </w:rPr>
        <w:t>日被保险人自出生后第一次经医院确诊罹患“恶性肿瘤”，因“初次确诊”发生在本附加险合同生效之日起</w:t>
      </w:r>
      <w:r>
        <w:rPr>
          <w:rFonts w:ascii="宋体" w:hAnsi="宋体"/>
          <w:color w:val="000000" w:themeColor="text1"/>
          <w:kern w:val="0"/>
          <w:szCs w:val="21"/>
          <w14:textFill>
            <w14:solidFill>
              <w14:schemeClr w14:val="tx1"/>
            </w14:solidFill>
          </w14:textFill>
        </w:rPr>
        <w:t>30</w:t>
      </w:r>
      <w:r>
        <w:rPr>
          <w:rFonts w:hint="eastAsia" w:ascii="宋体" w:hAnsi="宋体"/>
          <w:color w:val="000000" w:themeColor="text1"/>
          <w:kern w:val="0"/>
          <w:szCs w:val="21"/>
          <w14:textFill>
            <w14:solidFill>
              <w14:schemeClr w14:val="tx1"/>
            </w14:solidFill>
          </w14:textFill>
        </w:rPr>
        <w:t>日后，且不涉及其它责任免除事项，保险人需按本附加险合同承担重大疾病保险金给付责任，本附加险合同终止。</w:t>
      </w:r>
    </w:p>
    <w:p>
      <w:pPr>
        <w:spacing w:after="156" w:afterLines="50" w:line="360" w:lineRule="auto"/>
        <w:ind w:firstLine="420"/>
        <w:rPr>
          <w:b/>
          <w:color w:val="000000" w:themeColor="text1"/>
          <w14:textFill>
            <w14:solidFill>
              <w14:schemeClr w14:val="tx1"/>
            </w14:solidFill>
          </w14:textFill>
        </w:rPr>
      </w:pPr>
      <w:r>
        <w:rPr>
          <w:rFonts w:hint="eastAsia" w:ascii="宋体" w:hAnsi="宋体"/>
          <w:b/>
          <w:color w:val="000000" w:themeColor="text1"/>
          <w:szCs w:val="21"/>
          <w14:textFill>
            <w14:solidFill>
              <w14:schemeClr w14:val="tx1"/>
            </w14:solidFill>
          </w14:textFill>
        </w:rPr>
        <w:t>三、首次投保：</w:t>
      </w:r>
      <w:r>
        <w:rPr>
          <w:rFonts w:hint="eastAsia" w:ascii="宋体" w:hAnsi="宋体"/>
          <w:color w:val="000000" w:themeColor="text1"/>
          <w:szCs w:val="21"/>
          <w14:textFill>
            <w14:solidFill>
              <w14:schemeClr w14:val="tx1"/>
            </w14:solidFill>
          </w14:textFill>
        </w:rPr>
        <w:t>被保险人首次成为学生平安保险的被保险人，或者在学生平安保险合同终止之日起30日后（不含第30日）投保人才提出继续投保申请的，视为首次投保。</w:t>
      </w:r>
    </w:p>
    <w:p>
      <w:pPr>
        <w:snapToGrid w:val="0"/>
        <w:spacing w:after="156" w:afterLines="50" w:line="360" w:lineRule="auto"/>
        <w:ind w:firstLine="420" w:firstLineChars="200"/>
        <w:jc w:val="left"/>
        <w:rPr>
          <w:rFonts w:ascii="宋体" w:hAnsi="宋体"/>
          <w:color w:val="000000" w:themeColor="text1"/>
          <w:szCs w:val="21"/>
          <w14:textFill>
            <w14:solidFill>
              <w14:schemeClr w14:val="tx1"/>
            </w14:solidFill>
          </w14:textFill>
        </w:rPr>
      </w:pPr>
      <w:r>
        <w:rPr>
          <w:rFonts w:hint="eastAsia"/>
          <w:b/>
          <w:color w:val="000000" w:themeColor="text1"/>
          <w14:textFill>
            <w14:solidFill>
              <w14:schemeClr w14:val="tx1"/>
            </w14:solidFill>
          </w14:textFill>
        </w:rPr>
        <w:t>四、续保：</w:t>
      </w:r>
      <w:r>
        <w:rPr>
          <w:rFonts w:hint="eastAsia" w:ascii="宋体" w:hAnsi="宋体"/>
          <w:color w:val="000000" w:themeColor="text1"/>
          <w:szCs w:val="21"/>
          <w14:textFill>
            <w14:solidFill>
              <w14:schemeClr w14:val="tx1"/>
            </w14:solidFill>
          </w14:textFill>
        </w:rPr>
        <w:t>本附加险合同所指续保，为不保证续保。投保人可于保险期间届满前向本公司提出续保申请，本公司有权对投保人的续保申请进行审核。经本公司审核同意后，投保人向本公司交付续保保险费，获得新的保险合同。</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五、保险金申请人</w:t>
      </w:r>
      <w:r>
        <w:rPr>
          <w:rFonts w:hint="eastAsia" w:ascii="宋体" w:hAnsi="宋体"/>
          <w:color w:val="000000" w:themeColor="text1"/>
          <w:kern w:val="0"/>
          <w:szCs w:val="21"/>
          <w14:textFill>
            <w14:solidFill>
              <w14:schemeClr w14:val="tx1"/>
            </w14:solidFill>
          </w14:textFill>
        </w:rPr>
        <w:t>：指被保险人、受益人或依法享有保险金请求权的其他人。</w:t>
      </w:r>
    </w:p>
    <w:p>
      <w:pPr>
        <w:autoSpaceDE w:val="0"/>
        <w:autoSpaceDN w:val="0"/>
        <w:adjustRightInd w:val="0"/>
        <w:spacing w:after="156" w:afterLines="50" w:line="360" w:lineRule="auto"/>
        <w:ind w:firstLine="420" w:firstLineChars="200"/>
        <w:textAlignment w:val="bottom"/>
        <w:rPr>
          <w:rFonts w:ascii="宋体"/>
          <w:color w:val="000000" w:themeColor="text1"/>
          <w:kern w:val="0"/>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六、未满期净保费：</w:t>
      </w:r>
      <w:r>
        <w:rPr>
          <w:rFonts w:hint="eastAsia" w:ascii="宋体" w:hAnsi="宋体"/>
          <w:color w:val="000000" w:themeColor="text1"/>
          <w:szCs w:val="21"/>
          <w14:textFill>
            <w14:solidFill>
              <w14:schemeClr w14:val="tx1"/>
            </w14:solidFill>
          </w14:textFill>
        </w:rPr>
        <w:t>未满期净保费=净保费×（1-m/n），其中，m为已生效天数，n为保险期间的天数，经过日期不足一日的按一日计算。除保</w:t>
      </w:r>
      <w:r>
        <w:rPr>
          <w:rFonts w:ascii="宋体" w:hAnsi="宋体"/>
          <w:color w:val="000000" w:themeColor="text1"/>
          <w:szCs w:val="21"/>
          <w14:textFill>
            <w14:solidFill>
              <w14:schemeClr w14:val="tx1"/>
            </w14:solidFill>
          </w14:textFill>
        </w:rPr>
        <w:t>单</w:t>
      </w:r>
      <w:r>
        <w:rPr>
          <w:rFonts w:hint="eastAsia" w:ascii="宋体" w:hAnsi="宋体"/>
          <w:color w:val="000000" w:themeColor="text1"/>
          <w:szCs w:val="21"/>
          <w14:textFill>
            <w14:solidFill>
              <w14:schemeClr w14:val="tx1"/>
            </w14:solidFill>
          </w14:textFill>
        </w:rPr>
        <w:t>另有约定外，净保费=保险费×（1-35%）。</w:t>
      </w:r>
    </w:p>
    <w:p>
      <w:pPr>
        <w:snapToGrid w:val="0"/>
        <w:spacing w:after="156" w:afterLines="50" w:line="360" w:lineRule="auto"/>
        <w:ind w:firstLine="420" w:firstLineChars="200"/>
        <w:jc w:val="left"/>
        <w:rPr>
          <w:rFonts w:asci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七、酒后驾驶：</w:t>
      </w:r>
      <w:r>
        <w:rPr>
          <w:rFonts w:hint="eastAsia" w:ascii="宋体" w:hAnsi="宋体"/>
          <w:color w:val="000000" w:themeColor="text1"/>
          <w:szCs w:val="21"/>
          <w14:textFill>
            <w14:solidFill>
              <w14:schemeClr w14:val="tx1"/>
            </w14:solidFill>
          </w14:textFill>
        </w:rPr>
        <w:t>指经检测或者鉴定，发生事故时车辆驾驶人员每</w:t>
      </w:r>
      <w:r>
        <w:rPr>
          <w:rFonts w:ascii="宋体" w:hAnsi="宋体"/>
          <w:color w:val="000000" w:themeColor="text1"/>
          <w:szCs w:val="21"/>
          <w14:textFill>
            <w14:solidFill>
              <w14:schemeClr w14:val="tx1"/>
            </w14:solidFill>
          </w14:textFill>
        </w:rPr>
        <w:t>100</w:t>
      </w:r>
      <w:r>
        <w:rPr>
          <w:rFonts w:hint="eastAsia" w:ascii="宋体" w:hAnsi="宋体"/>
          <w:color w:val="000000" w:themeColor="text1"/>
          <w:szCs w:val="21"/>
          <w14:textFill>
            <w14:solidFill>
              <w14:schemeClr w14:val="tx1"/>
            </w14:solidFill>
          </w14:textFill>
        </w:rPr>
        <w:t>毫升血液中的酒精含量达到或者超过一定的标准，公安机关交通管理部门依据《道路交通安全法》的规定，认定为饮酒后驾驶或者醉酒后驾驶的驾驶行为。</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八、无合法有效驾驶证</w:t>
      </w:r>
      <w:r>
        <w:rPr>
          <w:rFonts w:hint="eastAsia" w:ascii="宋体" w:hAnsi="宋体"/>
          <w:color w:val="000000" w:themeColor="text1"/>
          <w:kern w:val="0"/>
          <w:szCs w:val="21"/>
          <w14:textFill>
            <w14:solidFill>
              <w14:schemeClr w14:val="tx1"/>
            </w14:solidFill>
          </w14:textFill>
        </w:rPr>
        <w:t>：指被保险人存在下列情形之一：</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（一）没有取得驾驶资格；</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（二）驾驶与驾驶证准架车型不相符合的车辆；</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（三）持未经审验、审验不合格或已过有效期的驾驶证驾驶；</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（四）持学习驾驶证学习驾车时，无教练员随车指导，或不按指定时间、路线学习驾车；</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（五）公安交通部门认定的其他无合法有效驾驶证驾驶的情况。</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九、无合法有效行驶证</w:t>
      </w:r>
      <w:r>
        <w:rPr>
          <w:rFonts w:hint="eastAsia" w:ascii="宋体" w:hAnsi="宋体"/>
          <w:color w:val="000000" w:themeColor="text1"/>
          <w:kern w:val="0"/>
          <w:szCs w:val="21"/>
          <w14:textFill>
            <w14:solidFill>
              <w14:schemeClr w14:val="tx1"/>
            </w14:solidFill>
          </w14:textFill>
        </w:rPr>
        <w:t>：指被保险人存在下列情形之一：</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（一）机动车被依法注销登记的；</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（二）无公安机关交通管理部门核发的行驶证、号牌，或临时号牌或临时移动证的机动交通工具；</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（三）未在规定检验期限内进行机动车安全技术检验或检验未通过的机动交通工具。未依法按时进行或通过机动车安全技术检验。</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十、六项基本日常生活活动</w:t>
      </w:r>
      <w:r>
        <w:rPr>
          <w:rFonts w:hint="eastAsia" w:ascii="宋体" w:hAnsi="宋体"/>
          <w:color w:val="000000" w:themeColor="text1"/>
          <w:kern w:val="0"/>
          <w:szCs w:val="21"/>
          <w14:textFill>
            <w14:solidFill>
              <w14:schemeClr w14:val="tx1"/>
            </w14:solidFill>
          </w14:textFill>
        </w:rPr>
        <w:t>是指：</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（一）穿衣：自己能够穿衣及脱衣；</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（二）移动：自己从一个房间到另一个房间；</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（三）行动：自己上下床或上下轮椅；</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（四）如厕：自己控制进行大小便；</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（五）进食：自己从已准备好的碗或碟中取食物放入口中；</w:t>
      </w:r>
    </w:p>
    <w:p>
      <w:pPr>
        <w:widowControl/>
        <w:autoSpaceDE w:val="0"/>
        <w:autoSpaceDN w:val="0"/>
        <w:adjustRightInd w:val="0"/>
        <w:spacing w:after="156" w:afterLines="50" w:line="360" w:lineRule="auto"/>
        <w:ind w:firstLine="420" w:firstLineChars="200"/>
        <w:jc w:val="left"/>
        <w:textAlignment w:val="bottom"/>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（六）洗澡：自己进行淋浴或盆浴。</w:t>
      </w:r>
      <w:r>
        <w:rPr>
          <w:rFonts w:ascii="宋体" w:hAnsi="宋体"/>
          <w:color w:val="000000" w:themeColor="text1"/>
          <w:kern w:val="0"/>
          <w:szCs w:val="21"/>
          <w14:textFill>
            <w14:solidFill>
              <w14:schemeClr w14:val="tx1"/>
            </w14:solidFill>
          </w14:textFill>
        </w:rPr>
        <w:t xml:space="preserve"> </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十一、肢体机能完全丧失</w:t>
      </w:r>
      <w:r>
        <w:rPr>
          <w:rFonts w:hint="eastAsia" w:ascii="宋体" w:hAnsi="宋体"/>
          <w:color w:val="000000" w:themeColor="text1"/>
          <w:kern w:val="0"/>
          <w:szCs w:val="21"/>
          <w14:textFill>
            <w14:solidFill>
              <w14:schemeClr w14:val="tx1"/>
            </w14:solidFill>
          </w14:textFill>
        </w:rPr>
        <w:t>：指肢体的三大关节中的两大关节僵硬，或不能随意识活动。肢体是指包括肩关节的整个上肢或包括髋关节的整个下肢。</w:t>
      </w:r>
    </w:p>
    <w:p>
      <w:pPr>
        <w:widowControl/>
        <w:autoSpaceDE w:val="0"/>
        <w:autoSpaceDN w:val="0"/>
        <w:adjustRightInd w:val="0"/>
        <w:spacing w:after="156" w:afterLines="50" w:line="360" w:lineRule="auto"/>
        <w:ind w:firstLine="420" w:firstLineChars="200"/>
        <w:jc w:val="left"/>
        <w:textAlignment w:val="bottom"/>
        <w:rPr>
          <w:rFonts w:ascii="宋体" w:hAns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十二、语言能力或咀嚼吞咽能力完全丧失</w:t>
      </w:r>
      <w:r>
        <w:rPr>
          <w:rFonts w:hint="eastAsia" w:ascii="宋体" w:hAnsi="宋体"/>
          <w:color w:val="000000" w:themeColor="text1"/>
          <w:kern w:val="0"/>
          <w:szCs w:val="21"/>
          <w14:textFill>
            <w14:solidFill>
              <w14:schemeClr w14:val="tx1"/>
            </w14:solidFill>
          </w14:textFill>
        </w:rPr>
        <w:t>：</w:t>
      </w:r>
      <w:r>
        <w:rPr>
          <w:rFonts w:hint="eastAsia" w:ascii="宋体" w:hAnsi="宋体"/>
          <w:b/>
          <w:color w:val="000000" w:themeColor="text1"/>
          <w:kern w:val="0"/>
          <w:szCs w:val="21"/>
          <w14:textFill>
            <w14:solidFill>
              <w14:schemeClr w14:val="tx1"/>
            </w14:solidFill>
          </w14:textFill>
        </w:rPr>
        <w:t>语言能力完全丧失</w:t>
      </w:r>
      <w:r>
        <w:rPr>
          <w:rFonts w:hint="eastAsia" w:ascii="宋体" w:hAnsi="宋体"/>
          <w:color w:val="000000" w:themeColor="text1"/>
          <w:kern w:val="0"/>
          <w:szCs w:val="21"/>
          <w14:textFill>
            <w14:solidFill>
              <w14:schemeClr w14:val="tx1"/>
            </w14:solidFill>
          </w14:textFill>
        </w:rPr>
        <w:t>，指无法发出四种语音（包括口唇音、齿舌音、口盖音和喉头音）中的任何三种、或声带全部切除，或因大脑语言中枢受伤害而患失语症。</w:t>
      </w:r>
      <w:r>
        <w:rPr>
          <w:rFonts w:ascii="宋体" w:hAnsi="宋体"/>
          <w:color w:val="000000" w:themeColor="text1"/>
          <w:kern w:val="0"/>
          <w:szCs w:val="21"/>
          <w14:textFill>
            <w14:solidFill>
              <w14:schemeClr w14:val="tx1"/>
            </w14:solidFill>
          </w14:textFill>
        </w:rPr>
        <w:t xml:space="preserve"> </w:t>
      </w:r>
      <w:r>
        <w:rPr>
          <w:rFonts w:hint="eastAsia" w:ascii="宋体" w:hAnsi="宋体"/>
          <w:b/>
          <w:color w:val="000000" w:themeColor="text1"/>
          <w:kern w:val="0"/>
          <w:szCs w:val="21"/>
          <w14:textFill>
            <w14:solidFill>
              <w14:schemeClr w14:val="tx1"/>
            </w14:solidFill>
          </w14:textFill>
        </w:rPr>
        <w:t>咀嚼吞咽能力完全丧失</w:t>
      </w:r>
      <w:r>
        <w:rPr>
          <w:rFonts w:hint="eastAsia" w:ascii="宋体" w:hAnsi="宋体"/>
          <w:color w:val="000000" w:themeColor="text1"/>
          <w:kern w:val="0"/>
          <w:szCs w:val="21"/>
          <w14:textFill>
            <w14:solidFill>
              <w14:schemeClr w14:val="tx1"/>
            </w14:solidFill>
          </w14:textFill>
        </w:rPr>
        <w:t>，指因牙齿以外的原因导致器质障碍或机能障碍，以致不能作咀嚼吞咽运动，除流质食物外不能摄取或吞咽的状态。</w:t>
      </w:r>
      <w:r>
        <w:rPr>
          <w:rFonts w:ascii="宋体" w:hAnsi="宋体"/>
          <w:color w:val="000000" w:themeColor="text1"/>
          <w:kern w:val="0"/>
          <w:szCs w:val="21"/>
          <w14:textFill>
            <w14:solidFill>
              <w14:schemeClr w14:val="tx1"/>
            </w14:solidFill>
          </w14:textFill>
        </w:rPr>
        <w:t xml:space="preserve"> </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十三、永久不可逆</w:t>
      </w:r>
      <w:r>
        <w:rPr>
          <w:rFonts w:hint="eastAsia" w:ascii="宋体" w:hAnsi="宋体"/>
          <w:color w:val="000000" w:themeColor="text1"/>
          <w:kern w:val="0"/>
          <w:szCs w:val="21"/>
          <w14:textFill>
            <w14:solidFill>
              <w14:schemeClr w14:val="tx1"/>
            </w14:solidFill>
          </w14:textFill>
        </w:rPr>
        <w:t>：指自疾病确诊或意外伤害发生之日起，经过积极治疗</w:t>
      </w:r>
      <w:r>
        <w:rPr>
          <w:rFonts w:ascii="宋体" w:hAnsi="宋体"/>
          <w:color w:val="000000" w:themeColor="text1"/>
          <w:kern w:val="0"/>
          <w:szCs w:val="21"/>
          <w14:textFill>
            <w14:solidFill>
              <w14:schemeClr w14:val="tx1"/>
            </w14:solidFill>
          </w14:textFill>
        </w:rPr>
        <w:t>180</w:t>
      </w:r>
      <w:r>
        <w:rPr>
          <w:rFonts w:hint="eastAsia" w:ascii="宋体" w:hAnsi="宋体"/>
          <w:color w:val="000000" w:themeColor="text1"/>
          <w:kern w:val="0"/>
          <w:szCs w:val="21"/>
          <w14:textFill>
            <w14:solidFill>
              <w14:schemeClr w14:val="tx1"/>
            </w14:solidFill>
          </w14:textFill>
        </w:rPr>
        <w:t>天后，仍无法通过现有医疗手段恢复。</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十四、专科医生</w:t>
      </w:r>
      <w:r>
        <w:rPr>
          <w:rFonts w:hint="eastAsia" w:ascii="宋体" w:hAnsi="宋体"/>
          <w:color w:val="000000" w:themeColor="text1"/>
          <w:kern w:val="0"/>
          <w:szCs w:val="21"/>
          <w14:textFill>
            <w14:solidFill>
              <w14:schemeClr w14:val="tx1"/>
            </w14:solidFill>
          </w14:textFill>
        </w:rPr>
        <w:t>：专科医生应当同时满足以下四项资格条件：</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（一）具有有效的中华人民共和国《医师资格证书》；</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（二）具有有效的中华人民共和国《医师执业证书》，并按期到相关部门登记注册；</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（三）具有有效的中华人民共和国主治医师或主治医师以上职称的《医师职称证书》；</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（四）在国家《医院分级管理标准》二级或二级以上医院的相应科室从事临床工作三年以上。</w:t>
      </w:r>
      <w:r>
        <w:rPr>
          <w:rFonts w:ascii="宋体" w:hAnsi="宋体"/>
          <w:color w:val="000000" w:themeColor="text1"/>
          <w:kern w:val="0"/>
          <w:szCs w:val="21"/>
          <w14:textFill>
            <w14:solidFill>
              <w14:schemeClr w14:val="tx1"/>
            </w14:solidFill>
          </w14:textFill>
        </w:rPr>
        <w:t xml:space="preserve"> </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十五、感染艾滋病病毒或患艾滋病</w:t>
      </w:r>
      <w:r>
        <w:rPr>
          <w:rFonts w:hint="eastAsia" w:ascii="宋体" w:hAnsi="宋体"/>
          <w:color w:val="000000" w:themeColor="text1"/>
          <w:kern w:val="0"/>
          <w:szCs w:val="21"/>
          <w14:textFill>
            <w14:solidFill>
              <w14:schemeClr w14:val="tx1"/>
            </w14:solidFill>
          </w14:textFill>
        </w:rPr>
        <w:t>：艾滋病病毒指人类免疫缺陷病毒，英文缩写为</w:t>
      </w:r>
      <w:r>
        <w:rPr>
          <w:rFonts w:ascii="宋体" w:hAnsi="宋体"/>
          <w:color w:val="000000" w:themeColor="text1"/>
          <w:kern w:val="0"/>
          <w:szCs w:val="21"/>
          <w14:textFill>
            <w14:solidFill>
              <w14:schemeClr w14:val="tx1"/>
            </w14:solidFill>
          </w14:textFill>
        </w:rPr>
        <w:t>HIV</w:t>
      </w:r>
      <w:r>
        <w:rPr>
          <w:rFonts w:hint="eastAsia" w:ascii="宋体" w:hAnsi="宋体"/>
          <w:color w:val="000000" w:themeColor="text1"/>
          <w:kern w:val="0"/>
          <w:szCs w:val="21"/>
          <w14:textFill>
            <w14:solidFill>
              <w14:schemeClr w14:val="tx1"/>
            </w14:solidFill>
          </w14:textFill>
        </w:rPr>
        <w:t>。艾滋病指人类免疫缺陷病毒引起的获得性免疫缺陷综合征，英文缩写为</w:t>
      </w:r>
      <w:r>
        <w:rPr>
          <w:rFonts w:ascii="宋体" w:hAnsi="宋体"/>
          <w:color w:val="000000" w:themeColor="text1"/>
          <w:kern w:val="0"/>
          <w:szCs w:val="21"/>
          <w14:textFill>
            <w14:solidFill>
              <w14:schemeClr w14:val="tx1"/>
            </w14:solidFill>
          </w14:textFill>
        </w:rPr>
        <w:t>AIDS</w:t>
      </w:r>
      <w:r>
        <w:rPr>
          <w:rFonts w:hint="eastAsia" w:ascii="宋体" w:hAnsi="宋体"/>
          <w:color w:val="000000" w:themeColor="text1"/>
          <w:kern w:val="0"/>
          <w:szCs w:val="21"/>
          <w14:textFill>
            <w14:solidFill>
              <w14:schemeClr w14:val="tx1"/>
            </w14:solidFill>
          </w14:textFill>
        </w:rPr>
        <w:t>。在人体血液或其它样本中检测到艾滋病病毒或其抗体呈阳性，没有出现临床症状或体征的，为感染艾滋病病毒；如果同时出现了明显临床症状或体征的，为患艾滋病。</w:t>
      </w:r>
    </w:p>
    <w:p>
      <w:pPr>
        <w:widowControl/>
        <w:autoSpaceDE w:val="0"/>
        <w:autoSpaceDN w:val="0"/>
        <w:adjustRightInd w:val="0"/>
        <w:spacing w:after="156" w:afterLines="50" w:line="360" w:lineRule="auto"/>
        <w:ind w:firstLine="420" w:firstLineChars="200"/>
        <w:jc w:val="left"/>
        <w:textAlignment w:val="bottom"/>
        <w:rPr>
          <w:rFonts w:asci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十六、遗传性疾病：</w:t>
      </w:r>
      <w:r>
        <w:rPr>
          <w:rFonts w:hint="eastAsia" w:ascii="宋体" w:hAnsi="宋体"/>
          <w:color w:val="000000" w:themeColor="text1"/>
          <w:kern w:val="0"/>
          <w:szCs w:val="21"/>
          <w14:textFill>
            <w14:solidFill>
              <w14:schemeClr w14:val="tx1"/>
            </w14:solidFill>
          </w14:textFill>
        </w:rPr>
        <w:t>指生殖细胞或受精卵的遗传物质（染色体和基因）发生突变或畸变所引起的疾病，通常具有由亲代传至后代的垂直传递的特征。</w:t>
      </w:r>
    </w:p>
    <w:p>
      <w:pPr>
        <w:widowControl/>
        <w:autoSpaceDE w:val="0"/>
        <w:autoSpaceDN w:val="0"/>
        <w:adjustRightInd w:val="0"/>
        <w:spacing w:after="156" w:afterLines="50" w:line="360" w:lineRule="auto"/>
        <w:ind w:firstLine="420" w:firstLineChars="200"/>
        <w:jc w:val="left"/>
        <w:textAlignment w:val="bottom"/>
        <w:rPr>
          <w:rFonts w:ascii="宋体" w:hAns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十七、先天性畸形、变形或染色体异常：</w:t>
      </w:r>
      <w:r>
        <w:rPr>
          <w:rFonts w:hint="eastAsia" w:ascii="宋体" w:hAnsi="宋体"/>
          <w:color w:val="000000" w:themeColor="text1"/>
          <w:kern w:val="0"/>
          <w:szCs w:val="21"/>
          <w14:textFill>
            <w14:solidFill>
              <w14:schemeClr w14:val="tx1"/>
            </w14:solidFill>
          </w14:textFill>
        </w:rPr>
        <w:t>指被保险人出生时就具有的畸形、变形或染色体异常。先天性畸形、变形和染色体异常依照世界卫生组织《疾病和有关健康问题的国际统计分类》第十次修订版（ICD-10）确定。</w:t>
      </w:r>
    </w:p>
    <w:p>
      <w:pPr>
        <w:widowControl/>
        <w:autoSpaceDE w:val="0"/>
        <w:autoSpaceDN w:val="0"/>
        <w:adjustRightInd w:val="0"/>
        <w:spacing w:after="156" w:afterLines="50" w:line="360" w:lineRule="auto"/>
        <w:ind w:firstLine="420" w:firstLineChars="200"/>
        <w:jc w:val="left"/>
        <w:textAlignment w:val="bottom"/>
        <w:rPr>
          <w:rFonts w:ascii="宋体" w:hAns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十八、既往症：</w:t>
      </w:r>
      <w:r>
        <w:rPr>
          <w:rFonts w:hint="eastAsia" w:ascii="宋体" w:hAnsi="宋体"/>
          <w:color w:val="000000" w:themeColor="text1"/>
          <w:kern w:val="0"/>
          <w:szCs w:val="21"/>
          <w14:textFill>
            <w14:solidFill>
              <w14:schemeClr w14:val="tx1"/>
            </w14:solidFill>
          </w14:textFill>
        </w:rPr>
        <w:t>指被保险人在本保险合同生效日之前患有的已知或应该知道的有关疾病或症状。</w:t>
      </w:r>
    </w:p>
    <w:p>
      <w:pPr>
        <w:widowControl/>
        <w:autoSpaceDE w:val="0"/>
        <w:autoSpaceDN w:val="0"/>
        <w:adjustRightInd w:val="0"/>
        <w:spacing w:after="156" w:afterLines="50" w:line="360" w:lineRule="auto"/>
        <w:ind w:firstLine="420" w:firstLineChars="200"/>
        <w:jc w:val="left"/>
        <w:textAlignment w:val="bottom"/>
        <w:rPr>
          <w:rFonts w:ascii="宋体" w:hAns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十九、已患未治愈疾病：</w:t>
      </w:r>
      <w:r>
        <w:rPr>
          <w:rFonts w:hint="eastAsia" w:ascii="宋体" w:hAnsi="宋体"/>
          <w:color w:val="000000" w:themeColor="text1"/>
          <w:kern w:val="0"/>
          <w:szCs w:val="21"/>
          <w14:textFill>
            <w14:solidFill>
              <w14:schemeClr w14:val="tx1"/>
            </w14:solidFill>
          </w14:textFill>
        </w:rPr>
        <w:t>首次投保前已确诊或对该疾病采取过治疗措施但未能消除该疾病的，属已患未治愈疾病。</w:t>
      </w:r>
      <w:r>
        <w:rPr>
          <w:rFonts w:hint="eastAsia" w:ascii="宋体" w:hAnsi="宋体"/>
          <w:b/>
          <w:bCs/>
          <w:color w:val="000000" w:themeColor="text1"/>
          <w:kern w:val="0"/>
          <w:szCs w:val="21"/>
          <w14:textFill>
            <w14:solidFill>
              <w14:schemeClr w14:val="tx1"/>
            </w14:solidFill>
          </w14:textFill>
        </w:rPr>
        <w:t>被保险人首次投保前如只有相关症状但未确诊的，在首次投保后才确诊的疾病，则不属于已患未治愈疾病的范畴。</w:t>
      </w:r>
    </w:p>
    <w:p>
      <w:pPr>
        <w:snapToGrid w:val="0"/>
        <w:spacing w:before="156" w:beforeLines="50" w:after="50" w:line="360" w:lineRule="auto"/>
        <w:ind w:firstLine="420" w:firstLineChars="200"/>
        <w:rPr>
          <w:rFonts w:ascii="宋体"/>
          <w:color w:val="000000" w:themeColor="text1"/>
          <w14:textFill>
            <w14:solidFill>
              <w14:schemeClr w14:val="tx1"/>
            </w14:solidFill>
          </w14:textFill>
        </w:rPr>
      </w:pPr>
      <w:r>
        <w:rPr>
          <w:rFonts w:hint="eastAsia" w:ascii="宋体" w:hAnsi="宋体"/>
          <w:b/>
          <w:color w:val="000000" w:themeColor="text1"/>
          <w:szCs w:val="21"/>
          <w14:textFill>
            <w14:solidFill>
              <w14:schemeClr w14:val="tx1"/>
            </w14:solidFill>
          </w14:textFill>
        </w:rPr>
        <w:t>其他释义与主险合同释义一致。</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Calibri Light">
    <w:altName w:val="Helvetica Neue"/>
    <w:panose1 w:val="020F0302020204030204"/>
    <w:charset w:val="00"/>
    <w:family w:val="swiss"/>
    <w:pitch w:val="default"/>
    <w:sig w:usb0="00000000" w:usb1="00000000" w:usb2="00000009" w:usb3="00000000" w:csb0="200001FF" w:csb1="00000000"/>
  </w:font>
  <w:font w:name="幼圆">
    <w:altName w:val="宋体-简"/>
    <w:panose1 w:val="02010509060101010101"/>
    <w:charset w:val="86"/>
    <w:family w:val="modern"/>
    <w:pitch w:val="default"/>
    <w:sig w:usb0="00000000" w:usb1="00000000" w:usb2="00000000" w:usb3="00000000" w:csb0="00040000" w:csb1="00000000"/>
  </w:font>
  <w:font w:name="宋体-简">
    <w:panose1 w:val="0201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rPr>
      <w:fldChar w:fldCharType="begin"/>
    </w:r>
    <w:r>
      <w:rPr>
        <w:b/>
      </w:rPr>
      <w:instrText xml:space="preserve">PAGE</w:instrText>
    </w:r>
    <w:r>
      <w:rPr>
        <w:b/>
      </w:rPr>
      <w:fldChar w:fldCharType="separate"/>
    </w:r>
    <w:r>
      <w:rPr>
        <w:b/>
      </w:rPr>
      <w:t>2</w:t>
    </w:r>
    <w:r>
      <w:rPr>
        <w:b/>
      </w:rPr>
      <w:fldChar w:fldCharType="end"/>
    </w:r>
    <w:r>
      <w:rPr>
        <w:lang w:val="zh-CN"/>
      </w:rPr>
      <w:t xml:space="preserve"> / </w:t>
    </w:r>
    <w:r>
      <w:rPr>
        <w:b/>
      </w:rPr>
      <w:fldChar w:fldCharType="begin"/>
    </w:r>
    <w:r>
      <w:rPr>
        <w:b/>
      </w:rPr>
      <w:instrText xml:space="preserve">NUMPAGES</w:instrText>
    </w:r>
    <w:r>
      <w:rPr>
        <w:b/>
      </w:rPr>
      <w:fldChar w:fldCharType="separate"/>
    </w:r>
    <w:r>
      <w:rPr>
        <w:b/>
      </w:rPr>
      <w:t>15</w:t>
    </w:r>
    <w:r>
      <w:rPr>
        <w:b/>
      </w:rPr>
      <w:fldChar w:fldCharType="end"/>
    </w:r>
  </w:p>
  <w:p>
    <w:pPr>
      <w:pStyle w:val="9"/>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0">
    <w:p>
      <w:r>
        <w:separator/>
      </w:r>
    </w:p>
  </w:footnote>
  <w:footnote w:type="continuationSeparator" w:id="21">
    <w:p>
      <w:r>
        <w:continuationSeparator/>
      </w:r>
    </w:p>
  </w:footnote>
  <w:footnote w:id="0">
    <w:p>
      <w:pPr>
        <w:pStyle w:val="2"/>
        <w:snapToGrid w:val="0"/>
        <w:spacing w:before="0" w:after="0" w:line="240" w:lineRule="auto"/>
        <w:rPr>
          <w:b w:val="0"/>
          <w:color w:val="auto"/>
          <w:sz w:val="18"/>
        </w:rPr>
      </w:pPr>
      <w:r>
        <w:rPr>
          <w:rStyle w:val="18"/>
          <w:color w:val="auto"/>
          <w:sz w:val="18"/>
        </w:rPr>
        <w:footnoteRef/>
      </w:r>
      <w:r>
        <w:rPr>
          <w:rFonts w:hint="eastAsia"/>
          <w:color w:val="auto"/>
          <w:sz w:val="18"/>
        </w:rPr>
        <w:t xml:space="preserve"> 组织病理学检查：</w:t>
      </w:r>
      <w:r>
        <w:rPr>
          <w:rFonts w:hint="eastAsia"/>
          <w:b w:val="0"/>
          <w:color w:val="auto"/>
          <w:sz w:val="18"/>
        </w:rPr>
        <w:t>组织病理学检查是通过局部切除、钳取、穿刺等手术方法，从患者机体采取病变组织块，经过包埋、切片后，进行病理检查的方法。</w:t>
      </w:r>
      <w:r>
        <w:rPr>
          <w:rFonts w:hint="eastAsia"/>
          <w:color w:val="auto"/>
          <w:sz w:val="18"/>
        </w:rPr>
        <w:t>通过采集病变部位脱落细胞、细针吸取病变部位细胞、体腔积液分离病变细胞等方式获取病变细胞，制成涂片，进行病理检查的方法，属于细胞病理学检查，不属于组织病理学检查。</w:t>
      </w:r>
      <w:r>
        <w:rPr>
          <w:rFonts w:hint="eastAsia"/>
          <w:b w:val="0"/>
          <w:color w:val="auto"/>
          <w:sz w:val="18"/>
        </w:rPr>
        <w:t>如无特别说明，本附加险合同下文提及处，意思相同。</w:t>
      </w:r>
    </w:p>
  </w:footnote>
  <w:footnote w:id="1">
    <w:p>
      <w:pPr>
        <w:pStyle w:val="34"/>
        <w:adjustRightInd/>
        <w:ind w:left="0" w:leftChars="0" w:firstLine="0" w:firstLineChars="0"/>
        <w:rPr>
          <w:rFonts w:ascii="宋体" w:hAnsi="宋体"/>
          <w:b/>
          <w:color w:val="auto"/>
          <w:sz w:val="18"/>
          <w:szCs w:val="21"/>
        </w:rPr>
      </w:pPr>
      <w:r>
        <w:rPr>
          <w:rStyle w:val="18"/>
          <w:rFonts w:ascii="宋体" w:hAnsi="宋体"/>
          <w:b/>
          <w:color w:val="auto"/>
          <w:sz w:val="18"/>
        </w:rPr>
        <w:footnoteRef/>
      </w:r>
      <w:r>
        <w:rPr>
          <w:rFonts w:ascii="宋体" w:hAnsi="宋体"/>
          <w:b/>
          <w:color w:val="auto"/>
          <w:sz w:val="18"/>
          <w:szCs w:val="21"/>
        </w:rPr>
        <w:t xml:space="preserve"> </w:t>
      </w:r>
      <w:r>
        <w:rPr>
          <w:rFonts w:hint="eastAsia" w:ascii="宋体" w:hAnsi="宋体"/>
          <w:b/>
          <w:color w:val="auto"/>
          <w:sz w:val="18"/>
          <w:szCs w:val="21"/>
        </w:rPr>
        <w:t>ICD-10与ICD-O-3:</w:t>
      </w:r>
      <w:r>
        <w:rPr>
          <w:rFonts w:hint="eastAsia" w:ascii="宋体" w:hAnsi="宋体"/>
          <w:color w:val="auto"/>
          <w:sz w:val="18"/>
          <w:szCs w:val="21"/>
        </w:rPr>
        <w:t>《疾病和有关健康问题的国际统计分类》第十次修订版（ICD-10），是世界卫生组织（WHO）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w:t>
      </w:r>
      <w:r>
        <w:rPr>
          <w:rFonts w:hint="eastAsia" w:ascii="宋体" w:hAnsi="宋体"/>
          <w:b/>
          <w:color w:val="auto"/>
          <w:sz w:val="18"/>
          <w:szCs w:val="21"/>
        </w:rPr>
        <w:t>如果出现ICD-10与ICD-O-3不一致的情况，以ICD-O-3为准。</w:t>
      </w:r>
      <w:r>
        <w:rPr>
          <w:rFonts w:hint="eastAsia" w:ascii="宋体" w:hAnsi="宋体"/>
          <w:color w:val="auto"/>
          <w:sz w:val="18"/>
          <w:szCs w:val="21"/>
        </w:rPr>
        <w:t>如无特别说明，本附加险合同下文提及处，意思相同。</w:t>
      </w:r>
    </w:p>
  </w:footnote>
  <w:footnote w:id="2">
    <w:p>
      <w:pPr>
        <w:pStyle w:val="34"/>
        <w:adjustRightInd/>
        <w:ind w:left="0" w:leftChars="0" w:firstLine="2" w:firstLineChars="0"/>
        <w:rPr>
          <w:rFonts w:ascii="宋体" w:hAnsi="宋体"/>
          <w:b/>
          <w:color w:val="auto"/>
          <w:sz w:val="18"/>
          <w:szCs w:val="21"/>
        </w:rPr>
      </w:pPr>
      <w:r>
        <w:rPr>
          <w:rStyle w:val="18"/>
          <w:rFonts w:ascii="宋体" w:hAnsi="宋体"/>
          <w:b/>
          <w:color w:val="auto"/>
          <w:sz w:val="18"/>
          <w:szCs w:val="21"/>
        </w:rPr>
        <w:footnoteRef/>
      </w:r>
      <w:r>
        <w:rPr>
          <w:rFonts w:hint="eastAsia" w:ascii="宋体" w:hAnsi="宋体"/>
          <w:b/>
          <w:color w:val="auto"/>
          <w:sz w:val="18"/>
          <w:szCs w:val="21"/>
        </w:rPr>
        <w:t xml:space="preserve"> TNM分期、甲状腺癌的TNM分期：TNM分期</w:t>
      </w:r>
      <w:r>
        <w:rPr>
          <w:rFonts w:hint="eastAsia" w:ascii="宋体" w:hAnsi="宋体"/>
          <w:color w:val="auto"/>
          <w:sz w:val="18"/>
          <w:szCs w:val="21"/>
        </w:rPr>
        <w:t>采用AJCC癌症分期手册标准。该标准由美国癌症联合委员会与国际抗癌联合会TNM委员会联合制定，是目前肿瘤医学分期的国际通用标准。T指原发肿瘤的大小、形态等；N指淋巴结的转移情况；M指有无其他脏器的转移情况。</w:t>
      </w:r>
      <w:r>
        <w:rPr>
          <w:rFonts w:hint="eastAsia" w:ascii="宋体" w:hAnsi="宋体"/>
          <w:b/>
          <w:color w:val="auto"/>
          <w:sz w:val="18"/>
          <w:szCs w:val="21"/>
        </w:rPr>
        <w:t>甲状腺癌的TNM分期</w:t>
      </w:r>
      <w:r>
        <w:rPr>
          <w:rFonts w:hint="eastAsia" w:ascii="宋体" w:hAnsi="宋体"/>
          <w:color w:val="auto"/>
          <w:sz w:val="18"/>
          <w:szCs w:val="21"/>
        </w:rPr>
        <w:t>采用目前现行的AJCC第八版定义标准，我国国家卫生健康委员会2018年发布的《甲状腺癌诊疗规范（2018年版）》也采用此定义标准，具体见</w:t>
      </w:r>
      <w:r>
        <w:rPr>
          <w:rFonts w:hint="eastAsia" w:ascii="宋体" w:hAnsi="宋体"/>
          <w:b/>
          <w:color w:val="auto"/>
          <w:sz w:val="18"/>
          <w:szCs w:val="21"/>
        </w:rPr>
        <w:t>附录</w:t>
      </w:r>
      <w:r>
        <w:rPr>
          <w:rFonts w:hint="eastAsia" w:ascii="宋体" w:hAnsi="宋体"/>
          <w:color w:val="auto"/>
          <w:sz w:val="18"/>
          <w:szCs w:val="21"/>
        </w:rPr>
        <w:t>。如无特别说明，本附加险合同下文提及处，意思相同。</w:t>
      </w:r>
    </w:p>
  </w:footnote>
  <w:footnote w:id="3">
    <w:p>
      <w:pPr>
        <w:pStyle w:val="34"/>
        <w:ind w:left="0" w:leftChars="0" w:firstLine="0" w:firstLineChars="0"/>
        <w:rPr>
          <w:rFonts w:ascii="宋体" w:hAnsi="宋体"/>
          <w:b/>
          <w:color w:val="auto"/>
          <w:sz w:val="18"/>
          <w:szCs w:val="21"/>
        </w:rPr>
      </w:pPr>
      <w:r>
        <w:rPr>
          <w:rStyle w:val="18"/>
          <w:rFonts w:ascii="宋体" w:hAnsi="宋体"/>
          <w:b/>
          <w:sz w:val="18"/>
          <w:szCs w:val="21"/>
        </w:rPr>
        <w:footnoteRef/>
      </w:r>
      <w:r>
        <w:rPr>
          <w:rFonts w:hint="eastAsia" w:ascii="宋体" w:hAnsi="宋体"/>
          <w:b/>
          <w:sz w:val="18"/>
          <w:szCs w:val="21"/>
        </w:rPr>
        <w:t xml:space="preserve"> </w:t>
      </w:r>
      <w:r>
        <w:rPr>
          <w:rFonts w:hint="eastAsia" w:ascii="宋体" w:hAnsi="宋体"/>
          <w:b/>
          <w:color w:val="auto"/>
          <w:sz w:val="18"/>
          <w:szCs w:val="21"/>
        </w:rPr>
        <w:t>肢体：</w:t>
      </w:r>
      <w:r>
        <w:rPr>
          <w:rFonts w:hint="eastAsia" w:ascii="宋体" w:hAnsi="宋体"/>
          <w:color w:val="auto"/>
          <w:sz w:val="18"/>
          <w:szCs w:val="21"/>
        </w:rPr>
        <w:t>指包括肩关节的整个上肢或包括髋关节的整个下肢。如无特别说明，本附加险合同下文提及处，意思相同。</w:t>
      </w:r>
    </w:p>
  </w:footnote>
  <w:footnote w:id="4">
    <w:p>
      <w:pPr>
        <w:pStyle w:val="34"/>
        <w:ind w:left="0" w:leftChars="0" w:firstLine="0" w:firstLineChars="0"/>
        <w:rPr>
          <w:rFonts w:ascii="宋体" w:hAnsi="宋体"/>
          <w:color w:val="auto"/>
          <w:sz w:val="18"/>
          <w:szCs w:val="21"/>
        </w:rPr>
      </w:pPr>
      <w:r>
        <w:rPr>
          <w:rStyle w:val="18"/>
          <w:rFonts w:ascii="宋体" w:hAnsi="宋体"/>
          <w:b/>
          <w:color w:val="auto"/>
          <w:sz w:val="18"/>
          <w:szCs w:val="21"/>
        </w:rPr>
        <w:footnoteRef/>
      </w:r>
      <w:r>
        <w:rPr>
          <w:rFonts w:hint="eastAsia" w:ascii="宋体" w:hAnsi="宋体"/>
          <w:b/>
          <w:color w:val="auto"/>
          <w:sz w:val="18"/>
          <w:szCs w:val="21"/>
        </w:rPr>
        <w:t xml:space="preserve"> 肌力：</w:t>
      </w:r>
      <w:r>
        <w:rPr>
          <w:rFonts w:hint="eastAsia" w:ascii="宋体" w:hAnsi="宋体"/>
          <w:color w:val="auto"/>
          <w:sz w:val="18"/>
          <w:szCs w:val="21"/>
        </w:rPr>
        <w:t>指肌肉收缩时的力量。肌力划分为0-5级，具体为：</w:t>
      </w:r>
    </w:p>
    <w:p>
      <w:pPr>
        <w:pStyle w:val="34"/>
        <w:spacing w:line="204" w:lineRule="auto"/>
        <w:ind w:left="0" w:leftChars="0" w:firstLine="0" w:firstLineChars="0"/>
        <w:rPr>
          <w:rFonts w:ascii="宋体" w:hAnsi="宋体"/>
          <w:color w:val="auto"/>
          <w:sz w:val="18"/>
          <w:szCs w:val="21"/>
        </w:rPr>
      </w:pPr>
      <w:r>
        <w:rPr>
          <w:rFonts w:hint="eastAsia" w:ascii="宋体" w:hAnsi="宋体"/>
          <w:color w:val="auto"/>
          <w:sz w:val="18"/>
          <w:szCs w:val="21"/>
        </w:rPr>
        <w:t>0级：肌肉完全瘫痪，毫无收缩。</w:t>
      </w:r>
    </w:p>
    <w:p>
      <w:pPr>
        <w:pStyle w:val="34"/>
        <w:spacing w:line="204" w:lineRule="auto"/>
        <w:ind w:left="0" w:leftChars="0" w:firstLine="0" w:firstLineChars="0"/>
        <w:rPr>
          <w:rFonts w:ascii="宋体" w:hAnsi="宋体"/>
          <w:color w:val="auto"/>
          <w:sz w:val="18"/>
          <w:szCs w:val="21"/>
        </w:rPr>
      </w:pPr>
      <w:r>
        <w:rPr>
          <w:rFonts w:hint="eastAsia" w:ascii="宋体" w:hAnsi="宋体"/>
          <w:color w:val="auto"/>
          <w:sz w:val="18"/>
          <w:szCs w:val="21"/>
        </w:rPr>
        <w:t>1级：可看到或者触及肌肉轻微收缩，但不能产生动作。</w:t>
      </w:r>
    </w:p>
    <w:p>
      <w:pPr>
        <w:pStyle w:val="34"/>
        <w:spacing w:line="204" w:lineRule="auto"/>
        <w:ind w:left="0" w:leftChars="0" w:firstLine="0" w:firstLineChars="0"/>
        <w:rPr>
          <w:rFonts w:ascii="宋体" w:hAnsi="宋体"/>
          <w:color w:val="auto"/>
          <w:sz w:val="18"/>
          <w:szCs w:val="21"/>
        </w:rPr>
      </w:pPr>
      <w:r>
        <w:rPr>
          <w:rFonts w:hint="eastAsia" w:ascii="宋体" w:hAnsi="宋体"/>
          <w:color w:val="auto"/>
          <w:sz w:val="18"/>
          <w:szCs w:val="21"/>
        </w:rPr>
        <w:t>2级：肌肉在不受重力影响下，可进行运动，即肢体能在床面上移动，但不能抬高。</w:t>
      </w:r>
    </w:p>
    <w:p>
      <w:pPr>
        <w:pStyle w:val="34"/>
        <w:spacing w:line="204" w:lineRule="auto"/>
        <w:ind w:left="0" w:leftChars="0" w:firstLine="0" w:firstLineChars="0"/>
        <w:rPr>
          <w:rFonts w:ascii="宋体" w:hAnsi="宋体"/>
          <w:color w:val="auto"/>
          <w:sz w:val="18"/>
          <w:szCs w:val="21"/>
        </w:rPr>
      </w:pPr>
      <w:r>
        <w:rPr>
          <w:rFonts w:hint="eastAsia" w:ascii="宋体" w:hAnsi="宋体"/>
          <w:color w:val="auto"/>
          <w:sz w:val="18"/>
          <w:szCs w:val="21"/>
        </w:rPr>
        <w:t>3级：在和地心引力相反的方向中尚能完成其动作，但不能对抗外加阻力。</w:t>
      </w:r>
    </w:p>
    <w:p>
      <w:pPr>
        <w:pStyle w:val="34"/>
        <w:spacing w:line="204" w:lineRule="auto"/>
        <w:ind w:left="0" w:leftChars="0" w:firstLine="0" w:firstLineChars="0"/>
        <w:rPr>
          <w:rFonts w:ascii="宋体" w:hAnsi="宋体"/>
          <w:color w:val="auto"/>
          <w:sz w:val="18"/>
          <w:szCs w:val="21"/>
        </w:rPr>
      </w:pPr>
      <w:r>
        <w:rPr>
          <w:rFonts w:hint="eastAsia" w:ascii="宋体" w:hAnsi="宋体"/>
          <w:color w:val="auto"/>
          <w:sz w:val="18"/>
          <w:szCs w:val="21"/>
        </w:rPr>
        <w:t>4级：能对抗一定的阻力，但较正常人为低。</w:t>
      </w:r>
    </w:p>
    <w:p>
      <w:pPr>
        <w:pStyle w:val="34"/>
        <w:spacing w:line="204" w:lineRule="auto"/>
        <w:ind w:left="0" w:leftChars="0" w:firstLine="0" w:firstLineChars="0"/>
        <w:rPr>
          <w:rFonts w:ascii="宋体" w:hAnsi="宋体"/>
          <w:color w:val="auto"/>
          <w:sz w:val="18"/>
          <w:szCs w:val="21"/>
        </w:rPr>
      </w:pPr>
      <w:r>
        <w:rPr>
          <w:rFonts w:hint="eastAsia" w:ascii="宋体" w:hAnsi="宋体"/>
          <w:color w:val="auto"/>
          <w:sz w:val="18"/>
          <w:szCs w:val="21"/>
        </w:rPr>
        <w:t>5级：正常肌力。</w:t>
      </w:r>
    </w:p>
    <w:p>
      <w:pPr>
        <w:pStyle w:val="34"/>
        <w:ind w:left="0" w:leftChars="0" w:firstLine="0" w:firstLineChars="0"/>
        <w:rPr>
          <w:rFonts w:ascii="宋体" w:hAnsi="宋体"/>
          <w:b/>
          <w:color w:val="auto"/>
          <w:sz w:val="18"/>
          <w:szCs w:val="21"/>
        </w:rPr>
      </w:pPr>
      <w:r>
        <w:rPr>
          <w:rFonts w:hint="eastAsia" w:ascii="宋体" w:hAnsi="宋体"/>
          <w:color w:val="auto"/>
          <w:sz w:val="18"/>
          <w:szCs w:val="21"/>
        </w:rPr>
        <w:t>如无特别说明，本附加险合同下文提及处，意思相同。</w:t>
      </w:r>
    </w:p>
  </w:footnote>
  <w:footnote w:id="5">
    <w:p>
      <w:pPr>
        <w:pStyle w:val="34"/>
        <w:ind w:left="0" w:leftChars="0" w:firstLine="0" w:firstLineChars="0"/>
        <w:rPr>
          <w:rFonts w:ascii="宋体" w:hAnsi="宋体"/>
          <w:b/>
          <w:color w:val="auto"/>
          <w:sz w:val="18"/>
          <w:szCs w:val="21"/>
        </w:rPr>
      </w:pPr>
      <w:r>
        <w:rPr>
          <w:rStyle w:val="18"/>
          <w:rFonts w:ascii="宋体" w:hAnsi="宋体"/>
          <w:b/>
          <w:color w:val="auto"/>
          <w:sz w:val="18"/>
          <w:szCs w:val="21"/>
        </w:rPr>
        <w:footnoteRef/>
      </w:r>
      <w:r>
        <w:rPr>
          <w:rFonts w:hint="eastAsia" w:ascii="宋体" w:hAnsi="宋体"/>
          <w:b/>
          <w:color w:val="auto"/>
          <w:sz w:val="18"/>
          <w:szCs w:val="21"/>
        </w:rPr>
        <w:t xml:space="preserve"> 语言能力完全丧失：</w:t>
      </w:r>
      <w:r>
        <w:rPr>
          <w:rFonts w:hint="eastAsia" w:ascii="宋体" w:hAnsi="宋体"/>
          <w:color w:val="auto"/>
          <w:sz w:val="18"/>
          <w:szCs w:val="21"/>
        </w:rPr>
        <w:t>指无法发出四种语音（包括口唇音、齿舌音、口盖音和喉头音）中的任何三种、或声带全部切除，或因大脑语言中枢受伤害而患失语症。如无特别说明，本附加险合同下文提及处，意思相同。</w:t>
      </w:r>
    </w:p>
  </w:footnote>
  <w:footnote w:id="6">
    <w:p>
      <w:pPr>
        <w:pStyle w:val="34"/>
        <w:ind w:left="0" w:leftChars="0" w:firstLine="0" w:firstLineChars="0"/>
        <w:rPr>
          <w:rFonts w:ascii="宋体" w:hAnsi="宋体"/>
          <w:b/>
          <w:color w:val="auto"/>
          <w:sz w:val="18"/>
          <w:szCs w:val="21"/>
        </w:rPr>
      </w:pPr>
      <w:r>
        <w:rPr>
          <w:rStyle w:val="18"/>
          <w:rFonts w:ascii="宋体" w:hAnsi="宋体"/>
          <w:b/>
          <w:color w:val="auto"/>
          <w:sz w:val="18"/>
          <w:szCs w:val="21"/>
        </w:rPr>
        <w:footnoteRef/>
      </w:r>
      <w:r>
        <w:rPr>
          <w:rFonts w:hint="eastAsia" w:ascii="宋体" w:hAnsi="宋体"/>
          <w:b/>
          <w:color w:val="auto"/>
          <w:sz w:val="18"/>
          <w:szCs w:val="21"/>
        </w:rPr>
        <w:t xml:space="preserve"> 严重咀嚼吞咽功能障碍：</w:t>
      </w:r>
      <w:r>
        <w:rPr>
          <w:rFonts w:hint="eastAsia" w:ascii="宋体" w:hAnsi="宋体"/>
          <w:color w:val="auto"/>
          <w:sz w:val="18"/>
          <w:szCs w:val="21"/>
        </w:rPr>
        <w:t>指因牙齿以外的原因导致器质障碍或机能障碍，以致不能作咀嚼吞咽运动，除流质食物外不能摄取或吞咽的状态。如无特别说明，本附加险合同下文提及处，意思相同。</w:t>
      </w:r>
    </w:p>
  </w:footnote>
  <w:footnote w:id="7">
    <w:p>
      <w:pPr>
        <w:pStyle w:val="34"/>
        <w:ind w:left="0" w:leftChars="0" w:firstLine="0" w:firstLineChars="0"/>
        <w:rPr>
          <w:rFonts w:ascii="宋体" w:hAnsi="宋体"/>
          <w:b/>
          <w:color w:val="auto"/>
          <w:sz w:val="18"/>
          <w:szCs w:val="21"/>
        </w:rPr>
      </w:pPr>
      <w:r>
        <w:rPr>
          <w:rStyle w:val="18"/>
          <w:rFonts w:ascii="宋体" w:hAnsi="宋体"/>
          <w:b/>
          <w:color w:val="auto"/>
          <w:sz w:val="18"/>
        </w:rPr>
        <w:footnoteRef/>
      </w:r>
      <w:r>
        <w:rPr>
          <w:rFonts w:hint="eastAsia" w:ascii="宋体" w:hAnsi="宋体"/>
          <w:b/>
          <w:color w:val="auto"/>
          <w:sz w:val="18"/>
          <w:szCs w:val="21"/>
        </w:rPr>
        <w:t xml:space="preserve"> 六项基本日常生活活动</w:t>
      </w:r>
      <w:r>
        <w:rPr>
          <w:rFonts w:hint="eastAsia" w:ascii="宋体" w:hAnsi="宋体"/>
          <w:color w:val="auto"/>
          <w:sz w:val="18"/>
          <w:szCs w:val="21"/>
        </w:rPr>
        <w:t>：是指：（1）穿衣：自己能够穿衣及脱衣；（2）移动：自己从一个房间到另一个房间；（3）行动：自己上下床或上下轮椅；（4）如厕：自己控制进行大小便；（5）进食：自己从已准备好的碗或碟中取食物放入口中；（6）洗澡：自己进行淋浴或盆浴。</w:t>
      </w:r>
      <w:r>
        <w:rPr>
          <w:rFonts w:hint="eastAsia" w:ascii="宋体" w:hAnsi="宋体"/>
          <w:b/>
          <w:color w:val="auto"/>
          <w:sz w:val="18"/>
          <w:szCs w:val="21"/>
        </w:rPr>
        <w:t>六项基本日常生活活动能力的鉴定不适用于0-3周岁幼儿。</w:t>
      </w:r>
      <w:r>
        <w:rPr>
          <w:rFonts w:hint="eastAsia" w:ascii="宋体" w:hAnsi="宋体"/>
          <w:color w:val="auto"/>
          <w:sz w:val="18"/>
          <w:szCs w:val="21"/>
        </w:rPr>
        <w:t>如无特别说明，本附加险合同下文提及处，意思相同。</w:t>
      </w:r>
    </w:p>
  </w:footnote>
  <w:footnote w:id="8">
    <w:p>
      <w:pPr>
        <w:pStyle w:val="34"/>
        <w:ind w:left="0" w:leftChars="0" w:firstLine="0" w:firstLineChars="0"/>
        <w:rPr>
          <w:rFonts w:ascii="宋体" w:hAnsi="宋体"/>
          <w:b/>
          <w:szCs w:val="21"/>
        </w:rPr>
      </w:pPr>
      <w:r>
        <w:rPr>
          <w:rStyle w:val="18"/>
          <w:rFonts w:ascii="宋体" w:hAnsi="宋体"/>
          <w:b/>
          <w:sz w:val="18"/>
        </w:rPr>
        <w:footnoteRef/>
      </w:r>
      <w:r>
        <w:rPr>
          <w:rFonts w:hint="eastAsia" w:ascii="宋体" w:hAnsi="宋体"/>
          <w:b/>
          <w:sz w:val="18"/>
          <w:szCs w:val="21"/>
        </w:rPr>
        <w:t xml:space="preserve"> 永久不可逆：</w:t>
      </w:r>
      <w:r>
        <w:rPr>
          <w:rFonts w:hint="eastAsia" w:ascii="宋体" w:hAnsi="宋体"/>
          <w:sz w:val="18"/>
          <w:szCs w:val="21"/>
        </w:rPr>
        <w:t>指自疾病确诊或意外伤害发生之日起，经过积极治疗180天后，仍无法通过现有医疗手段恢复。如无特别说明，本附加险合同下文提及处，意思相同。</w:t>
      </w:r>
    </w:p>
  </w:footnote>
  <w:footnote w:id="9">
    <w:p>
      <w:pPr>
        <w:pStyle w:val="34"/>
        <w:ind w:left="0" w:leftChars="0" w:firstLine="0" w:firstLineChars="0"/>
        <w:rPr>
          <w:rFonts w:ascii="宋体" w:hAnsi="宋体"/>
          <w:b/>
          <w:color w:val="auto"/>
          <w:sz w:val="18"/>
          <w:szCs w:val="21"/>
        </w:rPr>
      </w:pPr>
      <w:r>
        <w:rPr>
          <w:rStyle w:val="18"/>
          <w:rFonts w:ascii="宋体" w:hAnsi="宋体"/>
          <w:b/>
          <w:sz w:val="18"/>
        </w:rPr>
        <w:footnoteRef/>
      </w:r>
      <w:r>
        <w:rPr>
          <w:rFonts w:hint="eastAsia" w:ascii="宋体" w:hAnsi="宋体"/>
          <w:b/>
          <w:sz w:val="18"/>
          <w:szCs w:val="21"/>
        </w:rPr>
        <w:t xml:space="preserve"> 美国纽约心脏病学会（New York Hea</w:t>
      </w:r>
      <w:r>
        <w:rPr>
          <w:rFonts w:hint="eastAsia" w:ascii="宋体" w:hAnsi="宋体"/>
          <w:b/>
          <w:color w:val="auto"/>
          <w:sz w:val="18"/>
          <w:szCs w:val="21"/>
        </w:rPr>
        <w:t>rt Association，NYHA）心功能状态分级：</w:t>
      </w:r>
      <w:r>
        <w:rPr>
          <w:rFonts w:hint="eastAsia" w:ascii="宋体" w:hAnsi="宋体"/>
          <w:color w:val="auto"/>
          <w:sz w:val="18"/>
          <w:szCs w:val="21"/>
        </w:rPr>
        <w:t>美国纽约心脏病学会（New York Heart Association，NYHA）将心功能状态分为四级：</w:t>
      </w:r>
    </w:p>
    <w:p>
      <w:pPr>
        <w:pStyle w:val="34"/>
        <w:ind w:left="0" w:leftChars="0" w:firstLine="0" w:firstLineChars="0"/>
        <w:rPr>
          <w:rFonts w:ascii="宋体" w:hAnsi="宋体"/>
          <w:color w:val="auto"/>
          <w:sz w:val="18"/>
          <w:szCs w:val="21"/>
        </w:rPr>
      </w:pPr>
      <w:r>
        <w:rPr>
          <w:rFonts w:hint="eastAsia" w:ascii="宋体" w:hAnsi="宋体"/>
          <w:color w:val="auto"/>
          <w:sz w:val="18"/>
          <w:szCs w:val="21"/>
        </w:rPr>
        <w:t>Ⅰ级：心脏病病人日常活动量不受限制，一般活动不引起乏力、呼吸困难等心衰症状。</w:t>
      </w:r>
    </w:p>
    <w:p>
      <w:pPr>
        <w:pStyle w:val="34"/>
        <w:ind w:left="0" w:leftChars="0" w:firstLine="0" w:firstLineChars="0"/>
        <w:rPr>
          <w:rFonts w:ascii="宋体" w:hAnsi="宋体"/>
          <w:color w:val="auto"/>
          <w:sz w:val="18"/>
          <w:szCs w:val="21"/>
        </w:rPr>
      </w:pPr>
      <w:r>
        <w:rPr>
          <w:rFonts w:hint="eastAsia" w:ascii="宋体" w:hAnsi="宋体"/>
          <w:color w:val="auto"/>
          <w:sz w:val="18"/>
          <w:szCs w:val="21"/>
        </w:rPr>
        <w:t>Ⅱ级：心脏病病人体力活动轻度受限制，休息时无自觉症状，一般活动下可出现心衰症状。</w:t>
      </w:r>
    </w:p>
    <w:p>
      <w:pPr>
        <w:pStyle w:val="34"/>
        <w:ind w:left="0" w:leftChars="0" w:firstLine="0" w:firstLineChars="0"/>
        <w:rPr>
          <w:rFonts w:ascii="宋体" w:hAnsi="宋体"/>
          <w:color w:val="auto"/>
          <w:sz w:val="18"/>
          <w:szCs w:val="21"/>
        </w:rPr>
      </w:pPr>
      <w:r>
        <w:rPr>
          <w:rFonts w:hint="eastAsia" w:ascii="宋体" w:hAnsi="宋体"/>
          <w:color w:val="auto"/>
          <w:sz w:val="18"/>
          <w:szCs w:val="21"/>
        </w:rPr>
        <w:t>Ⅲ级：心脏病病人体力活动明显受限，低于平时一般活动即引起心衰症状。</w:t>
      </w:r>
    </w:p>
    <w:p>
      <w:pPr>
        <w:pStyle w:val="34"/>
        <w:ind w:left="0" w:leftChars="0" w:firstLine="0" w:firstLineChars="0"/>
        <w:rPr>
          <w:rFonts w:ascii="宋体" w:hAnsi="宋体"/>
          <w:color w:val="auto"/>
          <w:szCs w:val="21"/>
        </w:rPr>
      </w:pPr>
      <w:r>
        <w:rPr>
          <w:rFonts w:hint="eastAsia" w:ascii="宋体" w:hAnsi="宋体"/>
          <w:color w:val="auto"/>
          <w:sz w:val="18"/>
          <w:szCs w:val="21"/>
        </w:rPr>
        <w:t>Ⅳ级：心脏病病人不能从事任何体力活动，休息状态下也存在心衰症状，活动后加重。</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D1ADCD"/>
    <w:multiLevelType w:val="singleLevel"/>
    <w:tmpl w:val="9BD1ADCD"/>
    <w:lvl w:ilvl="0" w:tentative="0">
      <w:start w:val="10"/>
      <w:numFmt w:val="chineseCounting"/>
      <w:suff w:val="nothing"/>
      <w:lvlText w:val="%1、"/>
      <w:lvlJc w:val="left"/>
      <w:rPr>
        <w:rFonts w:hint="eastAsia"/>
      </w:rPr>
    </w:lvl>
  </w:abstractNum>
  <w:abstractNum w:abstractNumId="1">
    <w:nsid w:val="557F3AF1"/>
    <w:multiLevelType w:val="multilevel"/>
    <w:tmpl w:val="557F3AF1"/>
    <w:lvl w:ilvl="0" w:tentative="0">
      <w:start w:val="1"/>
      <w:numFmt w:val="decimal"/>
      <w:lvlText w:val="（%1）"/>
      <w:lvlJc w:val="left"/>
      <w:pPr>
        <w:ind w:left="1172" w:hanging="720"/>
      </w:pPr>
      <w:rPr>
        <w:rFonts w:hint="default"/>
      </w:rPr>
    </w:lvl>
    <w:lvl w:ilvl="1" w:tentative="0">
      <w:start w:val="1"/>
      <w:numFmt w:val="lowerLetter"/>
      <w:lvlText w:val="%2)"/>
      <w:lvlJc w:val="left"/>
      <w:pPr>
        <w:ind w:left="1292" w:hanging="420"/>
      </w:pPr>
    </w:lvl>
    <w:lvl w:ilvl="2" w:tentative="0">
      <w:start w:val="1"/>
      <w:numFmt w:val="lowerRoman"/>
      <w:lvlText w:val="%3."/>
      <w:lvlJc w:val="right"/>
      <w:pPr>
        <w:ind w:left="1712" w:hanging="420"/>
      </w:pPr>
    </w:lvl>
    <w:lvl w:ilvl="3" w:tentative="0">
      <w:start w:val="1"/>
      <w:numFmt w:val="decimal"/>
      <w:lvlText w:val="%4."/>
      <w:lvlJc w:val="left"/>
      <w:pPr>
        <w:ind w:left="2132" w:hanging="420"/>
      </w:pPr>
    </w:lvl>
    <w:lvl w:ilvl="4" w:tentative="0">
      <w:start w:val="1"/>
      <w:numFmt w:val="lowerLetter"/>
      <w:lvlText w:val="%5)"/>
      <w:lvlJc w:val="left"/>
      <w:pPr>
        <w:ind w:left="2552" w:hanging="420"/>
      </w:pPr>
    </w:lvl>
    <w:lvl w:ilvl="5" w:tentative="0">
      <w:start w:val="1"/>
      <w:numFmt w:val="lowerRoman"/>
      <w:lvlText w:val="%6."/>
      <w:lvlJc w:val="right"/>
      <w:pPr>
        <w:ind w:left="2972" w:hanging="420"/>
      </w:pPr>
    </w:lvl>
    <w:lvl w:ilvl="6" w:tentative="0">
      <w:start w:val="1"/>
      <w:numFmt w:val="decimal"/>
      <w:lvlText w:val="%7."/>
      <w:lvlJc w:val="left"/>
      <w:pPr>
        <w:ind w:left="3392" w:hanging="420"/>
      </w:pPr>
    </w:lvl>
    <w:lvl w:ilvl="7" w:tentative="0">
      <w:start w:val="1"/>
      <w:numFmt w:val="lowerLetter"/>
      <w:lvlText w:val="%8)"/>
      <w:lvlJc w:val="left"/>
      <w:pPr>
        <w:ind w:left="3812" w:hanging="420"/>
      </w:pPr>
    </w:lvl>
    <w:lvl w:ilvl="8" w:tentative="0">
      <w:start w:val="1"/>
      <w:numFmt w:val="lowerRoman"/>
      <w:lvlText w:val="%9."/>
      <w:lvlJc w:val="right"/>
      <w:pPr>
        <w:ind w:left="4232" w:hanging="420"/>
      </w:pPr>
    </w:lvl>
  </w:abstractNum>
  <w:abstractNum w:abstractNumId="2">
    <w:nsid w:val="5FAA3EC3"/>
    <w:multiLevelType w:val="multilevel"/>
    <w:tmpl w:val="5FAA3EC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20"/>
    <w:footnote w:id="2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jZGVkODY3YzEyOWNmMjYzZTc4M2QzNmQwMzYzMDEifQ=="/>
  </w:docVars>
  <w:rsids>
    <w:rsidRoot w:val="0084020B"/>
    <w:rsid w:val="0001287C"/>
    <w:rsid w:val="0001288C"/>
    <w:rsid w:val="00017335"/>
    <w:rsid w:val="00020406"/>
    <w:rsid w:val="00022FF3"/>
    <w:rsid w:val="000239C7"/>
    <w:rsid w:val="0002407E"/>
    <w:rsid w:val="000251B2"/>
    <w:rsid w:val="00032C19"/>
    <w:rsid w:val="00033F1A"/>
    <w:rsid w:val="00043C17"/>
    <w:rsid w:val="00044E3E"/>
    <w:rsid w:val="0004788A"/>
    <w:rsid w:val="000516D0"/>
    <w:rsid w:val="00051D2A"/>
    <w:rsid w:val="000713D0"/>
    <w:rsid w:val="00073495"/>
    <w:rsid w:val="00075099"/>
    <w:rsid w:val="00085B3E"/>
    <w:rsid w:val="00091C5A"/>
    <w:rsid w:val="000924F7"/>
    <w:rsid w:val="000A03BE"/>
    <w:rsid w:val="000B3E6A"/>
    <w:rsid w:val="000B4780"/>
    <w:rsid w:val="000D14C9"/>
    <w:rsid w:val="000D28F4"/>
    <w:rsid w:val="000D51B5"/>
    <w:rsid w:val="000E393D"/>
    <w:rsid w:val="000F254E"/>
    <w:rsid w:val="000F58C5"/>
    <w:rsid w:val="000F5DE2"/>
    <w:rsid w:val="00102548"/>
    <w:rsid w:val="0010544A"/>
    <w:rsid w:val="00107D01"/>
    <w:rsid w:val="00110C29"/>
    <w:rsid w:val="00112290"/>
    <w:rsid w:val="00115DA0"/>
    <w:rsid w:val="00116BC4"/>
    <w:rsid w:val="00116D32"/>
    <w:rsid w:val="00120216"/>
    <w:rsid w:val="00124CB2"/>
    <w:rsid w:val="00126FEE"/>
    <w:rsid w:val="00133071"/>
    <w:rsid w:val="001332BE"/>
    <w:rsid w:val="00140A78"/>
    <w:rsid w:val="00141D3B"/>
    <w:rsid w:val="00147C91"/>
    <w:rsid w:val="00151C99"/>
    <w:rsid w:val="00153C49"/>
    <w:rsid w:val="00155DC1"/>
    <w:rsid w:val="00156889"/>
    <w:rsid w:val="00157D73"/>
    <w:rsid w:val="00163C92"/>
    <w:rsid w:val="00164489"/>
    <w:rsid w:val="001748EE"/>
    <w:rsid w:val="001847E3"/>
    <w:rsid w:val="001903C0"/>
    <w:rsid w:val="00192218"/>
    <w:rsid w:val="00196D6F"/>
    <w:rsid w:val="001A181F"/>
    <w:rsid w:val="001A33EB"/>
    <w:rsid w:val="001B426B"/>
    <w:rsid w:val="001B46B1"/>
    <w:rsid w:val="001B6D17"/>
    <w:rsid w:val="001D2614"/>
    <w:rsid w:val="001D394A"/>
    <w:rsid w:val="001D65CF"/>
    <w:rsid w:val="001E04B2"/>
    <w:rsid w:val="001E12DB"/>
    <w:rsid w:val="001E2ED9"/>
    <w:rsid w:val="001F2AF6"/>
    <w:rsid w:val="001F3466"/>
    <w:rsid w:val="001F3ACF"/>
    <w:rsid w:val="001F45C3"/>
    <w:rsid w:val="00203D94"/>
    <w:rsid w:val="002100E4"/>
    <w:rsid w:val="00210D51"/>
    <w:rsid w:val="00215E46"/>
    <w:rsid w:val="0022319B"/>
    <w:rsid w:val="002232C9"/>
    <w:rsid w:val="0022393E"/>
    <w:rsid w:val="00223B97"/>
    <w:rsid w:val="00225A01"/>
    <w:rsid w:val="00226A44"/>
    <w:rsid w:val="002302E3"/>
    <w:rsid w:val="00231668"/>
    <w:rsid w:val="00233ACA"/>
    <w:rsid w:val="0024270B"/>
    <w:rsid w:val="00242EC1"/>
    <w:rsid w:val="00243E6E"/>
    <w:rsid w:val="00245E10"/>
    <w:rsid w:val="002500D3"/>
    <w:rsid w:val="002514FD"/>
    <w:rsid w:val="00257D7F"/>
    <w:rsid w:val="00264C31"/>
    <w:rsid w:val="00273F15"/>
    <w:rsid w:val="00275664"/>
    <w:rsid w:val="002766BE"/>
    <w:rsid w:val="00283991"/>
    <w:rsid w:val="002848C1"/>
    <w:rsid w:val="002877CD"/>
    <w:rsid w:val="00290C97"/>
    <w:rsid w:val="00292129"/>
    <w:rsid w:val="00293B77"/>
    <w:rsid w:val="002A205E"/>
    <w:rsid w:val="002B1E39"/>
    <w:rsid w:val="002B5C8F"/>
    <w:rsid w:val="002B7348"/>
    <w:rsid w:val="002C4982"/>
    <w:rsid w:val="002C4DC9"/>
    <w:rsid w:val="002D37AA"/>
    <w:rsid w:val="002D4A92"/>
    <w:rsid w:val="002E1744"/>
    <w:rsid w:val="002E492A"/>
    <w:rsid w:val="002E7204"/>
    <w:rsid w:val="002F2C88"/>
    <w:rsid w:val="00305850"/>
    <w:rsid w:val="00305AEF"/>
    <w:rsid w:val="00306433"/>
    <w:rsid w:val="00311349"/>
    <w:rsid w:val="00312E42"/>
    <w:rsid w:val="003170D6"/>
    <w:rsid w:val="00317F97"/>
    <w:rsid w:val="0032248D"/>
    <w:rsid w:val="00323529"/>
    <w:rsid w:val="00326D8E"/>
    <w:rsid w:val="003301EB"/>
    <w:rsid w:val="003303B7"/>
    <w:rsid w:val="003404B9"/>
    <w:rsid w:val="00344A28"/>
    <w:rsid w:val="0034618B"/>
    <w:rsid w:val="003548F8"/>
    <w:rsid w:val="003549BB"/>
    <w:rsid w:val="00375B72"/>
    <w:rsid w:val="00381314"/>
    <w:rsid w:val="00381551"/>
    <w:rsid w:val="0038195F"/>
    <w:rsid w:val="0038229B"/>
    <w:rsid w:val="0038662A"/>
    <w:rsid w:val="00387C4C"/>
    <w:rsid w:val="00394EA8"/>
    <w:rsid w:val="003A35D2"/>
    <w:rsid w:val="003A435B"/>
    <w:rsid w:val="003B0BA9"/>
    <w:rsid w:val="003B4AEB"/>
    <w:rsid w:val="003B77A2"/>
    <w:rsid w:val="003C22AA"/>
    <w:rsid w:val="003E00EE"/>
    <w:rsid w:val="003E68E2"/>
    <w:rsid w:val="003E6B61"/>
    <w:rsid w:val="003E71A7"/>
    <w:rsid w:val="003F2762"/>
    <w:rsid w:val="003F376F"/>
    <w:rsid w:val="003F3F12"/>
    <w:rsid w:val="00406C74"/>
    <w:rsid w:val="00407F7F"/>
    <w:rsid w:val="00416F23"/>
    <w:rsid w:val="004177E6"/>
    <w:rsid w:val="004201ED"/>
    <w:rsid w:val="004258C3"/>
    <w:rsid w:val="004260E9"/>
    <w:rsid w:val="00427095"/>
    <w:rsid w:val="0042723A"/>
    <w:rsid w:val="004337B6"/>
    <w:rsid w:val="00435DB5"/>
    <w:rsid w:val="00437799"/>
    <w:rsid w:val="004460D4"/>
    <w:rsid w:val="0045028B"/>
    <w:rsid w:val="00453737"/>
    <w:rsid w:val="004634FF"/>
    <w:rsid w:val="00463FEE"/>
    <w:rsid w:val="00466AD4"/>
    <w:rsid w:val="0047732E"/>
    <w:rsid w:val="00483F5B"/>
    <w:rsid w:val="004949B7"/>
    <w:rsid w:val="00494ABD"/>
    <w:rsid w:val="004958D7"/>
    <w:rsid w:val="004A03F3"/>
    <w:rsid w:val="004A1784"/>
    <w:rsid w:val="004A3026"/>
    <w:rsid w:val="004A3C45"/>
    <w:rsid w:val="004A7A0C"/>
    <w:rsid w:val="004B2722"/>
    <w:rsid w:val="004B6A29"/>
    <w:rsid w:val="004B6D4D"/>
    <w:rsid w:val="004C046E"/>
    <w:rsid w:val="004C6E1E"/>
    <w:rsid w:val="004F3150"/>
    <w:rsid w:val="004F5872"/>
    <w:rsid w:val="004F74C8"/>
    <w:rsid w:val="00501146"/>
    <w:rsid w:val="00502BC7"/>
    <w:rsid w:val="00503F29"/>
    <w:rsid w:val="00510532"/>
    <w:rsid w:val="00514C85"/>
    <w:rsid w:val="005245C3"/>
    <w:rsid w:val="005250F2"/>
    <w:rsid w:val="00525891"/>
    <w:rsid w:val="00531080"/>
    <w:rsid w:val="00535E28"/>
    <w:rsid w:val="00537EB6"/>
    <w:rsid w:val="00541348"/>
    <w:rsid w:val="00541DBD"/>
    <w:rsid w:val="00543D67"/>
    <w:rsid w:val="005444D4"/>
    <w:rsid w:val="00544C7D"/>
    <w:rsid w:val="0055188D"/>
    <w:rsid w:val="00554BFD"/>
    <w:rsid w:val="00555BBC"/>
    <w:rsid w:val="00557C2B"/>
    <w:rsid w:val="00560806"/>
    <w:rsid w:val="00561484"/>
    <w:rsid w:val="00562C16"/>
    <w:rsid w:val="00570518"/>
    <w:rsid w:val="00573B36"/>
    <w:rsid w:val="005753B8"/>
    <w:rsid w:val="00576041"/>
    <w:rsid w:val="00580217"/>
    <w:rsid w:val="005825F6"/>
    <w:rsid w:val="00584186"/>
    <w:rsid w:val="00585FAF"/>
    <w:rsid w:val="005913D3"/>
    <w:rsid w:val="00592102"/>
    <w:rsid w:val="00596935"/>
    <w:rsid w:val="005A20C7"/>
    <w:rsid w:val="005B2DEA"/>
    <w:rsid w:val="005B7AD6"/>
    <w:rsid w:val="005D3003"/>
    <w:rsid w:val="005D7BC4"/>
    <w:rsid w:val="005F083C"/>
    <w:rsid w:val="005F123E"/>
    <w:rsid w:val="00603982"/>
    <w:rsid w:val="0061376C"/>
    <w:rsid w:val="00623D3B"/>
    <w:rsid w:val="006245D8"/>
    <w:rsid w:val="00632D5D"/>
    <w:rsid w:val="0063420F"/>
    <w:rsid w:val="00634E8F"/>
    <w:rsid w:val="00647916"/>
    <w:rsid w:val="00651D86"/>
    <w:rsid w:val="00660D19"/>
    <w:rsid w:val="00661EDF"/>
    <w:rsid w:val="00663052"/>
    <w:rsid w:val="006713E1"/>
    <w:rsid w:val="0067396F"/>
    <w:rsid w:val="00677689"/>
    <w:rsid w:val="0068092C"/>
    <w:rsid w:val="0068305F"/>
    <w:rsid w:val="00683BE2"/>
    <w:rsid w:val="006903C7"/>
    <w:rsid w:val="00696347"/>
    <w:rsid w:val="0069722F"/>
    <w:rsid w:val="006A0C50"/>
    <w:rsid w:val="006A5F7A"/>
    <w:rsid w:val="006B0AB9"/>
    <w:rsid w:val="006B6420"/>
    <w:rsid w:val="006C04F7"/>
    <w:rsid w:val="006C3082"/>
    <w:rsid w:val="006C5F42"/>
    <w:rsid w:val="006D0B21"/>
    <w:rsid w:val="006D642A"/>
    <w:rsid w:val="006E7661"/>
    <w:rsid w:val="006F21A9"/>
    <w:rsid w:val="006F5274"/>
    <w:rsid w:val="006F78EA"/>
    <w:rsid w:val="007050DE"/>
    <w:rsid w:val="0071090B"/>
    <w:rsid w:val="00711B60"/>
    <w:rsid w:val="00716D85"/>
    <w:rsid w:val="007230AA"/>
    <w:rsid w:val="007376F2"/>
    <w:rsid w:val="00740CD4"/>
    <w:rsid w:val="00743A0B"/>
    <w:rsid w:val="0074483D"/>
    <w:rsid w:val="00750C68"/>
    <w:rsid w:val="007531B2"/>
    <w:rsid w:val="007562D8"/>
    <w:rsid w:val="0075742C"/>
    <w:rsid w:val="00760CD2"/>
    <w:rsid w:val="00761845"/>
    <w:rsid w:val="00764F05"/>
    <w:rsid w:val="00767109"/>
    <w:rsid w:val="00774F2B"/>
    <w:rsid w:val="00776909"/>
    <w:rsid w:val="007816E0"/>
    <w:rsid w:val="00782B56"/>
    <w:rsid w:val="007845CB"/>
    <w:rsid w:val="00791370"/>
    <w:rsid w:val="00794927"/>
    <w:rsid w:val="007B5159"/>
    <w:rsid w:val="007B74FA"/>
    <w:rsid w:val="007C1B2B"/>
    <w:rsid w:val="007C3E89"/>
    <w:rsid w:val="007D0B82"/>
    <w:rsid w:val="007D3A44"/>
    <w:rsid w:val="007D5CDF"/>
    <w:rsid w:val="007D632D"/>
    <w:rsid w:val="007E4122"/>
    <w:rsid w:val="00802512"/>
    <w:rsid w:val="00804773"/>
    <w:rsid w:val="00806931"/>
    <w:rsid w:val="008204A4"/>
    <w:rsid w:val="00820720"/>
    <w:rsid w:val="00823783"/>
    <w:rsid w:val="00823CA9"/>
    <w:rsid w:val="00830AAF"/>
    <w:rsid w:val="00834519"/>
    <w:rsid w:val="00835B7A"/>
    <w:rsid w:val="00836AB7"/>
    <w:rsid w:val="0084020B"/>
    <w:rsid w:val="0084577A"/>
    <w:rsid w:val="00852C52"/>
    <w:rsid w:val="0085486F"/>
    <w:rsid w:val="00855E61"/>
    <w:rsid w:val="008574EA"/>
    <w:rsid w:val="00861E4C"/>
    <w:rsid w:val="00862922"/>
    <w:rsid w:val="00862CA7"/>
    <w:rsid w:val="00877270"/>
    <w:rsid w:val="008815EF"/>
    <w:rsid w:val="00881B89"/>
    <w:rsid w:val="00890839"/>
    <w:rsid w:val="008927DA"/>
    <w:rsid w:val="00894F8E"/>
    <w:rsid w:val="008A53F2"/>
    <w:rsid w:val="008B0F43"/>
    <w:rsid w:val="008B4653"/>
    <w:rsid w:val="008B50A6"/>
    <w:rsid w:val="008D3D3A"/>
    <w:rsid w:val="008D4F42"/>
    <w:rsid w:val="008D5460"/>
    <w:rsid w:val="008E0BCF"/>
    <w:rsid w:val="008E1913"/>
    <w:rsid w:val="008E32D7"/>
    <w:rsid w:val="008E39BF"/>
    <w:rsid w:val="008E5295"/>
    <w:rsid w:val="008E6922"/>
    <w:rsid w:val="008E7E4F"/>
    <w:rsid w:val="008F176A"/>
    <w:rsid w:val="008F1A07"/>
    <w:rsid w:val="008F4D86"/>
    <w:rsid w:val="008F65A9"/>
    <w:rsid w:val="0090001D"/>
    <w:rsid w:val="009036E0"/>
    <w:rsid w:val="00906A74"/>
    <w:rsid w:val="009134CF"/>
    <w:rsid w:val="00917C9A"/>
    <w:rsid w:val="00917FBE"/>
    <w:rsid w:val="00922EA0"/>
    <w:rsid w:val="00923CF7"/>
    <w:rsid w:val="00925123"/>
    <w:rsid w:val="00925542"/>
    <w:rsid w:val="009305CD"/>
    <w:rsid w:val="00933214"/>
    <w:rsid w:val="00944CF6"/>
    <w:rsid w:val="0094725D"/>
    <w:rsid w:val="009505C3"/>
    <w:rsid w:val="0095288A"/>
    <w:rsid w:val="0095296A"/>
    <w:rsid w:val="00952C88"/>
    <w:rsid w:val="00960C4E"/>
    <w:rsid w:val="0097138C"/>
    <w:rsid w:val="009760AC"/>
    <w:rsid w:val="0098749D"/>
    <w:rsid w:val="00994333"/>
    <w:rsid w:val="009A0799"/>
    <w:rsid w:val="009A39A9"/>
    <w:rsid w:val="009A5110"/>
    <w:rsid w:val="009A63A2"/>
    <w:rsid w:val="009B0BC5"/>
    <w:rsid w:val="009B196A"/>
    <w:rsid w:val="009B28F2"/>
    <w:rsid w:val="009B2F6A"/>
    <w:rsid w:val="009C1ABD"/>
    <w:rsid w:val="009E2988"/>
    <w:rsid w:val="009F1740"/>
    <w:rsid w:val="009F1BFF"/>
    <w:rsid w:val="009F2045"/>
    <w:rsid w:val="009F56F7"/>
    <w:rsid w:val="009F76A3"/>
    <w:rsid w:val="00A0312F"/>
    <w:rsid w:val="00A073C7"/>
    <w:rsid w:val="00A12436"/>
    <w:rsid w:val="00A26D0F"/>
    <w:rsid w:val="00A2787F"/>
    <w:rsid w:val="00A30FD5"/>
    <w:rsid w:val="00A33359"/>
    <w:rsid w:val="00A371B8"/>
    <w:rsid w:val="00A4020A"/>
    <w:rsid w:val="00A4343C"/>
    <w:rsid w:val="00A43E3E"/>
    <w:rsid w:val="00A5333B"/>
    <w:rsid w:val="00A53CBF"/>
    <w:rsid w:val="00A65A08"/>
    <w:rsid w:val="00A672E8"/>
    <w:rsid w:val="00A805B2"/>
    <w:rsid w:val="00A81F21"/>
    <w:rsid w:val="00A86933"/>
    <w:rsid w:val="00A944D9"/>
    <w:rsid w:val="00A963B6"/>
    <w:rsid w:val="00AA2F89"/>
    <w:rsid w:val="00AA5922"/>
    <w:rsid w:val="00AA714A"/>
    <w:rsid w:val="00AB05DA"/>
    <w:rsid w:val="00AB6114"/>
    <w:rsid w:val="00AD6287"/>
    <w:rsid w:val="00AD6E26"/>
    <w:rsid w:val="00AE0550"/>
    <w:rsid w:val="00AE755C"/>
    <w:rsid w:val="00AF2BA9"/>
    <w:rsid w:val="00AF37B3"/>
    <w:rsid w:val="00AF429A"/>
    <w:rsid w:val="00AF5688"/>
    <w:rsid w:val="00AF6F27"/>
    <w:rsid w:val="00B005FA"/>
    <w:rsid w:val="00B05B64"/>
    <w:rsid w:val="00B128D5"/>
    <w:rsid w:val="00B1737A"/>
    <w:rsid w:val="00B1744C"/>
    <w:rsid w:val="00B20371"/>
    <w:rsid w:val="00B25596"/>
    <w:rsid w:val="00B26A6A"/>
    <w:rsid w:val="00B30364"/>
    <w:rsid w:val="00B376A1"/>
    <w:rsid w:val="00B40DB6"/>
    <w:rsid w:val="00B4523E"/>
    <w:rsid w:val="00B4673A"/>
    <w:rsid w:val="00B47B62"/>
    <w:rsid w:val="00B71C01"/>
    <w:rsid w:val="00B74E66"/>
    <w:rsid w:val="00B874F3"/>
    <w:rsid w:val="00B9730E"/>
    <w:rsid w:val="00BA10DE"/>
    <w:rsid w:val="00BA502F"/>
    <w:rsid w:val="00BA70C9"/>
    <w:rsid w:val="00BB46E5"/>
    <w:rsid w:val="00BC062A"/>
    <w:rsid w:val="00BC5789"/>
    <w:rsid w:val="00BC6C24"/>
    <w:rsid w:val="00BD3B98"/>
    <w:rsid w:val="00BE4AB4"/>
    <w:rsid w:val="00BE7B61"/>
    <w:rsid w:val="00BF38C6"/>
    <w:rsid w:val="00BF7855"/>
    <w:rsid w:val="00C00E09"/>
    <w:rsid w:val="00C03D1E"/>
    <w:rsid w:val="00C046B0"/>
    <w:rsid w:val="00C06CC7"/>
    <w:rsid w:val="00C07A5C"/>
    <w:rsid w:val="00C07D6B"/>
    <w:rsid w:val="00C10C5A"/>
    <w:rsid w:val="00C12544"/>
    <w:rsid w:val="00C237A4"/>
    <w:rsid w:val="00C23CF4"/>
    <w:rsid w:val="00C27E73"/>
    <w:rsid w:val="00C3416D"/>
    <w:rsid w:val="00C36B54"/>
    <w:rsid w:val="00C37AE2"/>
    <w:rsid w:val="00C432D2"/>
    <w:rsid w:val="00C43E9F"/>
    <w:rsid w:val="00C460A4"/>
    <w:rsid w:val="00C47E88"/>
    <w:rsid w:val="00C47EE2"/>
    <w:rsid w:val="00C567A7"/>
    <w:rsid w:val="00C6181C"/>
    <w:rsid w:val="00C6473F"/>
    <w:rsid w:val="00C70D34"/>
    <w:rsid w:val="00C713DF"/>
    <w:rsid w:val="00C7175A"/>
    <w:rsid w:val="00C727CC"/>
    <w:rsid w:val="00C731BD"/>
    <w:rsid w:val="00C733DC"/>
    <w:rsid w:val="00C9725E"/>
    <w:rsid w:val="00C975FB"/>
    <w:rsid w:val="00CA023E"/>
    <w:rsid w:val="00CB1EA7"/>
    <w:rsid w:val="00CB23A8"/>
    <w:rsid w:val="00CB5592"/>
    <w:rsid w:val="00CC2290"/>
    <w:rsid w:val="00CC59FB"/>
    <w:rsid w:val="00CC7468"/>
    <w:rsid w:val="00CD0E0C"/>
    <w:rsid w:val="00CD1E90"/>
    <w:rsid w:val="00CD7905"/>
    <w:rsid w:val="00CE2FDC"/>
    <w:rsid w:val="00CE575A"/>
    <w:rsid w:val="00CE6368"/>
    <w:rsid w:val="00CF0A39"/>
    <w:rsid w:val="00CF4509"/>
    <w:rsid w:val="00CF4BC2"/>
    <w:rsid w:val="00CF672B"/>
    <w:rsid w:val="00CF6DDA"/>
    <w:rsid w:val="00D01B6B"/>
    <w:rsid w:val="00D072A5"/>
    <w:rsid w:val="00D124E2"/>
    <w:rsid w:val="00D13F97"/>
    <w:rsid w:val="00D16182"/>
    <w:rsid w:val="00D220C3"/>
    <w:rsid w:val="00D2663B"/>
    <w:rsid w:val="00D31BF2"/>
    <w:rsid w:val="00D321AD"/>
    <w:rsid w:val="00D32E7A"/>
    <w:rsid w:val="00D36340"/>
    <w:rsid w:val="00D45ADD"/>
    <w:rsid w:val="00D47A61"/>
    <w:rsid w:val="00D505F9"/>
    <w:rsid w:val="00D5189A"/>
    <w:rsid w:val="00D67334"/>
    <w:rsid w:val="00D73522"/>
    <w:rsid w:val="00D7451A"/>
    <w:rsid w:val="00D74EBF"/>
    <w:rsid w:val="00D74FBB"/>
    <w:rsid w:val="00D814EB"/>
    <w:rsid w:val="00D83C0A"/>
    <w:rsid w:val="00D87705"/>
    <w:rsid w:val="00D957C1"/>
    <w:rsid w:val="00D960D8"/>
    <w:rsid w:val="00D97E00"/>
    <w:rsid w:val="00DA3E02"/>
    <w:rsid w:val="00DA56A2"/>
    <w:rsid w:val="00DC0B66"/>
    <w:rsid w:val="00DC12BD"/>
    <w:rsid w:val="00DC6111"/>
    <w:rsid w:val="00DD12EE"/>
    <w:rsid w:val="00DD5708"/>
    <w:rsid w:val="00DD65CE"/>
    <w:rsid w:val="00DE0CAC"/>
    <w:rsid w:val="00DE0E6A"/>
    <w:rsid w:val="00DE3E0E"/>
    <w:rsid w:val="00DE4F2D"/>
    <w:rsid w:val="00DE6D46"/>
    <w:rsid w:val="00DF5034"/>
    <w:rsid w:val="00DF7287"/>
    <w:rsid w:val="00E02777"/>
    <w:rsid w:val="00E05AE5"/>
    <w:rsid w:val="00E06663"/>
    <w:rsid w:val="00E071CD"/>
    <w:rsid w:val="00E10EC3"/>
    <w:rsid w:val="00E15822"/>
    <w:rsid w:val="00E15FE6"/>
    <w:rsid w:val="00E27166"/>
    <w:rsid w:val="00E36AD5"/>
    <w:rsid w:val="00E41F7E"/>
    <w:rsid w:val="00E4668E"/>
    <w:rsid w:val="00E47114"/>
    <w:rsid w:val="00E62BC2"/>
    <w:rsid w:val="00E660B9"/>
    <w:rsid w:val="00E67124"/>
    <w:rsid w:val="00E70EB4"/>
    <w:rsid w:val="00E729E5"/>
    <w:rsid w:val="00E72A0F"/>
    <w:rsid w:val="00E7583D"/>
    <w:rsid w:val="00E76245"/>
    <w:rsid w:val="00E87A86"/>
    <w:rsid w:val="00E9130C"/>
    <w:rsid w:val="00E940E1"/>
    <w:rsid w:val="00EA7878"/>
    <w:rsid w:val="00EC0950"/>
    <w:rsid w:val="00EC5D3B"/>
    <w:rsid w:val="00ED0F94"/>
    <w:rsid w:val="00ED6E19"/>
    <w:rsid w:val="00ED7C63"/>
    <w:rsid w:val="00EE5A4D"/>
    <w:rsid w:val="00EF386E"/>
    <w:rsid w:val="00EF393E"/>
    <w:rsid w:val="00EF68E6"/>
    <w:rsid w:val="00F052E8"/>
    <w:rsid w:val="00F07624"/>
    <w:rsid w:val="00F10071"/>
    <w:rsid w:val="00F259B1"/>
    <w:rsid w:val="00F27182"/>
    <w:rsid w:val="00F27CAB"/>
    <w:rsid w:val="00F30075"/>
    <w:rsid w:val="00F30272"/>
    <w:rsid w:val="00F32594"/>
    <w:rsid w:val="00F362AE"/>
    <w:rsid w:val="00F36BAB"/>
    <w:rsid w:val="00F404F1"/>
    <w:rsid w:val="00F46C62"/>
    <w:rsid w:val="00F4721B"/>
    <w:rsid w:val="00F47669"/>
    <w:rsid w:val="00F51660"/>
    <w:rsid w:val="00F54D84"/>
    <w:rsid w:val="00F57682"/>
    <w:rsid w:val="00F60B43"/>
    <w:rsid w:val="00F63574"/>
    <w:rsid w:val="00F649B5"/>
    <w:rsid w:val="00F734F3"/>
    <w:rsid w:val="00F7425A"/>
    <w:rsid w:val="00F762CF"/>
    <w:rsid w:val="00F76670"/>
    <w:rsid w:val="00F84355"/>
    <w:rsid w:val="00F860E7"/>
    <w:rsid w:val="00F95CDB"/>
    <w:rsid w:val="00FA23EA"/>
    <w:rsid w:val="00FA3F52"/>
    <w:rsid w:val="00FB2178"/>
    <w:rsid w:val="00FB2DDF"/>
    <w:rsid w:val="00FC31D2"/>
    <w:rsid w:val="00FC6BC0"/>
    <w:rsid w:val="00FD0CE2"/>
    <w:rsid w:val="00FD288F"/>
    <w:rsid w:val="00FD3F65"/>
    <w:rsid w:val="00FD3FFE"/>
    <w:rsid w:val="00FD46CC"/>
    <w:rsid w:val="00FE21D7"/>
    <w:rsid w:val="00FE497F"/>
    <w:rsid w:val="00FF763C"/>
    <w:rsid w:val="01A97E63"/>
    <w:rsid w:val="0AFA1456"/>
    <w:rsid w:val="1807279D"/>
    <w:rsid w:val="24C254E4"/>
    <w:rsid w:val="2AC00FF6"/>
    <w:rsid w:val="2FF82256"/>
    <w:rsid w:val="30817548"/>
    <w:rsid w:val="348168B9"/>
    <w:rsid w:val="3904346E"/>
    <w:rsid w:val="3ADF7132"/>
    <w:rsid w:val="466669BE"/>
    <w:rsid w:val="701D4EC7"/>
    <w:rsid w:val="7FA54511"/>
    <w:rsid w:val="EFD76CBF"/>
    <w:rsid w:val="F7F79EE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uiPriority="99" w:name="List 3"/>
    <w:lsdException w:qFormat="1" w:unhideWhenUsed="0" w:uiPriority="99" w:semiHidden="0"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37"/>
    <w:unhideWhenUsed/>
    <w:qFormat/>
    <w:locked/>
    <w:uiPriority w:val="0"/>
    <w:pPr>
      <w:keepNext/>
      <w:keepLines/>
      <w:spacing w:before="260" w:after="260" w:line="416" w:lineRule="auto"/>
      <w:outlineLvl w:val="1"/>
    </w:pPr>
    <w:rPr>
      <w:rFonts w:ascii="Calibri Light" w:hAnsi="Calibri Light"/>
      <w:b/>
      <w:bCs/>
      <w:sz w:val="32"/>
      <w:szCs w:val="32"/>
    </w:rPr>
  </w:style>
  <w:style w:type="paragraph" w:styleId="3">
    <w:name w:val="heading 3"/>
    <w:basedOn w:val="1"/>
    <w:next w:val="1"/>
    <w:link w:val="38"/>
    <w:unhideWhenUsed/>
    <w:qFormat/>
    <w:locked/>
    <w:uiPriority w:val="0"/>
    <w:pPr>
      <w:keepNext/>
      <w:keepLines/>
      <w:spacing w:before="260" w:after="260" w:line="416" w:lineRule="auto"/>
      <w:outlineLvl w:val="2"/>
    </w:pPr>
    <w:rPr>
      <w:b/>
      <w:bCs/>
      <w:sz w:val="32"/>
      <w:szCs w:val="32"/>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4">
    <w:name w:val="annotation text"/>
    <w:basedOn w:val="1"/>
    <w:link w:val="27"/>
    <w:qFormat/>
    <w:uiPriority w:val="99"/>
    <w:pPr>
      <w:jc w:val="left"/>
    </w:pPr>
  </w:style>
  <w:style w:type="paragraph" w:styleId="5">
    <w:name w:val="List 2"/>
    <w:basedOn w:val="1"/>
    <w:qFormat/>
    <w:uiPriority w:val="99"/>
    <w:pPr>
      <w:autoSpaceDE w:val="0"/>
      <w:autoSpaceDN w:val="0"/>
      <w:adjustRightInd w:val="0"/>
      <w:ind w:left="840" w:hanging="420"/>
      <w:jc w:val="left"/>
    </w:pPr>
    <w:rPr>
      <w:rFonts w:ascii="宋体"/>
      <w:kern w:val="0"/>
      <w:sz w:val="34"/>
      <w:szCs w:val="20"/>
    </w:rPr>
  </w:style>
  <w:style w:type="paragraph" w:styleId="6">
    <w:name w:val="Plain Text"/>
    <w:basedOn w:val="1"/>
    <w:link w:val="23"/>
    <w:qFormat/>
    <w:uiPriority w:val="99"/>
    <w:rPr>
      <w:rFonts w:ascii="宋体" w:hAnsi="Courier New"/>
      <w:szCs w:val="20"/>
    </w:rPr>
  </w:style>
  <w:style w:type="paragraph" w:styleId="7">
    <w:name w:val="Body Text Indent 2"/>
    <w:basedOn w:val="1"/>
    <w:link w:val="22"/>
    <w:qFormat/>
    <w:uiPriority w:val="99"/>
    <w:pPr>
      <w:ind w:firstLine="420"/>
    </w:pPr>
    <w:rPr>
      <w:szCs w:val="20"/>
    </w:rPr>
  </w:style>
  <w:style w:type="paragraph" w:styleId="8">
    <w:name w:val="Balloon Text"/>
    <w:basedOn w:val="1"/>
    <w:link w:val="29"/>
    <w:semiHidden/>
    <w:qFormat/>
    <w:uiPriority w:val="99"/>
    <w:rPr>
      <w:sz w:val="18"/>
      <w:szCs w:val="18"/>
    </w:rPr>
  </w:style>
  <w:style w:type="paragraph" w:styleId="9">
    <w:name w:val="footer"/>
    <w:basedOn w:val="1"/>
    <w:link w:val="20"/>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19"/>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List 4"/>
    <w:basedOn w:val="1"/>
    <w:qFormat/>
    <w:uiPriority w:val="99"/>
    <w:pPr>
      <w:ind w:left="100" w:leftChars="600" w:hanging="200" w:hangingChars="200"/>
    </w:pPr>
  </w:style>
  <w:style w:type="paragraph" w:styleId="12">
    <w:name w:val="Title"/>
    <w:basedOn w:val="1"/>
    <w:link w:val="21"/>
    <w:qFormat/>
    <w:uiPriority w:val="99"/>
    <w:pPr>
      <w:autoSpaceDE w:val="0"/>
      <w:autoSpaceDN w:val="0"/>
      <w:adjustRightInd w:val="0"/>
      <w:spacing w:before="240" w:after="60"/>
      <w:jc w:val="center"/>
      <w:outlineLvl w:val="0"/>
    </w:pPr>
    <w:rPr>
      <w:rFonts w:ascii="Arial" w:hAnsi="Arial"/>
      <w:b/>
      <w:kern w:val="0"/>
      <w:sz w:val="32"/>
      <w:szCs w:val="20"/>
    </w:rPr>
  </w:style>
  <w:style w:type="paragraph" w:styleId="13">
    <w:name w:val="annotation subject"/>
    <w:basedOn w:val="4"/>
    <w:next w:val="4"/>
    <w:link w:val="28"/>
    <w:semiHidden/>
    <w:qFormat/>
    <w:uiPriority w:val="99"/>
    <w:rPr>
      <w:b/>
      <w:bCs/>
    </w:rPr>
  </w:style>
  <w:style w:type="character" w:styleId="16">
    <w:name w:val="page number"/>
    <w:qFormat/>
    <w:uiPriority w:val="99"/>
    <w:rPr>
      <w:rFonts w:cs="Times New Roman"/>
    </w:rPr>
  </w:style>
  <w:style w:type="character" w:styleId="17">
    <w:name w:val="annotation reference"/>
    <w:semiHidden/>
    <w:qFormat/>
    <w:uiPriority w:val="99"/>
    <w:rPr>
      <w:rFonts w:cs="Times New Roman"/>
      <w:sz w:val="21"/>
      <w:szCs w:val="21"/>
    </w:rPr>
  </w:style>
  <w:style w:type="character" w:styleId="18">
    <w:name w:val="footnote reference"/>
    <w:qFormat/>
    <w:uiPriority w:val="0"/>
    <w:rPr>
      <w:vertAlign w:val="superscript"/>
    </w:rPr>
  </w:style>
  <w:style w:type="character" w:customStyle="1" w:styleId="19">
    <w:name w:val="页眉 字符"/>
    <w:link w:val="10"/>
    <w:qFormat/>
    <w:locked/>
    <w:uiPriority w:val="99"/>
    <w:rPr>
      <w:rFonts w:cs="Times New Roman"/>
      <w:sz w:val="18"/>
      <w:szCs w:val="18"/>
    </w:rPr>
  </w:style>
  <w:style w:type="character" w:customStyle="1" w:styleId="20">
    <w:name w:val="页脚 字符"/>
    <w:link w:val="9"/>
    <w:qFormat/>
    <w:locked/>
    <w:uiPriority w:val="99"/>
    <w:rPr>
      <w:rFonts w:cs="Times New Roman"/>
      <w:sz w:val="18"/>
      <w:szCs w:val="18"/>
    </w:rPr>
  </w:style>
  <w:style w:type="character" w:customStyle="1" w:styleId="21">
    <w:name w:val="标题 字符"/>
    <w:link w:val="12"/>
    <w:qFormat/>
    <w:locked/>
    <w:uiPriority w:val="99"/>
    <w:rPr>
      <w:rFonts w:ascii="Arial" w:hAnsi="Arial" w:eastAsia="宋体" w:cs="Times New Roman"/>
      <w:b/>
      <w:kern w:val="0"/>
      <w:sz w:val="20"/>
      <w:szCs w:val="20"/>
    </w:rPr>
  </w:style>
  <w:style w:type="character" w:customStyle="1" w:styleId="22">
    <w:name w:val="正文文本缩进 2 字符"/>
    <w:link w:val="7"/>
    <w:qFormat/>
    <w:locked/>
    <w:uiPriority w:val="99"/>
    <w:rPr>
      <w:rFonts w:ascii="Times New Roman" w:hAnsi="Times New Roman" w:eastAsia="宋体" w:cs="Times New Roman"/>
      <w:sz w:val="20"/>
      <w:szCs w:val="20"/>
    </w:rPr>
  </w:style>
  <w:style w:type="character" w:customStyle="1" w:styleId="23">
    <w:name w:val="纯文本 字符"/>
    <w:link w:val="6"/>
    <w:qFormat/>
    <w:locked/>
    <w:uiPriority w:val="99"/>
    <w:rPr>
      <w:rFonts w:ascii="宋体" w:hAnsi="Courier New" w:eastAsia="宋体" w:cs="Times New Roman"/>
      <w:sz w:val="20"/>
      <w:szCs w:val="20"/>
    </w:rPr>
  </w:style>
  <w:style w:type="paragraph" w:customStyle="1" w:styleId="24">
    <w:name w:val="正文文本 21"/>
    <w:basedOn w:val="1"/>
    <w:qFormat/>
    <w:uiPriority w:val="99"/>
    <w:pPr>
      <w:adjustRightInd w:val="0"/>
      <w:spacing w:line="240" w:lineRule="exact"/>
      <w:ind w:firstLine="435"/>
    </w:pPr>
    <w:rPr>
      <w:rFonts w:ascii="宋体"/>
      <w:kern w:val="0"/>
      <w:szCs w:val="20"/>
    </w:rPr>
  </w:style>
  <w:style w:type="paragraph" w:customStyle="1" w:styleId="25">
    <w:name w:val="List Paragraph"/>
    <w:basedOn w:val="1"/>
    <w:qFormat/>
    <w:uiPriority w:val="99"/>
    <w:pPr>
      <w:ind w:firstLine="420" w:firstLineChars="200"/>
    </w:pPr>
  </w:style>
  <w:style w:type="paragraph" w:customStyle="1" w:styleId="26">
    <w:name w:val="Char Char1"/>
    <w:basedOn w:val="1"/>
    <w:qFormat/>
    <w:uiPriority w:val="99"/>
    <w:pPr>
      <w:tabs>
        <w:tab w:val="left" w:pos="1440"/>
      </w:tabs>
      <w:ind w:left="1296" w:hanging="1296"/>
    </w:pPr>
    <w:rPr>
      <w:rFonts w:ascii="Arial" w:hAnsi="Arial" w:cs="Arial"/>
      <w:sz w:val="20"/>
      <w:szCs w:val="20"/>
    </w:rPr>
  </w:style>
  <w:style w:type="character" w:customStyle="1" w:styleId="27">
    <w:name w:val="批注文字 字符"/>
    <w:link w:val="4"/>
    <w:semiHidden/>
    <w:qFormat/>
    <w:locked/>
    <w:uiPriority w:val="99"/>
    <w:rPr>
      <w:rFonts w:ascii="Times New Roman" w:hAnsi="Times New Roman" w:eastAsia="宋体" w:cs="Times New Roman"/>
      <w:sz w:val="24"/>
      <w:szCs w:val="24"/>
    </w:rPr>
  </w:style>
  <w:style w:type="character" w:customStyle="1" w:styleId="28">
    <w:name w:val="批注主题 字符"/>
    <w:link w:val="13"/>
    <w:semiHidden/>
    <w:qFormat/>
    <w:locked/>
    <w:uiPriority w:val="99"/>
    <w:rPr>
      <w:rFonts w:ascii="Times New Roman" w:hAnsi="Times New Roman" w:eastAsia="宋体" w:cs="Times New Roman"/>
      <w:b/>
      <w:bCs/>
      <w:sz w:val="24"/>
      <w:szCs w:val="24"/>
    </w:rPr>
  </w:style>
  <w:style w:type="character" w:customStyle="1" w:styleId="29">
    <w:name w:val="批注框文本 字符"/>
    <w:link w:val="8"/>
    <w:semiHidden/>
    <w:qFormat/>
    <w:locked/>
    <w:uiPriority w:val="99"/>
    <w:rPr>
      <w:rFonts w:ascii="Times New Roman" w:hAnsi="Times New Roman" w:eastAsia="宋体" w:cs="Times New Roman"/>
      <w:sz w:val="18"/>
      <w:szCs w:val="18"/>
    </w:rPr>
  </w:style>
  <w:style w:type="paragraph" w:customStyle="1" w:styleId="30">
    <w:name w:val="Char Char11"/>
    <w:basedOn w:val="1"/>
    <w:qFormat/>
    <w:uiPriority w:val="99"/>
    <w:pPr>
      <w:tabs>
        <w:tab w:val="left" w:pos="1440"/>
      </w:tabs>
      <w:ind w:left="1296" w:hanging="1296"/>
    </w:pPr>
    <w:rPr>
      <w:rFonts w:ascii="Arial" w:hAnsi="Arial" w:cs="Arial"/>
      <w:sz w:val="20"/>
      <w:szCs w:val="20"/>
    </w:rPr>
  </w:style>
  <w:style w:type="paragraph" w:customStyle="1" w:styleId="31">
    <w:name w:val="条款标题"/>
    <w:basedOn w:val="1"/>
    <w:qFormat/>
    <w:uiPriority w:val="99"/>
    <w:pPr>
      <w:tabs>
        <w:tab w:val="left" w:pos="840"/>
      </w:tabs>
      <w:adjustRightInd w:val="0"/>
      <w:snapToGrid w:val="0"/>
    </w:pPr>
    <w:rPr>
      <w:b/>
    </w:rPr>
  </w:style>
  <w:style w:type="paragraph" w:customStyle="1" w:styleId="32">
    <w:name w:val="Char Char Char Char Char Char Char Char"/>
    <w:basedOn w:val="1"/>
    <w:qFormat/>
    <w:uiPriority w:val="99"/>
    <w:pPr>
      <w:tabs>
        <w:tab w:val="left" w:pos="1440"/>
      </w:tabs>
      <w:ind w:left="1296" w:hanging="1296"/>
    </w:pPr>
    <w:rPr>
      <w:rFonts w:ascii="Arial" w:hAnsi="Arial" w:cs="Arial"/>
      <w:sz w:val="20"/>
      <w:szCs w:val="20"/>
    </w:rPr>
  </w:style>
  <w:style w:type="paragraph" w:customStyle="1" w:styleId="33">
    <w:name w:val="Char Char Char Char Char"/>
    <w:basedOn w:val="1"/>
    <w:qFormat/>
    <w:uiPriority w:val="99"/>
    <w:pPr>
      <w:tabs>
        <w:tab w:val="left" w:pos="1440"/>
      </w:tabs>
      <w:ind w:left="1296" w:hanging="1296"/>
    </w:pPr>
    <w:rPr>
      <w:rFonts w:ascii="Arial" w:hAnsi="Arial" w:cs="Arial"/>
      <w:sz w:val="20"/>
      <w:szCs w:val="20"/>
    </w:rPr>
  </w:style>
  <w:style w:type="paragraph" w:customStyle="1" w:styleId="34">
    <w:name w:val="条款正文"/>
    <w:basedOn w:val="1"/>
    <w:link w:val="35"/>
    <w:qFormat/>
    <w:uiPriority w:val="0"/>
    <w:pPr>
      <w:adjustRightInd w:val="0"/>
      <w:snapToGrid w:val="0"/>
      <w:ind w:left="840" w:leftChars="400" w:firstLine="420" w:firstLineChars="200"/>
    </w:pPr>
    <w:rPr>
      <w:sz w:val="24"/>
      <w:szCs w:val="20"/>
    </w:rPr>
  </w:style>
  <w:style w:type="character" w:customStyle="1" w:styleId="35">
    <w:name w:val="条款正文 Char"/>
    <w:link w:val="34"/>
    <w:qFormat/>
    <w:locked/>
    <w:uiPriority w:val="99"/>
    <w:rPr>
      <w:rFonts w:ascii="Times New Roman" w:hAnsi="Times New Roman"/>
      <w:kern w:val="2"/>
      <w:sz w:val="24"/>
    </w:rPr>
  </w:style>
  <w:style w:type="paragraph" w:customStyle="1" w:styleId="36">
    <w:name w:val="Default"/>
    <w:qFormat/>
    <w:uiPriority w:val="99"/>
    <w:pPr>
      <w:widowControl w:val="0"/>
      <w:autoSpaceDE w:val="0"/>
      <w:autoSpaceDN w:val="0"/>
      <w:adjustRightInd w:val="0"/>
    </w:pPr>
    <w:rPr>
      <w:rFonts w:ascii="幼圆" w:hAnsi="Calibri" w:eastAsia="幼圆" w:cs="幼圆"/>
      <w:color w:val="000000"/>
      <w:sz w:val="24"/>
      <w:szCs w:val="24"/>
      <w:lang w:val="en-US" w:eastAsia="zh-CN" w:bidi="ar-SA"/>
    </w:rPr>
  </w:style>
  <w:style w:type="character" w:customStyle="1" w:styleId="37">
    <w:name w:val="标题 2 字符"/>
    <w:basedOn w:val="15"/>
    <w:link w:val="2"/>
    <w:semiHidden/>
    <w:qFormat/>
    <w:uiPriority w:val="0"/>
    <w:rPr>
      <w:rFonts w:ascii="Calibri Light" w:hAnsi="Calibri Light"/>
      <w:b/>
      <w:bCs/>
      <w:kern w:val="2"/>
      <w:sz w:val="32"/>
      <w:szCs w:val="32"/>
    </w:rPr>
  </w:style>
  <w:style w:type="character" w:customStyle="1" w:styleId="38">
    <w:name w:val="标题 3 字符"/>
    <w:basedOn w:val="15"/>
    <w:link w:val="3"/>
    <w:semiHidden/>
    <w:qFormat/>
    <w:uiPriority w:val="0"/>
    <w:rPr>
      <w:rFonts w:ascii="Times New Roman" w:hAnsi="Times New Roman"/>
      <w:b/>
      <w:bCs/>
      <w:kern w:val="2"/>
      <w:sz w:val="32"/>
      <w:szCs w:val="32"/>
    </w:rPr>
  </w:style>
  <w:style w:type="character" w:customStyle="1" w:styleId="39">
    <w:name w:val="条款正文 字符"/>
    <w:qFormat/>
    <w:uiPriority w:val="0"/>
    <w:rPr>
      <w:kern w:val="2"/>
      <w:sz w:val="21"/>
      <w:szCs w:val="24"/>
    </w:rPr>
  </w:style>
  <w:style w:type="paragraph" w:customStyle="1" w:styleId="40">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1474</Words>
  <Characters>8405</Characters>
  <Lines>70</Lines>
  <Paragraphs>19</Paragraphs>
  <TotalTime>19</TotalTime>
  <ScaleCrop>false</ScaleCrop>
  <LinksUpToDate>false</LinksUpToDate>
  <CharactersWithSpaces>9860</CharactersWithSpaces>
  <Application>WPS Office_4.2.2.6882_F1E327BC-269C-435d-A152-05C5408002CA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2021-04-12T19:19:00Z</dcterms:created>
  <dc:creator>罗荣敏</dc:creator>
  <cp:lastModifiedBy>Zixuan Shen</cp:lastModifiedBy>
  <cp:lastPrinted>2019-06-11T17:44:00Z</cp:lastPrinted>
  <dcterms:modified xsi:type="dcterms:W3CDTF">2022-07-15T13:55:42Z</dcterms:modified>
  <dc:title>XXX保险公司广西地区学生意外伤害保险</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BB59ED0D70914BE8AA50837968E46D24</vt:lpwstr>
  </property>
</Properties>
</file>