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08E0E">
      <w:pPr>
        <w:spacing w:line="360" w:lineRule="auto"/>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华农财产保险股份有限公司交通工具意外伤害保险</w:t>
      </w:r>
      <w:r>
        <w:rPr>
          <w:rFonts w:hint="eastAsia" w:ascii="宋体" w:hAnsi="宋体" w:eastAsia="宋体" w:cs="宋体"/>
          <w:b/>
          <w:bCs/>
          <w:color w:val="000000"/>
          <w:kern w:val="0"/>
          <w:sz w:val="28"/>
          <w:szCs w:val="28"/>
          <w:lang w:val="en-US" w:eastAsia="zh-CN"/>
        </w:rPr>
        <w:t>D</w:t>
      </w:r>
      <w:r>
        <w:rPr>
          <w:rFonts w:hint="eastAsia" w:ascii="宋体" w:hAnsi="宋体" w:eastAsia="宋体" w:cs="宋体"/>
          <w:b/>
          <w:bCs/>
          <w:color w:val="000000"/>
          <w:kern w:val="0"/>
          <w:sz w:val="28"/>
          <w:szCs w:val="28"/>
        </w:rPr>
        <w:t>款费率表</w:t>
      </w:r>
    </w:p>
    <w:p w14:paraId="5C0DD7A4">
      <w:pPr>
        <w:spacing w:after="156" w:afterLines="50" w:line="276" w:lineRule="auto"/>
        <w:jc w:val="center"/>
        <w:rPr>
          <w:rFonts w:hint="eastAsia" w:ascii="宋体" w:hAnsi="宋体" w:eastAsia="宋体" w:cs="宋体"/>
          <w:b/>
          <w:bCs/>
          <w:color w:val="000000"/>
          <w:kern w:val="0"/>
          <w:sz w:val="28"/>
          <w:szCs w:val="28"/>
        </w:rPr>
      </w:pPr>
    </w:p>
    <w:p w14:paraId="62E49CFD">
      <w:pPr>
        <w:spacing w:line="360" w:lineRule="auto"/>
        <w:rPr>
          <w:rFonts w:hint="eastAsia" w:ascii="宋体" w:hAnsi="宋体" w:eastAsia="宋体" w:cs="宋体"/>
          <w:b/>
          <w:bCs/>
        </w:rPr>
      </w:pPr>
      <w:r>
        <w:rPr>
          <w:rFonts w:hint="eastAsia" w:ascii="宋体" w:hAnsi="宋体" w:eastAsia="宋体" w:cs="宋体"/>
          <w:b/>
          <w:bCs/>
        </w:rPr>
        <w:t>一、基准费率</w:t>
      </w:r>
    </w:p>
    <w:p w14:paraId="4ED220B8">
      <w:pPr>
        <w:rPr>
          <w:rFonts w:hint="eastAsia" w:ascii="宋体" w:hAnsi="宋体" w:eastAsia="宋体" w:cs="宋体"/>
          <w:lang w:val="en-US" w:eastAsia="zh-CN"/>
        </w:rPr>
      </w:pPr>
      <w:r>
        <w:rPr>
          <w:rFonts w:hint="eastAsia" w:ascii="宋体" w:hAnsi="宋体" w:eastAsia="宋体" w:cs="宋体"/>
          <w:lang w:val="en-US" w:eastAsia="zh-CN"/>
        </w:rPr>
        <w:t>（一）意外伤害保险责任（必选责任）</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15"/>
        <w:gridCol w:w="3207"/>
      </w:tblGrid>
      <w:tr w14:paraId="75966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3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9D37F">
            <w:pPr>
              <w:keepNext w:val="0"/>
              <w:keepLines w:val="0"/>
              <w:widowControl/>
              <w:suppressLineNumbers w:val="0"/>
              <w:jc w:val="center"/>
              <w:textAlignment w:val="center"/>
              <w:rPr>
                <w:rFonts w:hint="default"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交通工具</w:t>
            </w:r>
          </w:p>
        </w:tc>
        <w:tc>
          <w:tcPr>
            <w:tcW w:w="2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CEC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基准费率</w:t>
            </w:r>
          </w:p>
        </w:tc>
      </w:tr>
      <w:tr w14:paraId="7E894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 w:hRule="atLeast"/>
        </w:trPr>
        <w:tc>
          <w:tcPr>
            <w:tcW w:w="3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09725">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飞机（</w:t>
            </w:r>
            <w:r>
              <w:rPr>
                <w:rStyle w:val="21"/>
                <w:lang w:val="en-US" w:eastAsia="zh-CN" w:bidi="ar"/>
              </w:rPr>
              <w:t>民航客机</w:t>
            </w:r>
            <w:r>
              <w:rPr>
                <w:rStyle w:val="22"/>
                <w:b w:val="0"/>
                <w:bCs w:val="0"/>
                <w:lang w:val="en-US" w:eastAsia="zh-CN" w:bidi="ar"/>
              </w:rPr>
              <w:t>）</w:t>
            </w:r>
          </w:p>
        </w:tc>
        <w:tc>
          <w:tcPr>
            <w:tcW w:w="2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36A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0.035</w:t>
            </w:r>
            <w:r>
              <w:rPr>
                <w:rStyle w:val="21"/>
                <w:lang w:val="en-US" w:eastAsia="zh-CN" w:bidi="ar"/>
              </w:rPr>
              <w:t>‰</w:t>
            </w:r>
          </w:p>
        </w:tc>
      </w:tr>
      <w:tr w14:paraId="2892E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3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435C">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火车</w:t>
            </w:r>
            <w:r>
              <w:rPr>
                <w:rStyle w:val="21"/>
                <w:lang w:val="en-US" w:eastAsia="zh-CN" w:bidi="ar"/>
              </w:rPr>
              <w:t>（列车、轻轨、地铁）</w:t>
            </w:r>
          </w:p>
        </w:tc>
        <w:tc>
          <w:tcPr>
            <w:tcW w:w="2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2D4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0.035</w:t>
            </w:r>
            <w:r>
              <w:rPr>
                <w:rStyle w:val="21"/>
                <w:lang w:val="en-US" w:eastAsia="zh-CN" w:bidi="ar"/>
              </w:rPr>
              <w:t>‰</w:t>
            </w:r>
          </w:p>
        </w:tc>
      </w:tr>
      <w:tr w14:paraId="22D7E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3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7B24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Style w:val="22"/>
                <w:b w:val="0"/>
                <w:bCs w:val="0"/>
                <w:lang w:val="en-US" w:eastAsia="zh-CN" w:bidi="ar"/>
              </w:rPr>
              <w:t>轮船</w:t>
            </w:r>
            <w:r>
              <w:rPr>
                <w:rStyle w:val="21"/>
                <w:lang w:val="en-US" w:eastAsia="zh-CN" w:bidi="ar"/>
              </w:rPr>
              <w:t>（客船、渡船、游船）</w:t>
            </w:r>
          </w:p>
        </w:tc>
        <w:tc>
          <w:tcPr>
            <w:tcW w:w="2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85F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0.035</w:t>
            </w:r>
            <w:r>
              <w:rPr>
                <w:rStyle w:val="21"/>
                <w:lang w:val="en-US" w:eastAsia="zh-CN" w:bidi="ar"/>
              </w:rPr>
              <w:t>‰</w:t>
            </w:r>
          </w:p>
        </w:tc>
      </w:tr>
      <w:tr w14:paraId="41358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3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22CBF">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汽车（</w:t>
            </w:r>
            <w:r>
              <w:rPr>
                <w:rStyle w:val="21"/>
                <w:lang w:val="en-US" w:eastAsia="zh-CN" w:bidi="ar"/>
              </w:rPr>
              <w:t>公共汽车、公共电车、出租车</w:t>
            </w:r>
            <w:r>
              <w:rPr>
                <w:rStyle w:val="22"/>
                <w:b w:val="0"/>
                <w:bCs w:val="0"/>
                <w:lang w:val="en-US" w:eastAsia="zh-CN" w:bidi="ar"/>
              </w:rPr>
              <w:t>）</w:t>
            </w:r>
          </w:p>
        </w:tc>
        <w:tc>
          <w:tcPr>
            <w:tcW w:w="2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67E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0.23</w:t>
            </w:r>
            <w:r>
              <w:rPr>
                <w:rStyle w:val="21"/>
                <w:lang w:val="en-US" w:eastAsia="zh-CN" w:bidi="ar"/>
              </w:rPr>
              <w:t>‰</w:t>
            </w:r>
          </w:p>
        </w:tc>
      </w:tr>
    </w:tbl>
    <w:p w14:paraId="0A40DB4C">
      <w:pPr>
        <w:rPr>
          <w:rFonts w:hint="eastAsia" w:ascii="宋体" w:hAnsi="宋体" w:eastAsia="宋体" w:cs="宋体"/>
          <w:lang w:eastAsia="zh-CN"/>
        </w:rPr>
      </w:pPr>
    </w:p>
    <w:p w14:paraId="23C8AB9D">
      <w:pPr>
        <w:numPr>
          <w:ilvl w:val="0"/>
          <w:numId w:val="1"/>
        </w:numPr>
        <w:rPr>
          <w:rFonts w:hint="eastAsia" w:ascii="宋体" w:hAnsi="宋体" w:eastAsia="宋体" w:cs="宋体"/>
          <w:lang w:val="en-US" w:eastAsia="zh-CN"/>
        </w:rPr>
      </w:pPr>
      <w:r>
        <w:rPr>
          <w:rFonts w:hint="eastAsia" w:ascii="宋体" w:hAnsi="宋体" w:eastAsia="宋体" w:cs="宋体"/>
          <w:lang w:val="en-US" w:eastAsia="zh-CN"/>
        </w:rPr>
        <w:t>意外伤害医疗保险责任（可选责任）</w:t>
      </w:r>
    </w:p>
    <w:p w14:paraId="198869FA">
      <w:pPr>
        <w:numPr>
          <w:ilvl w:val="0"/>
          <w:numId w:val="0"/>
        </w:numPr>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1、基准意外伤害医疗保险金额：</w:t>
      </w:r>
      <w:r>
        <w:rPr>
          <w:rFonts w:hint="eastAsia" w:ascii="宋体" w:hAnsi="宋体" w:eastAsia="宋体" w:cs="宋体"/>
          <w:lang w:val="en-US" w:eastAsia="zh-CN"/>
        </w:rPr>
        <w:t>1万元</w:t>
      </w:r>
    </w:p>
    <w:p w14:paraId="3E678262">
      <w:pPr>
        <w:numPr>
          <w:ilvl w:val="0"/>
          <w:numId w:val="0"/>
        </w:numPr>
        <w:rPr>
          <w:rFonts w:hint="eastAsia" w:ascii="宋体" w:hAnsi="宋体" w:eastAsia="宋体" w:cs="宋体"/>
          <w:lang w:val="en-US" w:eastAsia="zh-CN"/>
        </w:rPr>
      </w:pPr>
      <w:r>
        <w:rPr>
          <w:rFonts w:hint="eastAsia" w:ascii="宋体" w:hAnsi="宋体" w:eastAsia="宋体" w:cs="宋体"/>
          <w:kern w:val="2"/>
          <w:sz w:val="21"/>
          <w:szCs w:val="24"/>
          <w:lang w:val="en-US" w:eastAsia="zh-CN" w:bidi="ar-SA"/>
        </w:rPr>
        <w:t>2、</w:t>
      </w:r>
      <w:r>
        <w:rPr>
          <w:rFonts w:hint="eastAsia" w:ascii="宋体" w:hAnsi="宋体" w:eastAsia="宋体" w:cs="宋体"/>
          <w:lang w:val="en-US" w:eastAsia="zh-CN"/>
        </w:rPr>
        <w:t>基准免赔额：50元</w:t>
      </w:r>
    </w:p>
    <w:p w14:paraId="67F06ED1">
      <w:pPr>
        <w:numPr>
          <w:ilvl w:val="0"/>
          <w:numId w:val="0"/>
        </w:numPr>
        <w:rPr>
          <w:rFonts w:hint="eastAsia" w:ascii="宋体" w:hAnsi="宋体" w:eastAsia="宋体" w:cs="宋体"/>
          <w:lang w:val="en-US" w:eastAsia="zh-CN"/>
        </w:rPr>
      </w:pPr>
      <w:r>
        <w:rPr>
          <w:rFonts w:hint="eastAsia" w:ascii="宋体" w:hAnsi="宋体" w:eastAsia="宋体" w:cs="宋体"/>
          <w:kern w:val="2"/>
          <w:sz w:val="21"/>
          <w:szCs w:val="24"/>
          <w:lang w:val="en-US" w:eastAsia="zh-CN" w:bidi="ar-SA"/>
        </w:rPr>
        <w:t>3、</w:t>
      </w:r>
      <w:r>
        <w:rPr>
          <w:rFonts w:hint="eastAsia" w:ascii="宋体" w:hAnsi="宋体" w:eastAsia="宋体" w:cs="宋体"/>
          <w:lang w:val="en-US" w:eastAsia="zh-CN"/>
        </w:rPr>
        <w:t>基准赔付比例：</w:t>
      </w:r>
    </w:p>
    <w:p w14:paraId="1A4B9ED6">
      <w:pPr>
        <w:numPr>
          <w:ilvl w:val="0"/>
          <w:numId w:val="2"/>
        </w:numPr>
        <w:rPr>
          <w:rFonts w:hint="eastAsia" w:ascii="宋体" w:hAnsi="宋体" w:eastAsia="宋体" w:cs="宋体"/>
          <w:lang w:val="en-US" w:eastAsia="zh-CN"/>
        </w:rPr>
      </w:pPr>
      <w:r>
        <w:rPr>
          <w:rFonts w:hint="eastAsia" w:ascii="宋体" w:hAnsi="宋体" w:eastAsia="宋体" w:cs="宋体"/>
          <w:lang w:val="en-US" w:eastAsia="zh-CN"/>
        </w:rPr>
        <w:t>被保险人以参加基本医疗保险或公费医疗身份投保，并以基本医疗保险或公费医疗身份就诊并结算：90%</w:t>
      </w:r>
    </w:p>
    <w:p w14:paraId="21E64D15">
      <w:pPr>
        <w:numPr>
          <w:ilvl w:val="0"/>
          <w:numId w:val="2"/>
        </w:numPr>
        <w:rPr>
          <w:rFonts w:hint="eastAsia" w:ascii="宋体" w:hAnsi="宋体" w:eastAsia="宋体" w:cs="宋体"/>
          <w:lang w:val="en-US" w:eastAsia="zh-CN"/>
        </w:rPr>
      </w:pPr>
      <w:r>
        <w:rPr>
          <w:rFonts w:hint="eastAsia" w:ascii="宋体" w:hAnsi="宋体" w:eastAsia="宋体" w:cs="宋体"/>
          <w:lang w:val="en-US" w:eastAsia="zh-CN"/>
        </w:rPr>
        <w:t>被保险人以参加基本医疗保险或公费医疗身份投保，但未以基本医疗保险或公费医疗身份就诊并结算：54%</w:t>
      </w:r>
    </w:p>
    <w:p w14:paraId="08C50E24">
      <w:pPr>
        <w:numPr>
          <w:ilvl w:val="-1"/>
          <w:numId w:val="0"/>
        </w:numPr>
        <w:rPr>
          <w:rFonts w:hint="eastAsia" w:ascii="宋体" w:hAnsi="宋体" w:eastAsia="宋体" w:cs="宋体"/>
          <w:lang w:val="en-US" w:eastAsia="zh-CN"/>
        </w:rPr>
      </w:pPr>
      <w:r>
        <w:rPr>
          <w:rFonts w:hint="eastAsia" w:ascii="宋体" w:hAnsi="宋体" w:eastAsia="宋体" w:cs="宋体"/>
          <w:lang w:val="en-US" w:eastAsia="zh-CN"/>
        </w:rPr>
        <w:t>（3）被保险人既未以参加基本医疗保险身份又未以参加公费医疗身份投保的：90%</w:t>
      </w: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09"/>
        <w:gridCol w:w="2156"/>
        <w:gridCol w:w="2654"/>
      </w:tblGrid>
      <w:tr w14:paraId="480BC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3709" w:type="dxa"/>
            <w:vMerge w:val="restart"/>
            <w:tcBorders>
              <w:top w:val="single" w:color="000000" w:sz="4" w:space="0"/>
              <w:left w:val="single" w:color="000000" w:sz="4" w:space="0"/>
              <w:right w:val="single" w:color="000000" w:sz="4" w:space="0"/>
            </w:tcBorders>
            <w:shd w:val="clear" w:color="auto" w:fill="auto"/>
            <w:vAlign w:val="center"/>
          </w:tcPr>
          <w:p w14:paraId="763668C6">
            <w:pPr>
              <w:keepNext w:val="0"/>
              <w:keepLines w:val="0"/>
              <w:widowControl/>
              <w:suppressLineNumbers w:val="0"/>
              <w:jc w:val="center"/>
              <w:textAlignment w:val="center"/>
              <w:rPr>
                <w:rFonts w:hint="default"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交通工具</w:t>
            </w:r>
          </w:p>
        </w:tc>
        <w:tc>
          <w:tcPr>
            <w:tcW w:w="4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90A29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基准费率</w:t>
            </w:r>
          </w:p>
        </w:tc>
      </w:tr>
      <w:tr w14:paraId="46104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3709" w:type="dxa"/>
            <w:vMerge w:val="continue"/>
            <w:tcBorders>
              <w:left w:val="single" w:color="000000" w:sz="4" w:space="0"/>
              <w:bottom w:val="single" w:color="000000" w:sz="4" w:space="0"/>
              <w:right w:val="single" w:color="000000" w:sz="4" w:space="0"/>
            </w:tcBorders>
            <w:shd w:val="clear" w:color="auto" w:fill="auto"/>
            <w:vAlign w:val="center"/>
          </w:tcPr>
          <w:p w14:paraId="6EADA5A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D8B7">
            <w:pPr>
              <w:keepNext w:val="0"/>
              <w:keepLines w:val="0"/>
              <w:widowControl/>
              <w:suppressLineNumbers w:val="0"/>
              <w:jc w:val="center"/>
              <w:textAlignment w:val="center"/>
              <w:rPr>
                <w:rFonts w:hint="eastAsia" w:ascii="宋体" w:hAnsi="宋体" w:eastAsia="宋体" w:cs="宋体"/>
                <w:szCs w:val="21"/>
                <w:lang w:val="en-US" w:eastAsia="zh-CN"/>
              </w:rPr>
            </w:pPr>
            <w:r>
              <w:rPr>
                <w:rFonts w:hint="eastAsia" w:ascii="宋体" w:hAnsi="宋体" w:eastAsia="宋体" w:cs="宋体"/>
                <w:szCs w:val="21"/>
                <w:lang w:val="en-US" w:eastAsia="zh-CN"/>
              </w:rPr>
              <w:t>被保险人以参加基本医疗保险或公费医疗身份投保</w:t>
            </w:r>
          </w:p>
        </w:tc>
        <w:tc>
          <w:tcPr>
            <w:tcW w:w="2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29F77">
            <w:pPr>
              <w:keepNext w:val="0"/>
              <w:keepLines w:val="0"/>
              <w:widowControl/>
              <w:suppressLineNumbers w:val="0"/>
              <w:jc w:val="center"/>
              <w:textAlignment w:val="center"/>
              <w:rPr>
                <w:rFonts w:hint="eastAsia" w:ascii="宋体" w:hAnsi="宋体" w:eastAsia="宋体" w:cs="宋体"/>
                <w:szCs w:val="21"/>
                <w:lang w:val="en-US" w:eastAsia="zh-CN"/>
              </w:rPr>
            </w:pPr>
            <w:r>
              <w:rPr>
                <w:rFonts w:hint="eastAsia" w:ascii="宋体" w:hAnsi="宋体" w:eastAsia="宋体" w:cs="宋体"/>
                <w:szCs w:val="21"/>
                <w:lang w:val="en-US" w:eastAsia="zh-CN"/>
              </w:rPr>
              <w:t>被保险人既未以参加基本医疗保险身份又未以参加公费医疗身份投保的</w:t>
            </w:r>
          </w:p>
        </w:tc>
      </w:tr>
      <w:tr w14:paraId="0992C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 w:hRule="atLeast"/>
        </w:trPr>
        <w:tc>
          <w:tcPr>
            <w:tcW w:w="3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CCF3">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飞机（</w:t>
            </w:r>
            <w:r>
              <w:rPr>
                <w:rStyle w:val="21"/>
                <w:lang w:val="en-US" w:eastAsia="zh-CN" w:bidi="ar"/>
              </w:rPr>
              <w:t>民航客机</w:t>
            </w:r>
            <w:r>
              <w:rPr>
                <w:rStyle w:val="22"/>
                <w:b w:val="0"/>
                <w:bCs w:val="0"/>
                <w:lang w:val="en-US" w:eastAsia="zh-CN" w:bidi="ar"/>
              </w:rPr>
              <w:t>）</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ADB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0.169</w:t>
            </w:r>
            <w:r>
              <w:rPr>
                <w:rStyle w:val="21"/>
                <w:lang w:val="en-US" w:eastAsia="zh-CN" w:bidi="ar"/>
              </w:rPr>
              <w:t>‰</w:t>
            </w:r>
          </w:p>
        </w:tc>
        <w:tc>
          <w:tcPr>
            <w:tcW w:w="2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955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0.304</w:t>
            </w:r>
            <w:r>
              <w:rPr>
                <w:rStyle w:val="21"/>
                <w:lang w:val="en-US" w:eastAsia="zh-CN" w:bidi="ar"/>
              </w:rPr>
              <w:t>‰</w:t>
            </w:r>
          </w:p>
        </w:tc>
      </w:tr>
      <w:tr w14:paraId="64BAF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3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C4B68">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火车</w:t>
            </w:r>
            <w:r>
              <w:rPr>
                <w:rStyle w:val="21"/>
                <w:lang w:val="en-US" w:eastAsia="zh-CN" w:bidi="ar"/>
              </w:rPr>
              <w:t>（列车、轻轨、地铁）</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8E1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0.199</w:t>
            </w:r>
            <w:r>
              <w:rPr>
                <w:rStyle w:val="21"/>
                <w:lang w:val="en-US" w:eastAsia="zh-CN" w:bidi="ar"/>
              </w:rPr>
              <w:t>‰</w:t>
            </w:r>
          </w:p>
        </w:tc>
        <w:tc>
          <w:tcPr>
            <w:tcW w:w="2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F93A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0.358</w:t>
            </w:r>
            <w:r>
              <w:rPr>
                <w:rStyle w:val="21"/>
                <w:lang w:val="en-US" w:eastAsia="zh-CN" w:bidi="ar"/>
              </w:rPr>
              <w:t>‰</w:t>
            </w:r>
          </w:p>
        </w:tc>
      </w:tr>
      <w:tr w14:paraId="7C2A6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3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A34C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Style w:val="22"/>
                <w:b w:val="0"/>
                <w:bCs w:val="0"/>
                <w:lang w:val="en-US" w:eastAsia="zh-CN" w:bidi="ar"/>
              </w:rPr>
              <w:t>轮船</w:t>
            </w:r>
            <w:r>
              <w:rPr>
                <w:rStyle w:val="21"/>
                <w:lang w:val="en-US" w:eastAsia="zh-CN" w:bidi="ar"/>
              </w:rPr>
              <w:t>（客船、渡船、游船）</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98E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0.199</w:t>
            </w:r>
            <w:r>
              <w:rPr>
                <w:rStyle w:val="21"/>
                <w:lang w:val="en-US" w:eastAsia="zh-CN" w:bidi="ar"/>
              </w:rPr>
              <w:t>‰</w:t>
            </w:r>
          </w:p>
        </w:tc>
        <w:tc>
          <w:tcPr>
            <w:tcW w:w="2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2553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0.358</w:t>
            </w:r>
            <w:r>
              <w:rPr>
                <w:rStyle w:val="21"/>
                <w:lang w:val="en-US" w:eastAsia="zh-CN" w:bidi="ar"/>
              </w:rPr>
              <w:t>‰</w:t>
            </w:r>
          </w:p>
        </w:tc>
      </w:tr>
      <w:tr w14:paraId="2A7E5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3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380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汽车（</w:t>
            </w:r>
            <w:r>
              <w:rPr>
                <w:rStyle w:val="21"/>
                <w:lang w:val="en-US" w:eastAsia="zh-CN" w:bidi="ar"/>
              </w:rPr>
              <w:t>公共汽车、公共电车、出租车</w:t>
            </w:r>
            <w:r>
              <w:rPr>
                <w:rStyle w:val="22"/>
                <w:b w:val="0"/>
                <w:bCs w:val="0"/>
                <w:lang w:val="en-US" w:eastAsia="zh-CN" w:bidi="ar"/>
              </w:rPr>
              <w:t>）</w:t>
            </w:r>
          </w:p>
        </w:tc>
        <w:tc>
          <w:tcPr>
            <w:tcW w:w="2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801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3.160</w:t>
            </w:r>
            <w:r>
              <w:rPr>
                <w:rStyle w:val="21"/>
                <w:lang w:val="en-US" w:eastAsia="zh-CN" w:bidi="ar"/>
              </w:rPr>
              <w:t>‰</w:t>
            </w:r>
          </w:p>
        </w:tc>
        <w:tc>
          <w:tcPr>
            <w:tcW w:w="2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BED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5.688</w:t>
            </w:r>
            <w:r>
              <w:rPr>
                <w:rStyle w:val="21"/>
                <w:lang w:val="en-US" w:eastAsia="zh-CN" w:bidi="ar"/>
              </w:rPr>
              <w:t>‰</w:t>
            </w:r>
          </w:p>
        </w:tc>
      </w:tr>
    </w:tbl>
    <w:p w14:paraId="31A66484">
      <w:pPr>
        <w:rPr>
          <w:rFonts w:hint="eastAsia" w:ascii="宋体" w:hAnsi="宋体" w:eastAsia="宋体" w:cs="宋体"/>
        </w:rPr>
      </w:pPr>
    </w:p>
    <w:p w14:paraId="3D5CED3E">
      <w:pPr>
        <w:rPr>
          <w:rFonts w:hint="eastAsia" w:ascii="宋体" w:hAnsi="宋体" w:eastAsia="宋体" w:cs="宋体"/>
        </w:rPr>
      </w:pPr>
      <w:r>
        <w:rPr>
          <w:rFonts w:hint="eastAsia" w:ascii="宋体" w:hAnsi="宋体" w:eastAsia="宋体" w:cs="宋体"/>
          <w:b/>
          <w:bCs/>
        </w:rPr>
        <w:t>二、</w:t>
      </w:r>
      <w:r>
        <w:rPr>
          <w:rFonts w:hint="eastAsia" w:ascii="宋体" w:hAnsi="宋体" w:eastAsia="宋体" w:cs="宋体"/>
          <w:b/>
          <w:bCs/>
          <w:lang w:val="en-US" w:eastAsia="zh-CN"/>
        </w:rPr>
        <w:t>费率</w:t>
      </w:r>
      <w:r>
        <w:rPr>
          <w:rFonts w:hint="eastAsia" w:ascii="宋体" w:hAnsi="宋体" w:eastAsia="宋体" w:cs="宋体"/>
          <w:b/>
          <w:bCs/>
        </w:rPr>
        <w:t xml:space="preserve">调整系数 </w:t>
      </w:r>
    </w:p>
    <w:p w14:paraId="77509712">
      <w:pPr>
        <w:spacing w:line="360" w:lineRule="auto"/>
        <w:rPr>
          <w:rFonts w:hint="eastAsia" w:ascii="宋体" w:hAnsi="宋体" w:eastAsia="宋体" w:cs="宋体"/>
          <w:lang w:val="en-US" w:eastAsia="zh-CN"/>
        </w:rPr>
      </w:pPr>
      <w:r>
        <w:rPr>
          <w:rFonts w:hint="eastAsia" w:ascii="宋体" w:hAnsi="宋体" w:eastAsia="宋体" w:cs="宋体"/>
          <w:lang w:val="en-US" w:eastAsia="zh-CN"/>
        </w:rPr>
        <w:t>1、意外伤害医疗保险金免赔额调整系数（F1）</w:t>
      </w:r>
    </w:p>
    <w:tbl>
      <w:tblPr>
        <w:tblStyle w:val="7"/>
        <w:tblW w:w="498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59"/>
        <w:gridCol w:w="3839"/>
      </w:tblGrid>
      <w:tr w14:paraId="1BE932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8" w:hRule="atLeast"/>
          <w:jc w:val="center"/>
        </w:trPr>
        <w:tc>
          <w:tcPr>
            <w:tcW w:w="4660" w:type="dxa"/>
            <w:tcBorders>
              <w:top w:val="single" w:color="auto" w:sz="4" w:space="0"/>
              <w:left w:val="single" w:color="auto" w:sz="4" w:space="0"/>
              <w:bottom w:val="single" w:color="auto" w:sz="4" w:space="0"/>
              <w:right w:val="single" w:color="auto" w:sz="4" w:space="0"/>
            </w:tcBorders>
            <w:shd w:val="clear" w:color="auto" w:fill="auto"/>
            <w:vAlign w:val="center"/>
          </w:tcPr>
          <w:p w14:paraId="345A02FB">
            <w:pPr>
              <w:widowControl/>
              <w:jc w:val="center"/>
              <w:rPr>
                <w:rFonts w:hint="eastAsia" w:ascii="宋体" w:hAnsi="宋体" w:eastAsia="宋体" w:cs="宋体"/>
                <w:b/>
                <w:bCs/>
                <w:color w:val="000000"/>
                <w:kern w:val="0"/>
                <w:szCs w:val="21"/>
                <w:lang w:val="en-US" w:eastAsia="zh-CN"/>
              </w:rPr>
            </w:pPr>
            <w:r>
              <w:rPr>
                <w:rFonts w:hint="eastAsia" w:ascii="宋体" w:hAnsi="宋体" w:eastAsia="宋体" w:cs="宋体"/>
                <w:lang w:val="en-US" w:eastAsia="zh-CN"/>
              </w:rPr>
              <w:t>意外伤害医疗保险金免赔额（元）</w:t>
            </w:r>
          </w:p>
        </w:tc>
        <w:tc>
          <w:tcPr>
            <w:tcW w:w="3839" w:type="dxa"/>
            <w:tcBorders>
              <w:top w:val="single" w:color="auto" w:sz="4" w:space="0"/>
              <w:left w:val="single" w:color="auto" w:sz="4" w:space="0"/>
              <w:bottom w:val="single" w:color="auto" w:sz="4" w:space="0"/>
              <w:right w:val="single" w:color="auto" w:sz="4" w:space="0"/>
            </w:tcBorders>
            <w:shd w:val="clear" w:color="auto" w:fill="auto"/>
            <w:vAlign w:val="center"/>
          </w:tcPr>
          <w:p w14:paraId="757A8A3E">
            <w:pPr>
              <w:widowControl/>
              <w:jc w:val="center"/>
              <w:rPr>
                <w:rFonts w:hint="eastAsia" w:ascii="宋体" w:hAnsi="宋体" w:eastAsia="宋体" w:cs="宋体"/>
                <w:b/>
                <w:bCs/>
                <w:color w:val="000000"/>
                <w:kern w:val="0"/>
                <w:szCs w:val="21"/>
              </w:rPr>
            </w:pPr>
            <w:r>
              <w:rPr>
                <w:rFonts w:hint="eastAsia" w:ascii="宋体" w:hAnsi="宋体" w:eastAsia="宋体" w:cs="宋体"/>
                <w:b w:val="0"/>
                <w:bCs w:val="0"/>
                <w:color w:val="000000"/>
                <w:kern w:val="0"/>
                <w:szCs w:val="21"/>
              </w:rPr>
              <w:t>调整系数</w:t>
            </w:r>
          </w:p>
        </w:tc>
      </w:tr>
      <w:tr w14:paraId="70E8E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660" w:type="dxa"/>
            <w:tcBorders>
              <w:top w:val="single" w:color="auto" w:sz="4" w:space="0"/>
              <w:left w:val="single" w:color="auto" w:sz="4" w:space="0"/>
              <w:bottom w:val="single" w:color="auto" w:sz="4" w:space="0"/>
              <w:right w:val="single" w:color="auto" w:sz="4" w:space="0"/>
            </w:tcBorders>
            <w:shd w:val="clear" w:color="auto" w:fill="auto"/>
            <w:vAlign w:val="center"/>
          </w:tcPr>
          <w:p w14:paraId="2249DF9F">
            <w:pPr>
              <w:widowControl/>
              <w:jc w:val="center"/>
              <w:rPr>
                <w:rFonts w:hint="eastAsia" w:ascii="宋体" w:hAnsi="宋体" w:eastAsia="宋体" w:cs="宋体"/>
                <w:szCs w:val="21"/>
              </w:rPr>
            </w:pPr>
            <w:r>
              <w:rPr>
                <w:rFonts w:hint="eastAsia" w:ascii="宋体" w:hAnsi="宋体" w:eastAsia="宋体" w:cs="宋体"/>
                <w:szCs w:val="21"/>
              </w:rPr>
              <w:t>0</w:t>
            </w:r>
          </w:p>
        </w:tc>
        <w:tc>
          <w:tcPr>
            <w:tcW w:w="3839" w:type="dxa"/>
            <w:tcBorders>
              <w:top w:val="single" w:color="auto" w:sz="4" w:space="0"/>
              <w:left w:val="single" w:color="auto" w:sz="4" w:space="0"/>
              <w:bottom w:val="single" w:color="auto" w:sz="4" w:space="0"/>
              <w:right w:val="single" w:color="auto" w:sz="4" w:space="0"/>
            </w:tcBorders>
            <w:shd w:val="clear" w:color="auto" w:fill="auto"/>
            <w:vAlign w:val="center"/>
          </w:tcPr>
          <w:p w14:paraId="7612031D">
            <w:pPr>
              <w:widowControl/>
              <w:jc w:val="center"/>
              <w:rPr>
                <w:rFonts w:hint="eastAsia" w:ascii="宋体" w:hAnsi="宋体" w:eastAsia="宋体" w:cs="宋体"/>
                <w:szCs w:val="21"/>
              </w:rPr>
            </w:pPr>
            <w:r>
              <w:rPr>
                <w:rFonts w:hint="eastAsia" w:ascii="宋体" w:hAnsi="宋体" w:eastAsia="宋体" w:cs="宋体"/>
                <w:szCs w:val="21"/>
              </w:rPr>
              <w:t>1.1</w:t>
            </w:r>
          </w:p>
        </w:tc>
      </w:tr>
      <w:tr w14:paraId="2F117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660" w:type="dxa"/>
            <w:tcBorders>
              <w:top w:val="single" w:color="auto" w:sz="4" w:space="0"/>
              <w:left w:val="single" w:color="auto" w:sz="4" w:space="0"/>
              <w:bottom w:val="single" w:color="auto" w:sz="4" w:space="0"/>
              <w:right w:val="single" w:color="auto" w:sz="4" w:space="0"/>
            </w:tcBorders>
            <w:shd w:val="clear" w:color="auto" w:fill="auto"/>
            <w:vAlign w:val="center"/>
          </w:tcPr>
          <w:p w14:paraId="28A20F1B">
            <w:pPr>
              <w:widowControl/>
              <w:jc w:val="center"/>
              <w:rPr>
                <w:rFonts w:hint="eastAsia" w:ascii="宋体" w:hAnsi="宋体" w:eastAsia="宋体" w:cs="宋体"/>
                <w:szCs w:val="21"/>
              </w:rPr>
            </w:pPr>
            <w:r>
              <w:rPr>
                <w:rFonts w:hint="eastAsia" w:ascii="宋体" w:hAnsi="宋体" w:eastAsia="宋体" w:cs="宋体"/>
                <w:szCs w:val="21"/>
              </w:rPr>
              <w:t>50</w:t>
            </w:r>
          </w:p>
        </w:tc>
        <w:tc>
          <w:tcPr>
            <w:tcW w:w="3839" w:type="dxa"/>
            <w:tcBorders>
              <w:top w:val="single" w:color="auto" w:sz="4" w:space="0"/>
              <w:left w:val="single" w:color="auto" w:sz="4" w:space="0"/>
              <w:bottom w:val="single" w:color="auto" w:sz="4" w:space="0"/>
              <w:right w:val="single" w:color="auto" w:sz="4" w:space="0"/>
            </w:tcBorders>
            <w:shd w:val="clear" w:color="auto" w:fill="auto"/>
            <w:vAlign w:val="center"/>
          </w:tcPr>
          <w:p w14:paraId="16F07A4F">
            <w:pPr>
              <w:widowControl/>
              <w:jc w:val="center"/>
              <w:rPr>
                <w:rFonts w:hint="eastAsia" w:ascii="宋体" w:hAnsi="宋体" w:eastAsia="宋体" w:cs="宋体"/>
                <w:szCs w:val="21"/>
              </w:rPr>
            </w:pPr>
            <w:r>
              <w:rPr>
                <w:rFonts w:hint="eastAsia" w:ascii="宋体" w:hAnsi="宋体" w:eastAsia="宋体" w:cs="宋体"/>
                <w:szCs w:val="21"/>
              </w:rPr>
              <w:t>1.0</w:t>
            </w:r>
          </w:p>
        </w:tc>
      </w:tr>
      <w:tr w14:paraId="4CC62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660" w:type="dxa"/>
            <w:tcBorders>
              <w:top w:val="single" w:color="auto" w:sz="4" w:space="0"/>
              <w:left w:val="single" w:color="auto" w:sz="4" w:space="0"/>
              <w:bottom w:val="single" w:color="auto" w:sz="4" w:space="0"/>
              <w:right w:val="single" w:color="auto" w:sz="4" w:space="0"/>
            </w:tcBorders>
            <w:shd w:val="clear" w:color="auto" w:fill="auto"/>
            <w:vAlign w:val="center"/>
          </w:tcPr>
          <w:p w14:paraId="28F6491C">
            <w:pPr>
              <w:widowControl/>
              <w:jc w:val="center"/>
              <w:rPr>
                <w:rFonts w:hint="eastAsia" w:ascii="宋体" w:hAnsi="宋体" w:eastAsia="宋体" w:cs="宋体"/>
                <w:szCs w:val="21"/>
              </w:rPr>
            </w:pPr>
            <w:r>
              <w:rPr>
                <w:rFonts w:hint="eastAsia" w:ascii="宋体" w:hAnsi="宋体" w:eastAsia="宋体" w:cs="宋体"/>
                <w:szCs w:val="21"/>
              </w:rPr>
              <w:t>100</w:t>
            </w:r>
          </w:p>
        </w:tc>
        <w:tc>
          <w:tcPr>
            <w:tcW w:w="3839" w:type="dxa"/>
            <w:tcBorders>
              <w:top w:val="single" w:color="auto" w:sz="4" w:space="0"/>
              <w:left w:val="single" w:color="auto" w:sz="4" w:space="0"/>
              <w:bottom w:val="single" w:color="auto" w:sz="4" w:space="0"/>
              <w:right w:val="single" w:color="auto" w:sz="4" w:space="0"/>
            </w:tcBorders>
            <w:shd w:val="clear" w:color="auto" w:fill="auto"/>
            <w:vAlign w:val="center"/>
          </w:tcPr>
          <w:p w14:paraId="2C7A3CF4">
            <w:pPr>
              <w:widowControl/>
              <w:jc w:val="center"/>
              <w:rPr>
                <w:rFonts w:hint="eastAsia" w:ascii="宋体" w:hAnsi="宋体" w:eastAsia="宋体" w:cs="宋体"/>
                <w:szCs w:val="21"/>
              </w:rPr>
            </w:pPr>
            <w:r>
              <w:rPr>
                <w:rFonts w:hint="eastAsia" w:ascii="宋体" w:hAnsi="宋体" w:eastAsia="宋体" w:cs="宋体"/>
                <w:szCs w:val="21"/>
              </w:rPr>
              <w:t>0.9</w:t>
            </w:r>
          </w:p>
        </w:tc>
      </w:tr>
      <w:tr w14:paraId="03EAF9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3" w:hRule="atLeast"/>
          <w:jc w:val="center"/>
        </w:trPr>
        <w:tc>
          <w:tcPr>
            <w:tcW w:w="4660" w:type="dxa"/>
            <w:tcBorders>
              <w:top w:val="single" w:color="auto" w:sz="4" w:space="0"/>
              <w:left w:val="single" w:color="auto" w:sz="4" w:space="0"/>
              <w:bottom w:val="single" w:color="auto" w:sz="4" w:space="0"/>
              <w:right w:val="single" w:color="auto" w:sz="4" w:space="0"/>
            </w:tcBorders>
            <w:shd w:val="clear" w:color="auto" w:fill="auto"/>
            <w:vAlign w:val="center"/>
          </w:tcPr>
          <w:p w14:paraId="201D567B">
            <w:pPr>
              <w:widowControl/>
              <w:jc w:val="center"/>
              <w:rPr>
                <w:rFonts w:hint="eastAsia" w:ascii="宋体" w:hAnsi="宋体" w:eastAsia="宋体" w:cs="宋体"/>
                <w:szCs w:val="21"/>
              </w:rPr>
            </w:pPr>
            <w:r>
              <w:rPr>
                <w:rFonts w:hint="eastAsia" w:ascii="宋体" w:hAnsi="宋体" w:eastAsia="宋体" w:cs="宋体"/>
                <w:szCs w:val="21"/>
              </w:rPr>
              <w:t>200</w:t>
            </w:r>
          </w:p>
        </w:tc>
        <w:tc>
          <w:tcPr>
            <w:tcW w:w="3839" w:type="dxa"/>
            <w:tcBorders>
              <w:top w:val="single" w:color="auto" w:sz="4" w:space="0"/>
              <w:left w:val="single" w:color="auto" w:sz="4" w:space="0"/>
              <w:bottom w:val="single" w:color="auto" w:sz="4" w:space="0"/>
              <w:right w:val="single" w:color="auto" w:sz="4" w:space="0"/>
            </w:tcBorders>
            <w:shd w:val="clear" w:color="auto" w:fill="auto"/>
            <w:vAlign w:val="center"/>
          </w:tcPr>
          <w:p w14:paraId="0C6A0EC4">
            <w:pPr>
              <w:widowControl/>
              <w:jc w:val="center"/>
              <w:rPr>
                <w:rFonts w:hint="eastAsia" w:ascii="宋体" w:hAnsi="宋体" w:eastAsia="宋体" w:cs="宋体"/>
                <w:szCs w:val="21"/>
              </w:rPr>
            </w:pPr>
            <w:r>
              <w:rPr>
                <w:rFonts w:hint="eastAsia" w:ascii="宋体" w:hAnsi="宋体" w:eastAsia="宋体" w:cs="宋体"/>
                <w:szCs w:val="21"/>
              </w:rPr>
              <w:t>0.8</w:t>
            </w:r>
          </w:p>
        </w:tc>
      </w:tr>
    </w:tbl>
    <w:p w14:paraId="03EBC86F">
      <w:pPr>
        <w:spacing w:line="360" w:lineRule="auto"/>
        <w:rPr>
          <w:rFonts w:hint="eastAsia" w:ascii="宋体" w:hAnsi="宋体" w:eastAsia="宋体" w:cs="宋体"/>
          <w:lang w:val="en-US" w:eastAsia="zh-CN"/>
        </w:rPr>
      </w:pPr>
      <w:r>
        <w:rPr>
          <w:rFonts w:hint="eastAsia" w:ascii="宋体" w:hAnsi="宋体" w:eastAsia="宋体" w:cs="宋体"/>
          <w:lang w:val="en-US" w:eastAsia="zh-CN"/>
        </w:rPr>
        <w:t>2、意外伤害医疗保险金赔付比例调整系数（F2）</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80"/>
        <w:gridCol w:w="2885"/>
        <w:gridCol w:w="2220"/>
        <w:gridCol w:w="837"/>
      </w:tblGrid>
      <w:tr w14:paraId="2BAEB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279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被保险人以参加基本医疗保险或公费医疗身份投保，并以基本医疗保险或公费医疗身份就诊并结算</w:t>
            </w:r>
          </w:p>
        </w:tc>
        <w:tc>
          <w:tcPr>
            <w:tcW w:w="2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7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被保险人以参加基本医疗保险或公费医疗身份投保，但未以基本医疗保险或公费医疗身份就诊并结算</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55E8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被保险人既未以参加基本医疗保险身份又未以参加公费医疗身份投保的</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EF6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调整系数</w:t>
            </w:r>
          </w:p>
        </w:tc>
      </w:tr>
      <w:tr w14:paraId="0AACC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2C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CB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213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70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 </w:t>
            </w:r>
          </w:p>
        </w:tc>
      </w:tr>
      <w:tr w14:paraId="11DC0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9F3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C4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CDF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C66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 </w:t>
            </w:r>
          </w:p>
        </w:tc>
      </w:tr>
      <w:tr w14:paraId="23593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1EF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647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1912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80%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91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0.89 </w:t>
            </w:r>
          </w:p>
        </w:tc>
      </w:tr>
      <w:tr w14:paraId="0D7FF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865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5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4F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70%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D3E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0.78 </w:t>
            </w:r>
          </w:p>
        </w:tc>
      </w:tr>
      <w:tr w14:paraId="7E4AC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B11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3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28C2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60%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73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0.67 </w:t>
            </w:r>
          </w:p>
        </w:tc>
      </w:tr>
      <w:tr w14:paraId="516C6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57D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FD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F02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17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0.56 </w:t>
            </w:r>
          </w:p>
        </w:tc>
      </w:tr>
      <w:tr w14:paraId="0FF7D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A5E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D1D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1FB2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40%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C6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0.44 </w:t>
            </w:r>
          </w:p>
        </w:tc>
      </w:tr>
      <w:tr w14:paraId="7D7F6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4E4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C7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9E7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9DB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0.33 </w:t>
            </w:r>
          </w:p>
        </w:tc>
      </w:tr>
      <w:tr w14:paraId="5D504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C4D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E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9851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25%</w:t>
            </w:r>
          </w:p>
        </w:tc>
        <w:tc>
          <w:tcPr>
            <w:tcW w:w="8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A3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0.28 </w:t>
            </w:r>
          </w:p>
        </w:tc>
      </w:tr>
    </w:tbl>
    <w:p w14:paraId="5D09AD20">
      <w:pPr>
        <w:spacing w:line="360" w:lineRule="auto"/>
        <w:rPr>
          <w:rFonts w:hint="eastAsia" w:ascii="宋体" w:hAnsi="宋体" w:eastAsia="宋体" w:cs="宋体"/>
          <w:lang w:val="en-US" w:eastAsia="zh-CN"/>
        </w:rPr>
      </w:pPr>
      <w:r>
        <w:rPr>
          <w:rFonts w:hint="eastAsia" w:ascii="宋体" w:hAnsi="宋体" w:eastAsia="宋体" w:cs="宋体"/>
          <w:lang w:val="en-US" w:eastAsia="zh-CN"/>
        </w:rPr>
        <w:t>3、意外伤害医疗保险金额调整系数（F3）</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02"/>
        <w:gridCol w:w="2920"/>
      </w:tblGrid>
      <w:tr w14:paraId="56241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8C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lang w:val="en-US" w:eastAsia="zh-CN"/>
              </w:rPr>
              <w:t>意外伤害医疗保险金额（万元）</w:t>
            </w:r>
          </w:p>
        </w:tc>
        <w:tc>
          <w:tcPr>
            <w:tcW w:w="2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C26B4">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调整系数</w:t>
            </w:r>
          </w:p>
        </w:tc>
      </w:tr>
      <w:tr w14:paraId="5BAD4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4137">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0.5及以下</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1C2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[1.50,3.00]</w:t>
            </w:r>
          </w:p>
        </w:tc>
      </w:tr>
      <w:tr w14:paraId="1483D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2F4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0.5（不含）-1（含）</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106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[1.00,1.50)</w:t>
            </w:r>
          </w:p>
        </w:tc>
      </w:tr>
      <w:tr w14:paraId="15F24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7" w:hRule="atLeast"/>
        </w:trPr>
        <w:tc>
          <w:tcPr>
            <w:tcW w:w="5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677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1（不含）-2（含）</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1ED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[0.75,1.00)</w:t>
            </w:r>
          </w:p>
        </w:tc>
      </w:tr>
      <w:tr w14:paraId="16D1E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75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2（不含）-5（含）</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06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[0.50,0.75)</w:t>
            </w:r>
          </w:p>
        </w:tc>
      </w:tr>
      <w:tr w14:paraId="09987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D8A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5（不含）-10（含）</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CF0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[0.35,0.50)</w:t>
            </w:r>
          </w:p>
        </w:tc>
      </w:tr>
      <w:tr w14:paraId="1D486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66A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10以上</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0437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sz w:val="22"/>
                <w:szCs w:val="22"/>
                <w:highlight w:val="none"/>
                <w:u w:val="none"/>
                <w:lang w:val="en-US" w:eastAsia="zh-CN"/>
              </w:rPr>
              <w:t>[0.20,0.35)</w:t>
            </w:r>
          </w:p>
        </w:tc>
      </w:tr>
    </w:tbl>
    <w:p w14:paraId="3A488A98">
      <w:pPr>
        <w:spacing w:line="360" w:lineRule="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、渠道调整系数（F</w:t>
      </w:r>
      <w:r>
        <w:rPr>
          <w:rFonts w:hint="eastAsia" w:ascii="宋体" w:hAnsi="宋体" w:eastAsia="宋体" w:cs="宋体"/>
          <w:lang w:val="en-US" w:eastAsia="zh-CN"/>
        </w:rPr>
        <w:t>4</w:t>
      </w:r>
      <w:r>
        <w:rPr>
          <w:rFonts w:hint="eastAsia" w:ascii="宋体" w:hAnsi="宋体" w:eastAsia="宋体" w:cs="宋体"/>
        </w:rPr>
        <w:t>）</w:t>
      </w:r>
    </w:p>
    <w:tbl>
      <w:tblPr>
        <w:tblStyle w:val="7"/>
        <w:tblW w:w="49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35"/>
        <w:gridCol w:w="2924"/>
      </w:tblGrid>
      <w:tr w14:paraId="1C89F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 w:hRule="atLeast"/>
          <w:jc w:val="center"/>
        </w:trPr>
        <w:tc>
          <w:tcPr>
            <w:tcW w:w="5535" w:type="dxa"/>
            <w:vAlign w:val="center"/>
          </w:tcPr>
          <w:p w14:paraId="61C20CB8">
            <w:pPr>
              <w:pStyle w:val="20"/>
              <w:jc w:val="center"/>
              <w:rPr>
                <w:rFonts w:hint="default" w:ascii="宋体" w:hAnsi="宋体" w:eastAsia="宋体" w:cs="宋体"/>
                <w:b w:val="0"/>
                <w:bCs w:val="0"/>
                <w:color w:val="000000"/>
                <w:szCs w:val="21"/>
                <w:lang w:val="en-US" w:eastAsia="zh-CN"/>
              </w:rPr>
            </w:pPr>
            <w:r>
              <w:rPr>
                <w:rFonts w:hint="eastAsia" w:ascii="宋体" w:hAnsi="宋体" w:cs="宋体"/>
                <w:b w:val="0"/>
                <w:bCs w:val="0"/>
                <w:color w:val="000000"/>
                <w:szCs w:val="21"/>
                <w:lang w:val="en-US" w:eastAsia="zh-CN"/>
              </w:rPr>
              <w:t>销售方式</w:t>
            </w:r>
          </w:p>
        </w:tc>
        <w:tc>
          <w:tcPr>
            <w:tcW w:w="2924" w:type="dxa"/>
            <w:vAlign w:val="center"/>
          </w:tcPr>
          <w:p w14:paraId="368DC41E">
            <w:pPr>
              <w:pStyle w:val="20"/>
              <w:jc w:val="center"/>
              <w:rPr>
                <w:rFonts w:ascii="宋体" w:hAnsi="宋体" w:cs="宋体"/>
                <w:b w:val="0"/>
                <w:bCs w:val="0"/>
                <w:color w:val="000000"/>
                <w:szCs w:val="21"/>
              </w:rPr>
            </w:pPr>
            <w:r>
              <w:rPr>
                <w:rFonts w:hint="eastAsia" w:ascii="宋体" w:hAnsi="宋体" w:cs="宋体"/>
                <w:b w:val="0"/>
                <w:bCs w:val="0"/>
                <w:color w:val="000000"/>
                <w:szCs w:val="21"/>
              </w:rPr>
              <w:t>调整系数</w:t>
            </w:r>
          </w:p>
        </w:tc>
      </w:tr>
      <w:tr w14:paraId="45C40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jc w:val="center"/>
        </w:trPr>
        <w:tc>
          <w:tcPr>
            <w:tcW w:w="5535" w:type="dxa"/>
            <w:vAlign w:val="center"/>
          </w:tcPr>
          <w:p w14:paraId="672EB1A8">
            <w:pPr>
              <w:pStyle w:val="20"/>
              <w:jc w:val="center"/>
              <w:rPr>
                <w:rFonts w:hint="eastAsia" w:ascii="宋体" w:hAnsi="宋体" w:eastAsia="宋体" w:cs="宋体"/>
                <w:color w:val="000000"/>
                <w:szCs w:val="21"/>
                <w:lang w:eastAsia="zh-CN"/>
              </w:rPr>
            </w:pPr>
            <w:r>
              <w:rPr>
                <w:rFonts w:hint="eastAsia" w:ascii="宋体" w:hAnsi="宋体" w:cs="宋体"/>
                <w:color w:val="000000"/>
                <w:szCs w:val="21"/>
                <w:lang w:val="en-US" w:eastAsia="zh-CN"/>
              </w:rPr>
              <w:t>直销（或销售费用率等同直销的渠道）</w:t>
            </w:r>
          </w:p>
        </w:tc>
        <w:tc>
          <w:tcPr>
            <w:tcW w:w="2924" w:type="dxa"/>
            <w:vAlign w:val="center"/>
          </w:tcPr>
          <w:p w14:paraId="5C58AA4E">
            <w:pPr>
              <w:pStyle w:val="20"/>
              <w:jc w:val="center"/>
              <w:rPr>
                <w:rFonts w:ascii="宋体" w:hAnsi="宋体" w:cs="宋体"/>
                <w:color w:val="000000"/>
                <w:szCs w:val="21"/>
              </w:rPr>
            </w:pPr>
            <w:r>
              <w:rPr>
                <w:rFonts w:hint="eastAsia" w:ascii="宋体" w:hAnsi="宋体" w:cs="宋体"/>
                <w:color w:val="000000"/>
                <w:szCs w:val="21"/>
              </w:rPr>
              <w:t>[0.</w:t>
            </w:r>
            <w:r>
              <w:rPr>
                <w:rFonts w:hint="eastAsia" w:ascii="宋体" w:hAnsi="宋体" w:cs="宋体"/>
                <w:color w:val="000000"/>
                <w:szCs w:val="21"/>
                <w:lang w:val="en-US" w:eastAsia="zh-CN"/>
              </w:rPr>
              <w:t>7</w:t>
            </w:r>
            <w:r>
              <w:rPr>
                <w:rFonts w:hint="eastAsia" w:ascii="宋体" w:hAnsi="宋体" w:cs="宋体"/>
                <w:color w:val="000000"/>
                <w:szCs w:val="21"/>
              </w:rPr>
              <w:t>,</w:t>
            </w:r>
            <w:r>
              <w:rPr>
                <w:rFonts w:hint="eastAsia" w:ascii="宋体" w:hAnsi="宋体" w:cs="宋体"/>
                <w:color w:val="000000"/>
                <w:szCs w:val="21"/>
                <w:lang w:val="en-US" w:eastAsia="zh-CN"/>
              </w:rPr>
              <w:t>1</w:t>
            </w:r>
            <w:r>
              <w:rPr>
                <w:rFonts w:hint="eastAsia" w:ascii="宋体" w:hAnsi="宋体" w:cs="宋体"/>
                <w:color w:val="000000"/>
                <w:szCs w:val="21"/>
              </w:rPr>
              <w:t>.</w:t>
            </w:r>
            <w:r>
              <w:rPr>
                <w:rFonts w:hint="eastAsia" w:ascii="宋体" w:hAnsi="宋体" w:cs="宋体"/>
                <w:color w:val="000000"/>
                <w:szCs w:val="21"/>
                <w:lang w:val="en-US" w:eastAsia="zh-CN"/>
              </w:rPr>
              <w:t>0</w:t>
            </w:r>
            <w:r>
              <w:rPr>
                <w:rFonts w:hint="eastAsia" w:ascii="宋体" w:hAnsi="宋体" w:cs="宋体"/>
                <w:color w:val="000000"/>
                <w:szCs w:val="21"/>
              </w:rPr>
              <w:t>]</w:t>
            </w:r>
          </w:p>
        </w:tc>
      </w:tr>
      <w:tr w14:paraId="278BC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6" w:hRule="atLeast"/>
          <w:jc w:val="center"/>
        </w:trPr>
        <w:tc>
          <w:tcPr>
            <w:tcW w:w="5535" w:type="dxa"/>
            <w:vAlign w:val="center"/>
          </w:tcPr>
          <w:p w14:paraId="3B2F4D35">
            <w:pPr>
              <w:pStyle w:val="20"/>
              <w:jc w:val="center"/>
              <w:rPr>
                <w:rFonts w:hint="eastAsia" w:ascii="宋体" w:hAnsi="宋体" w:eastAsia="宋体" w:cs="宋体"/>
                <w:color w:val="000000"/>
                <w:szCs w:val="21"/>
                <w:lang w:eastAsia="zh-CN"/>
              </w:rPr>
            </w:pPr>
            <w:r>
              <w:rPr>
                <w:rFonts w:hint="eastAsia" w:ascii="宋体" w:hAnsi="宋体" w:cs="宋体"/>
                <w:color w:val="000000"/>
                <w:szCs w:val="21"/>
                <w:lang w:val="en-US" w:eastAsia="zh-CN"/>
              </w:rPr>
              <w:t>其他第三方渠道</w:t>
            </w:r>
          </w:p>
        </w:tc>
        <w:tc>
          <w:tcPr>
            <w:tcW w:w="2924" w:type="dxa"/>
            <w:vAlign w:val="center"/>
          </w:tcPr>
          <w:p w14:paraId="68F4F605">
            <w:pPr>
              <w:pStyle w:val="20"/>
              <w:jc w:val="center"/>
              <w:rPr>
                <w:rFonts w:ascii="宋体" w:hAnsi="宋体" w:cs="宋体"/>
                <w:color w:val="000000"/>
                <w:szCs w:val="21"/>
              </w:rPr>
            </w:pPr>
            <w:r>
              <w:rPr>
                <w:rFonts w:hint="eastAsia" w:ascii="宋体" w:hAnsi="宋体" w:cs="宋体"/>
                <w:color w:val="000000"/>
                <w:szCs w:val="21"/>
              </w:rPr>
              <w:t>(1.0,1.</w:t>
            </w:r>
            <w:r>
              <w:rPr>
                <w:rFonts w:hint="eastAsia" w:ascii="宋体" w:hAnsi="宋体" w:cs="宋体"/>
                <w:color w:val="000000"/>
                <w:szCs w:val="21"/>
                <w:lang w:val="en-US" w:eastAsia="zh-CN"/>
              </w:rPr>
              <w:t>3</w:t>
            </w:r>
            <w:r>
              <w:rPr>
                <w:rFonts w:hint="eastAsia" w:ascii="宋体" w:hAnsi="宋体" w:cs="宋体"/>
                <w:color w:val="000000"/>
                <w:szCs w:val="21"/>
              </w:rPr>
              <w:t>]</w:t>
            </w:r>
          </w:p>
        </w:tc>
      </w:tr>
    </w:tbl>
    <w:p w14:paraId="6BB6D8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lang w:eastAsia="zh-CN"/>
        </w:rPr>
      </w:pPr>
      <w:r>
        <w:rPr>
          <w:rFonts w:hint="eastAsia" w:ascii="宋体" w:hAnsi="宋体" w:eastAsia="宋体" w:cs="宋体"/>
          <w:b w:val="0"/>
          <w:bCs w:val="0"/>
          <w:lang w:eastAsia="zh-CN"/>
        </w:rPr>
        <w:t>注：根据渠道销售费用率水平按比例调整。</w:t>
      </w:r>
    </w:p>
    <w:p w14:paraId="6D184485">
      <w:pPr>
        <w:spacing w:line="360" w:lineRule="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val="en-US" w:eastAsia="zh-CN"/>
        </w:rPr>
        <w:t>经验/</w:t>
      </w:r>
      <w:r>
        <w:rPr>
          <w:rFonts w:hint="eastAsia" w:ascii="宋体" w:hAnsi="宋体" w:eastAsia="宋体" w:cs="宋体"/>
        </w:rPr>
        <w:t>预期赔付率调整系数（F</w:t>
      </w:r>
      <w:r>
        <w:rPr>
          <w:rFonts w:hint="eastAsia" w:ascii="宋体" w:hAnsi="宋体" w:eastAsia="宋体" w:cs="宋体"/>
          <w:lang w:val="en-US" w:eastAsia="zh-CN"/>
        </w:rPr>
        <w:t>5</w:t>
      </w:r>
      <w:r>
        <w:rPr>
          <w:rFonts w:hint="eastAsia" w:ascii="宋体" w:hAnsi="宋体" w:eastAsia="宋体" w:cs="宋体"/>
        </w:rPr>
        <w:t>）</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71"/>
        <w:gridCol w:w="2951"/>
      </w:tblGrid>
      <w:tr w14:paraId="33027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571" w:type="dxa"/>
            <w:tcBorders>
              <w:top w:val="single" w:color="auto" w:sz="4" w:space="0"/>
              <w:left w:val="single" w:color="auto" w:sz="4" w:space="0"/>
              <w:bottom w:val="single" w:color="auto" w:sz="4" w:space="0"/>
              <w:right w:val="single" w:color="auto" w:sz="4" w:space="0"/>
            </w:tcBorders>
            <w:shd w:val="clear" w:color="auto" w:fill="auto"/>
            <w:vAlign w:val="center"/>
          </w:tcPr>
          <w:p w14:paraId="733C38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经验/预期赔付率</w:t>
            </w:r>
          </w:p>
        </w:tc>
        <w:tc>
          <w:tcPr>
            <w:tcW w:w="2951" w:type="dxa"/>
            <w:tcBorders>
              <w:top w:val="single" w:color="auto" w:sz="4" w:space="0"/>
              <w:left w:val="single" w:color="auto" w:sz="4" w:space="0"/>
              <w:bottom w:val="single" w:color="auto" w:sz="4" w:space="0"/>
              <w:right w:val="single" w:color="auto" w:sz="4" w:space="0"/>
            </w:tcBorders>
            <w:shd w:val="clear" w:color="auto" w:fill="auto"/>
            <w:vAlign w:val="center"/>
          </w:tcPr>
          <w:p w14:paraId="4B1BF4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0968C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571" w:type="dxa"/>
            <w:tcBorders>
              <w:top w:val="single" w:color="auto" w:sz="4" w:space="0"/>
              <w:left w:val="single" w:color="auto" w:sz="4" w:space="0"/>
              <w:bottom w:val="single" w:color="auto" w:sz="4" w:space="0"/>
              <w:right w:val="single" w:color="auto" w:sz="4" w:space="0"/>
            </w:tcBorders>
            <w:shd w:val="clear" w:color="auto" w:fill="auto"/>
            <w:vAlign w:val="center"/>
          </w:tcPr>
          <w:p w14:paraId="588A3B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0%-65%（含）</w:t>
            </w:r>
          </w:p>
        </w:tc>
        <w:tc>
          <w:tcPr>
            <w:tcW w:w="2951" w:type="dxa"/>
            <w:tcBorders>
              <w:top w:val="single" w:color="auto" w:sz="4" w:space="0"/>
              <w:left w:val="single" w:color="auto" w:sz="4" w:space="0"/>
              <w:bottom w:val="single" w:color="auto" w:sz="4" w:space="0"/>
              <w:right w:val="single" w:color="auto" w:sz="4" w:space="0"/>
            </w:tcBorders>
            <w:shd w:val="clear" w:color="auto" w:fill="auto"/>
            <w:vAlign w:val="center"/>
          </w:tcPr>
          <w:p w14:paraId="0BA774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6487A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5571" w:type="dxa"/>
            <w:tcBorders>
              <w:top w:val="single" w:color="auto" w:sz="4" w:space="0"/>
              <w:left w:val="single" w:color="auto" w:sz="4" w:space="0"/>
              <w:bottom w:val="single" w:color="auto" w:sz="4" w:space="0"/>
              <w:right w:val="single" w:color="auto" w:sz="4" w:space="0"/>
            </w:tcBorders>
            <w:shd w:val="clear" w:color="auto" w:fill="auto"/>
            <w:vAlign w:val="center"/>
          </w:tcPr>
          <w:p w14:paraId="2BD1A6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65%以上</w:t>
            </w:r>
          </w:p>
        </w:tc>
        <w:tc>
          <w:tcPr>
            <w:tcW w:w="2951" w:type="dxa"/>
            <w:tcBorders>
              <w:top w:val="single" w:color="auto" w:sz="4" w:space="0"/>
              <w:left w:val="single" w:color="auto" w:sz="4" w:space="0"/>
              <w:bottom w:val="single" w:color="auto" w:sz="4" w:space="0"/>
              <w:right w:val="single" w:color="auto" w:sz="4" w:space="0"/>
            </w:tcBorders>
            <w:shd w:val="clear" w:color="auto" w:fill="auto"/>
            <w:vAlign w:val="center"/>
          </w:tcPr>
          <w:p w14:paraId="750F70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43EF2D72">
      <w:pPr>
        <w:spacing w:line="360" w:lineRule="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w:t>
      </w:r>
      <w:r>
        <w:rPr>
          <w:rFonts w:hint="eastAsia" w:ascii="宋体" w:hAnsi="宋体" w:eastAsia="宋体" w:cs="宋体"/>
          <w:b w:val="0"/>
          <w:bCs w:val="0"/>
          <w:szCs w:val="21"/>
        </w:rPr>
        <w:t>渠道年度预计投保规模</w:t>
      </w:r>
      <w:r>
        <w:rPr>
          <w:rFonts w:hint="eastAsia" w:ascii="宋体" w:hAnsi="宋体" w:eastAsia="宋体" w:cs="宋体"/>
        </w:rPr>
        <w:t>调整系数（F</w:t>
      </w:r>
      <w:r>
        <w:rPr>
          <w:rFonts w:hint="eastAsia" w:ascii="宋体" w:hAnsi="宋体" w:eastAsia="宋体" w:cs="宋体"/>
          <w:lang w:val="en-US" w:eastAsia="zh-CN"/>
        </w:rPr>
        <w:t>6</w:t>
      </w:r>
      <w:r>
        <w:rPr>
          <w:rFonts w:hint="eastAsia" w:ascii="宋体" w:hAnsi="宋体" w:eastAsia="宋体" w:cs="宋体"/>
        </w:rPr>
        <w:t>）</w:t>
      </w:r>
    </w:p>
    <w:tbl>
      <w:tblPr>
        <w:tblStyle w:val="7"/>
        <w:tblW w:w="5000" w:type="pct"/>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5560"/>
        <w:gridCol w:w="2962"/>
      </w:tblGrid>
      <w:tr w14:paraId="467C5FC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5" w:hRule="atLeast"/>
          <w:jc w:val="center"/>
        </w:trPr>
        <w:tc>
          <w:tcPr>
            <w:tcW w:w="5560" w:type="dxa"/>
            <w:tcBorders>
              <w:top w:val="single" w:color="auto" w:sz="4" w:space="0"/>
              <w:left w:val="single" w:color="auto" w:sz="4" w:space="0"/>
              <w:bottom w:val="single" w:color="auto" w:sz="4" w:space="0"/>
              <w:right w:val="single" w:color="auto" w:sz="4" w:space="0"/>
            </w:tcBorders>
            <w:vAlign w:val="center"/>
          </w:tcPr>
          <w:p w14:paraId="6A3B6D67">
            <w:pPr>
              <w:widowControl/>
              <w:adjustRightInd w:val="0"/>
              <w:snapToGrid w:val="0"/>
              <w:jc w:val="center"/>
              <w:textAlignment w:val="center"/>
              <w:rPr>
                <w:rFonts w:hint="eastAsia" w:ascii="宋体" w:hAnsi="宋体" w:eastAsia="宋体" w:cs="宋体"/>
                <w:b w:val="0"/>
                <w:bCs w:val="0"/>
                <w:color w:val="auto"/>
                <w:szCs w:val="21"/>
              </w:rPr>
            </w:pPr>
            <w:r>
              <w:rPr>
                <w:rFonts w:hint="eastAsia" w:ascii="宋体" w:hAnsi="宋体" w:eastAsia="宋体" w:cs="宋体"/>
                <w:b w:val="0"/>
                <w:bCs w:val="0"/>
                <w:szCs w:val="21"/>
              </w:rPr>
              <w:t>渠道年度预计投保人数</w:t>
            </w:r>
          </w:p>
        </w:tc>
        <w:tc>
          <w:tcPr>
            <w:tcW w:w="2962" w:type="dxa"/>
            <w:tcBorders>
              <w:top w:val="single" w:color="auto" w:sz="4" w:space="0"/>
              <w:left w:val="single" w:color="auto" w:sz="4" w:space="0"/>
              <w:bottom w:val="single" w:color="auto" w:sz="4" w:space="0"/>
              <w:right w:val="single" w:color="auto" w:sz="4" w:space="0"/>
            </w:tcBorders>
            <w:vAlign w:val="center"/>
          </w:tcPr>
          <w:p w14:paraId="04E0FDFC">
            <w:pPr>
              <w:widowControl/>
              <w:adjustRightInd w:val="0"/>
              <w:snapToGrid w:val="0"/>
              <w:jc w:val="center"/>
              <w:textAlignment w:val="center"/>
              <w:rPr>
                <w:rFonts w:hint="eastAsia" w:ascii="宋体" w:hAnsi="宋体" w:eastAsia="宋体" w:cs="宋体"/>
                <w:b w:val="0"/>
                <w:bCs w:val="0"/>
                <w:color w:val="auto"/>
                <w:szCs w:val="21"/>
              </w:rPr>
            </w:pPr>
            <w:r>
              <w:rPr>
                <w:rFonts w:hint="eastAsia" w:ascii="宋体" w:hAnsi="宋体" w:eastAsia="宋体" w:cs="宋体"/>
                <w:b w:val="0"/>
                <w:bCs w:val="0"/>
                <w:color w:val="auto"/>
                <w:kern w:val="0"/>
                <w:szCs w:val="21"/>
                <w:lang w:bidi="ar"/>
              </w:rPr>
              <w:t>调整系数</w:t>
            </w:r>
          </w:p>
        </w:tc>
      </w:tr>
      <w:tr w14:paraId="44ACDB1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5" w:hRule="atLeast"/>
          <w:jc w:val="center"/>
        </w:trPr>
        <w:tc>
          <w:tcPr>
            <w:tcW w:w="5560" w:type="dxa"/>
            <w:tcBorders>
              <w:top w:val="single" w:color="auto" w:sz="4" w:space="0"/>
              <w:left w:val="single" w:color="auto" w:sz="4" w:space="0"/>
              <w:bottom w:val="single" w:color="auto" w:sz="4" w:space="0"/>
              <w:right w:val="single" w:color="auto" w:sz="4" w:space="0"/>
            </w:tcBorders>
            <w:vAlign w:val="center"/>
          </w:tcPr>
          <w:p w14:paraId="2C73F83E">
            <w:pPr>
              <w:widowControl/>
              <w:adjustRightInd w:val="0"/>
              <w:snapToGrid w:val="0"/>
              <w:jc w:val="center"/>
              <w:textAlignment w:val="center"/>
              <w:rPr>
                <w:rFonts w:hint="eastAsia" w:ascii="宋体" w:hAnsi="宋体" w:eastAsia="宋体" w:cs="宋体"/>
                <w:b w:val="0"/>
                <w:bCs w:val="0"/>
                <w:color w:val="auto"/>
                <w:szCs w:val="21"/>
              </w:rPr>
            </w:pPr>
            <w:r>
              <w:rPr>
                <w:rFonts w:hint="eastAsia" w:ascii="宋体" w:hAnsi="宋体" w:eastAsia="宋体" w:cs="宋体"/>
                <w:b w:val="0"/>
                <w:bCs w:val="0"/>
                <w:szCs w:val="21"/>
              </w:rPr>
              <w:t>≤100人</w:t>
            </w:r>
          </w:p>
        </w:tc>
        <w:tc>
          <w:tcPr>
            <w:tcW w:w="2962" w:type="dxa"/>
            <w:tcBorders>
              <w:top w:val="single" w:color="auto" w:sz="4" w:space="0"/>
              <w:left w:val="single" w:color="auto" w:sz="4" w:space="0"/>
              <w:bottom w:val="single" w:color="auto" w:sz="4" w:space="0"/>
              <w:right w:val="single" w:color="auto" w:sz="4" w:space="0"/>
            </w:tcBorders>
            <w:vAlign w:val="center"/>
          </w:tcPr>
          <w:p w14:paraId="780721E9">
            <w:pPr>
              <w:widowControl/>
              <w:adjustRightInd w:val="0"/>
              <w:snapToGrid w:val="0"/>
              <w:jc w:val="center"/>
              <w:textAlignment w:val="center"/>
              <w:rPr>
                <w:rFonts w:hint="eastAsia" w:ascii="宋体" w:hAnsi="宋体" w:eastAsia="宋体" w:cs="宋体"/>
                <w:b w:val="0"/>
                <w:bCs w:val="0"/>
                <w:color w:val="auto"/>
                <w:szCs w:val="21"/>
              </w:rPr>
            </w:pPr>
            <w:r>
              <w:rPr>
                <w:rFonts w:hint="eastAsia" w:ascii="宋体" w:hAnsi="宋体" w:eastAsia="宋体" w:cs="宋体"/>
                <w:b w:val="0"/>
                <w:bCs w:val="0"/>
                <w:szCs w:val="21"/>
              </w:rPr>
              <w:t>[</w:t>
            </w:r>
            <w:r>
              <w:rPr>
                <w:rFonts w:hint="eastAsia" w:ascii="宋体" w:hAnsi="宋体" w:eastAsia="宋体" w:cs="宋体"/>
                <w:b w:val="0"/>
                <w:bCs w:val="0"/>
                <w:szCs w:val="21"/>
                <w:lang w:eastAsia="zh-TW"/>
              </w:rPr>
              <w:t>1.0</w:t>
            </w:r>
            <w:r>
              <w:rPr>
                <w:rFonts w:hint="eastAsia" w:ascii="宋体" w:hAnsi="宋体" w:eastAsia="宋体" w:cs="宋体"/>
                <w:b w:val="0"/>
                <w:bCs w:val="0"/>
                <w:szCs w:val="21"/>
              </w:rPr>
              <w:t>,1.2]</w:t>
            </w:r>
          </w:p>
        </w:tc>
      </w:tr>
      <w:tr w14:paraId="4423724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5" w:hRule="atLeast"/>
          <w:jc w:val="center"/>
        </w:trPr>
        <w:tc>
          <w:tcPr>
            <w:tcW w:w="5560" w:type="dxa"/>
            <w:tcBorders>
              <w:top w:val="single" w:color="auto" w:sz="4" w:space="0"/>
              <w:left w:val="single" w:color="auto" w:sz="4" w:space="0"/>
              <w:bottom w:val="single" w:color="auto" w:sz="4" w:space="0"/>
              <w:right w:val="single" w:color="auto" w:sz="4" w:space="0"/>
            </w:tcBorders>
            <w:vAlign w:val="center"/>
          </w:tcPr>
          <w:p w14:paraId="365E9791">
            <w:pPr>
              <w:widowControl/>
              <w:adjustRightInd w:val="0"/>
              <w:snapToGrid w:val="0"/>
              <w:jc w:val="center"/>
              <w:textAlignment w:val="center"/>
              <w:rPr>
                <w:rFonts w:hint="eastAsia" w:ascii="宋体" w:hAnsi="宋体" w:eastAsia="宋体" w:cs="宋体"/>
                <w:b w:val="0"/>
                <w:bCs w:val="0"/>
                <w:color w:val="auto"/>
                <w:szCs w:val="21"/>
              </w:rPr>
            </w:pPr>
            <w:r>
              <w:rPr>
                <w:rFonts w:hint="eastAsia" w:ascii="宋体" w:hAnsi="宋体" w:eastAsia="宋体" w:cs="宋体"/>
                <w:b w:val="0"/>
                <w:bCs w:val="0"/>
                <w:szCs w:val="21"/>
              </w:rPr>
              <w:t>101～1000人</w:t>
            </w:r>
          </w:p>
        </w:tc>
        <w:tc>
          <w:tcPr>
            <w:tcW w:w="2962" w:type="dxa"/>
            <w:tcBorders>
              <w:top w:val="single" w:color="auto" w:sz="4" w:space="0"/>
              <w:left w:val="single" w:color="auto" w:sz="4" w:space="0"/>
              <w:bottom w:val="single" w:color="auto" w:sz="4" w:space="0"/>
              <w:right w:val="single" w:color="auto" w:sz="4" w:space="0"/>
            </w:tcBorders>
            <w:vAlign w:val="center"/>
          </w:tcPr>
          <w:p w14:paraId="65E959B5">
            <w:pPr>
              <w:widowControl/>
              <w:adjustRightInd w:val="0"/>
              <w:snapToGrid w:val="0"/>
              <w:jc w:val="center"/>
              <w:textAlignment w:val="center"/>
              <w:rPr>
                <w:rFonts w:hint="eastAsia" w:ascii="宋体" w:hAnsi="宋体" w:eastAsia="宋体" w:cs="宋体"/>
                <w:b w:val="0"/>
                <w:bCs w:val="0"/>
                <w:color w:val="auto"/>
                <w:szCs w:val="21"/>
              </w:rPr>
            </w:pPr>
            <w:r>
              <w:rPr>
                <w:rFonts w:hint="eastAsia" w:ascii="宋体" w:hAnsi="宋体" w:eastAsia="宋体" w:cs="宋体"/>
                <w:b w:val="0"/>
                <w:bCs w:val="0"/>
                <w:szCs w:val="21"/>
              </w:rPr>
              <w:t>[0.</w:t>
            </w:r>
            <w:r>
              <w:rPr>
                <w:rFonts w:hint="eastAsia" w:ascii="宋体" w:hAnsi="宋体" w:eastAsia="宋体" w:cs="宋体"/>
                <w:b w:val="0"/>
                <w:bCs w:val="0"/>
                <w:szCs w:val="21"/>
                <w:lang w:eastAsia="zh-TW"/>
              </w:rPr>
              <w:t>9</w:t>
            </w:r>
            <w:r>
              <w:rPr>
                <w:rFonts w:hint="eastAsia" w:ascii="宋体" w:hAnsi="宋体" w:eastAsia="宋体" w:cs="宋体"/>
                <w:b w:val="0"/>
                <w:bCs w:val="0"/>
                <w:szCs w:val="21"/>
              </w:rPr>
              <w:t>,</w:t>
            </w:r>
            <w:r>
              <w:rPr>
                <w:rFonts w:hint="eastAsia" w:ascii="宋体" w:hAnsi="宋体" w:eastAsia="宋体" w:cs="宋体"/>
                <w:b w:val="0"/>
                <w:bCs w:val="0"/>
                <w:szCs w:val="21"/>
                <w:lang w:eastAsia="zh-TW"/>
              </w:rPr>
              <w:t>1.0</w:t>
            </w:r>
            <w:r>
              <w:rPr>
                <w:rFonts w:hint="eastAsia" w:ascii="宋体" w:hAnsi="宋体" w:eastAsia="宋体" w:cs="宋体"/>
                <w:b w:val="0"/>
                <w:bCs w:val="0"/>
                <w:szCs w:val="21"/>
              </w:rPr>
              <w:t>)</w:t>
            </w:r>
          </w:p>
        </w:tc>
      </w:tr>
      <w:tr w14:paraId="26B399E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5" w:hRule="atLeast"/>
          <w:jc w:val="center"/>
        </w:trPr>
        <w:tc>
          <w:tcPr>
            <w:tcW w:w="5560" w:type="dxa"/>
            <w:tcBorders>
              <w:top w:val="single" w:color="auto" w:sz="4" w:space="0"/>
              <w:left w:val="single" w:color="auto" w:sz="4" w:space="0"/>
              <w:bottom w:val="single" w:color="auto" w:sz="4" w:space="0"/>
              <w:right w:val="single" w:color="auto" w:sz="4" w:space="0"/>
            </w:tcBorders>
            <w:vAlign w:val="center"/>
          </w:tcPr>
          <w:p w14:paraId="7B022370">
            <w:pPr>
              <w:widowControl/>
              <w:adjustRightInd w:val="0"/>
              <w:snapToGrid w:val="0"/>
              <w:jc w:val="center"/>
              <w:textAlignment w:val="center"/>
              <w:rPr>
                <w:rFonts w:hint="eastAsia" w:ascii="宋体" w:hAnsi="宋体" w:eastAsia="宋体" w:cs="宋体"/>
                <w:b w:val="0"/>
                <w:bCs w:val="0"/>
                <w:color w:val="auto"/>
                <w:szCs w:val="21"/>
              </w:rPr>
            </w:pPr>
            <w:r>
              <w:rPr>
                <w:rFonts w:hint="eastAsia" w:ascii="宋体" w:hAnsi="宋体" w:eastAsia="宋体" w:cs="宋体"/>
                <w:b w:val="0"/>
                <w:bCs w:val="0"/>
                <w:szCs w:val="21"/>
              </w:rPr>
              <w:t>＞1000人</w:t>
            </w:r>
          </w:p>
        </w:tc>
        <w:tc>
          <w:tcPr>
            <w:tcW w:w="2962" w:type="dxa"/>
            <w:tcBorders>
              <w:top w:val="single" w:color="auto" w:sz="4" w:space="0"/>
              <w:left w:val="single" w:color="auto" w:sz="4" w:space="0"/>
              <w:bottom w:val="single" w:color="auto" w:sz="4" w:space="0"/>
              <w:right w:val="single" w:color="auto" w:sz="4" w:space="0"/>
            </w:tcBorders>
            <w:vAlign w:val="center"/>
          </w:tcPr>
          <w:p w14:paraId="1C168330">
            <w:pPr>
              <w:widowControl/>
              <w:adjustRightInd w:val="0"/>
              <w:snapToGrid w:val="0"/>
              <w:jc w:val="center"/>
              <w:textAlignment w:val="center"/>
              <w:rPr>
                <w:rFonts w:hint="eastAsia" w:ascii="宋体" w:hAnsi="宋体" w:eastAsia="宋体" w:cs="宋体"/>
                <w:b w:val="0"/>
                <w:bCs w:val="0"/>
                <w:color w:val="auto"/>
                <w:kern w:val="0"/>
                <w:szCs w:val="21"/>
                <w:lang w:bidi="ar"/>
              </w:rPr>
            </w:pPr>
            <w:r>
              <w:rPr>
                <w:rFonts w:hint="eastAsia" w:ascii="宋体" w:hAnsi="宋体" w:eastAsia="宋体" w:cs="宋体"/>
                <w:b w:val="0"/>
                <w:bCs w:val="0"/>
                <w:szCs w:val="21"/>
              </w:rPr>
              <w:t>[0.</w:t>
            </w:r>
            <w:r>
              <w:rPr>
                <w:rFonts w:hint="eastAsia" w:ascii="宋体" w:hAnsi="宋体" w:eastAsia="宋体" w:cs="宋体"/>
                <w:b w:val="0"/>
                <w:bCs w:val="0"/>
                <w:szCs w:val="21"/>
                <w:lang w:eastAsia="zh-TW"/>
              </w:rPr>
              <w:t>8</w:t>
            </w:r>
            <w:r>
              <w:rPr>
                <w:rFonts w:hint="eastAsia" w:ascii="宋体" w:hAnsi="宋体" w:eastAsia="宋体" w:cs="宋体"/>
                <w:b w:val="0"/>
                <w:bCs w:val="0"/>
                <w:szCs w:val="21"/>
              </w:rPr>
              <w:t>,0.</w:t>
            </w:r>
            <w:r>
              <w:rPr>
                <w:rFonts w:hint="eastAsia" w:ascii="宋体" w:hAnsi="宋体" w:eastAsia="宋体" w:cs="宋体"/>
                <w:b w:val="0"/>
                <w:bCs w:val="0"/>
                <w:szCs w:val="21"/>
                <w:lang w:eastAsia="zh-TW"/>
              </w:rPr>
              <w:t>9</w:t>
            </w:r>
            <w:r>
              <w:rPr>
                <w:rFonts w:hint="eastAsia" w:ascii="宋体" w:hAnsi="宋体" w:eastAsia="宋体" w:cs="宋体"/>
                <w:b w:val="0"/>
                <w:bCs w:val="0"/>
                <w:szCs w:val="21"/>
              </w:rPr>
              <w:t>)</w:t>
            </w:r>
          </w:p>
        </w:tc>
      </w:tr>
    </w:tbl>
    <w:p w14:paraId="230806D5">
      <w:pPr>
        <w:spacing w:line="360" w:lineRule="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w:t>
      </w:r>
      <w:r>
        <w:rPr>
          <w:rFonts w:hint="eastAsia" w:ascii="宋体" w:hAnsi="宋体" w:eastAsia="宋体" w:cs="宋体"/>
          <w:szCs w:val="21"/>
        </w:rPr>
        <w:t>被保险人主要生活区域交通状况</w:t>
      </w:r>
      <w:r>
        <w:rPr>
          <w:rFonts w:hint="eastAsia" w:ascii="宋体" w:hAnsi="宋体" w:eastAsia="宋体" w:cs="宋体"/>
        </w:rPr>
        <w:t>调整系数（F</w:t>
      </w:r>
      <w:r>
        <w:rPr>
          <w:rFonts w:hint="eastAsia" w:ascii="宋体" w:hAnsi="宋体" w:eastAsia="宋体" w:cs="宋体"/>
          <w:lang w:val="en-US" w:eastAsia="zh-CN"/>
        </w:rPr>
        <w:t>7</w:t>
      </w:r>
      <w:r>
        <w:rPr>
          <w:rFonts w:hint="eastAsia" w:ascii="宋体" w:hAnsi="宋体" w:eastAsia="宋体" w:cs="宋体"/>
        </w:rPr>
        <w:t>）</w:t>
      </w:r>
    </w:p>
    <w:tbl>
      <w:tblPr>
        <w:tblStyle w:val="7"/>
        <w:tblW w:w="492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63"/>
        <w:gridCol w:w="2835"/>
      </w:tblGrid>
      <w:tr w14:paraId="11CEA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3" w:hRule="atLeast"/>
          <w:jc w:val="center"/>
        </w:trPr>
        <w:tc>
          <w:tcPr>
            <w:tcW w:w="5563" w:type="dxa"/>
            <w:tcBorders>
              <w:top w:val="single" w:color="auto" w:sz="4" w:space="0"/>
              <w:left w:val="single" w:color="auto" w:sz="4" w:space="0"/>
              <w:bottom w:val="single" w:color="auto" w:sz="4" w:space="0"/>
              <w:right w:val="single" w:color="auto" w:sz="4" w:space="0"/>
            </w:tcBorders>
            <w:shd w:val="clear" w:color="auto" w:fill="auto"/>
            <w:vAlign w:val="center"/>
          </w:tcPr>
          <w:p w14:paraId="44781138">
            <w:pPr>
              <w:widowControl/>
              <w:jc w:val="center"/>
              <w:rPr>
                <w:rFonts w:hint="eastAsia" w:ascii="宋体" w:hAnsi="宋体" w:eastAsia="宋体" w:cs="宋体"/>
                <w:b/>
                <w:bCs/>
                <w:color w:val="000000"/>
                <w:kern w:val="0"/>
                <w:szCs w:val="21"/>
              </w:rPr>
            </w:pPr>
            <w:r>
              <w:rPr>
                <w:rFonts w:hint="eastAsia" w:ascii="宋体" w:hAnsi="宋体" w:eastAsia="宋体" w:cs="宋体"/>
                <w:szCs w:val="21"/>
              </w:rPr>
              <w:t>被保险人主要生活区域交通状况</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14:paraId="68C6973A">
            <w:pPr>
              <w:widowControl/>
              <w:jc w:val="center"/>
              <w:rPr>
                <w:rFonts w:hint="eastAsia" w:ascii="宋体" w:hAnsi="宋体" w:eastAsia="宋体" w:cs="宋体"/>
                <w:b/>
                <w:bCs/>
                <w:color w:val="000000"/>
                <w:kern w:val="0"/>
                <w:szCs w:val="21"/>
              </w:rPr>
            </w:pPr>
            <w:r>
              <w:rPr>
                <w:rFonts w:hint="eastAsia" w:ascii="宋体" w:hAnsi="宋体" w:eastAsia="宋体" w:cs="宋体"/>
                <w:b w:val="0"/>
                <w:bCs w:val="0"/>
                <w:color w:val="000000"/>
                <w:kern w:val="0"/>
                <w:szCs w:val="21"/>
              </w:rPr>
              <w:t>调整系数</w:t>
            </w:r>
          </w:p>
        </w:tc>
      </w:tr>
      <w:tr w14:paraId="0D40B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4" w:hRule="atLeast"/>
          <w:jc w:val="center"/>
        </w:trPr>
        <w:tc>
          <w:tcPr>
            <w:tcW w:w="5563" w:type="dxa"/>
            <w:tcBorders>
              <w:top w:val="single" w:color="auto" w:sz="4" w:space="0"/>
              <w:left w:val="single" w:color="auto" w:sz="4" w:space="0"/>
              <w:bottom w:val="single" w:color="auto" w:sz="4" w:space="0"/>
              <w:right w:val="single" w:color="auto" w:sz="4" w:space="0"/>
            </w:tcBorders>
            <w:shd w:val="clear" w:color="auto" w:fill="auto"/>
            <w:vAlign w:val="center"/>
          </w:tcPr>
          <w:p w14:paraId="5CA61FDD">
            <w:pPr>
              <w:widowControl/>
              <w:jc w:val="center"/>
              <w:rPr>
                <w:rFonts w:hint="eastAsia" w:ascii="宋体" w:hAnsi="宋体" w:eastAsia="宋体" w:cs="宋体"/>
                <w:szCs w:val="21"/>
              </w:rPr>
            </w:pPr>
            <w:r>
              <w:rPr>
                <w:rFonts w:hint="eastAsia" w:ascii="宋体" w:hAnsi="宋体" w:eastAsia="宋体" w:cs="宋体"/>
                <w:szCs w:val="21"/>
              </w:rPr>
              <w:t>交通状况良好</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14:paraId="0C5DAC10">
            <w:pPr>
              <w:widowControl/>
              <w:jc w:val="center"/>
              <w:rPr>
                <w:rFonts w:hint="eastAsia" w:ascii="宋体" w:hAnsi="宋体" w:eastAsia="宋体" w:cs="宋体"/>
                <w:szCs w:val="21"/>
              </w:rPr>
            </w:pPr>
            <w:r>
              <w:rPr>
                <w:rFonts w:hint="eastAsia" w:ascii="宋体" w:hAnsi="宋体" w:eastAsia="宋体" w:cs="宋体"/>
                <w:szCs w:val="21"/>
              </w:rPr>
              <w:t>[0.</w:t>
            </w:r>
            <w:r>
              <w:rPr>
                <w:rFonts w:hint="eastAsia" w:ascii="宋体" w:hAnsi="宋体" w:eastAsia="宋体" w:cs="宋体"/>
                <w:szCs w:val="21"/>
                <w:lang w:val="en-US" w:eastAsia="zh-CN"/>
              </w:rPr>
              <w:t>7</w:t>
            </w:r>
            <w:r>
              <w:rPr>
                <w:rFonts w:hint="eastAsia" w:ascii="宋体" w:hAnsi="宋体" w:eastAsia="宋体" w:cs="宋体"/>
                <w:szCs w:val="21"/>
              </w:rPr>
              <w:t>,</w:t>
            </w:r>
            <w:r>
              <w:rPr>
                <w:rFonts w:hint="eastAsia" w:ascii="宋体" w:hAnsi="宋体" w:eastAsia="宋体" w:cs="宋体"/>
                <w:szCs w:val="21"/>
                <w:lang w:val="en-US" w:eastAsia="zh-CN"/>
              </w:rPr>
              <w:t>0.9)</w:t>
            </w:r>
          </w:p>
        </w:tc>
      </w:tr>
      <w:tr w14:paraId="2A714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8" w:hRule="atLeast"/>
          <w:jc w:val="center"/>
        </w:trPr>
        <w:tc>
          <w:tcPr>
            <w:tcW w:w="5563" w:type="dxa"/>
            <w:tcBorders>
              <w:top w:val="single" w:color="auto" w:sz="4" w:space="0"/>
              <w:left w:val="single" w:color="auto" w:sz="4" w:space="0"/>
              <w:bottom w:val="single" w:color="auto" w:sz="4" w:space="0"/>
              <w:right w:val="single" w:color="auto" w:sz="4" w:space="0"/>
            </w:tcBorders>
            <w:shd w:val="clear" w:color="auto" w:fill="auto"/>
            <w:vAlign w:val="center"/>
          </w:tcPr>
          <w:p w14:paraId="45A693FC">
            <w:pPr>
              <w:widowControl/>
              <w:jc w:val="center"/>
              <w:rPr>
                <w:rFonts w:hint="eastAsia" w:ascii="宋体" w:hAnsi="宋体" w:eastAsia="宋体" w:cs="宋体"/>
                <w:szCs w:val="21"/>
              </w:rPr>
            </w:pPr>
            <w:r>
              <w:rPr>
                <w:rFonts w:hint="eastAsia" w:ascii="宋体" w:hAnsi="宋体" w:eastAsia="宋体" w:cs="宋体"/>
                <w:szCs w:val="21"/>
              </w:rPr>
              <w:t>交通状况一般</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14:paraId="474D9E20">
            <w:pPr>
              <w:widowControl/>
              <w:jc w:val="center"/>
              <w:rPr>
                <w:rFonts w:hint="eastAsia" w:ascii="宋体" w:hAnsi="宋体" w:eastAsia="宋体" w:cs="宋体"/>
                <w:szCs w:val="21"/>
                <w:lang w:eastAsia="zh-CN"/>
              </w:rPr>
            </w:pPr>
            <w:r>
              <w:rPr>
                <w:rFonts w:hint="eastAsia" w:ascii="宋体" w:hAnsi="宋体" w:eastAsia="宋体" w:cs="宋体"/>
                <w:szCs w:val="21"/>
              </w:rPr>
              <w:t>[</w:t>
            </w:r>
            <w:r>
              <w:rPr>
                <w:rFonts w:hint="eastAsia" w:ascii="宋体" w:hAnsi="宋体" w:eastAsia="宋体" w:cs="宋体"/>
                <w:szCs w:val="21"/>
                <w:lang w:val="en-US" w:eastAsia="zh-CN"/>
              </w:rPr>
              <w:t>0.9</w:t>
            </w:r>
            <w:r>
              <w:rPr>
                <w:rFonts w:hint="eastAsia" w:ascii="宋体" w:hAnsi="宋体" w:eastAsia="宋体" w:cs="宋体"/>
                <w:szCs w:val="21"/>
              </w:rPr>
              <w:t>,1.</w:t>
            </w:r>
            <w:r>
              <w:rPr>
                <w:rFonts w:hint="eastAsia" w:ascii="宋体" w:hAnsi="宋体" w:eastAsia="宋体" w:cs="宋体"/>
                <w:szCs w:val="21"/>
                <w:lang w:val="en-US" w:eastAsia="zh-CN"/>
              </w:rPr>
              <w:t>0)</w:t>
            </w:r>
          </w:p>
        </w:tc>
      </w:tr>
      <w:tr w14:paraId="0E661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2" w:hRule="atLeast"/>
          <w:jc w:val="center"/>
        </w:trPr>
        <w:tc>
          <w:tcPr>
            <w:tcW w:w="5563" w:type="dxa"/>
            <w:tcBorders>
              <w:top w:val="single" w:color="auto" w:sz="4" w:space="0"/>
              <w:left w:val="single" w:color="auto" w:sz="4" w:space="0"/>
              <w:bottom w:val="single" w:color="auto" w:sz="4" w:space="0"/>
              <w:right w:val="single" w:color="auto" w:sz="4" w:space="0"/>
            </w:tcBorders>
            <w:shd w:val="clear" w:color="auto" w:fill="auto"/>
            <w:vAlign w:val="center"/>
          </w:tcPr>
          <w:p w14:paraId="38E92B64">
            <w:pPr>
              <w:widowControl/>
              <w:jc w:val="center"/>
              <w:rPr>
                <w:rFonts w:hint="eastAsia" w:ascii="宋体" w:hAnsi="宋体" w:eastAsia="宋体" w:cs="宋体"/>
                <w:szCs w:val="21"/>
              </w:rPr>
            </w:pPr>
            <w:r>
              <w:rPr>
                <w:rFonts w:hint="eastAsia" w:ascii="宋体" w:hAnsi="宋体" w:eastAsia="宋体" w:cs="宋体"/>
                <w:szCs w:val="21"/>
              </w:rPr>
              <w:t>交通状况较差</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14:paraId="0D2F0FBC">
            <w:pPr>
              <w:widowControl/>
              <w:jc w:val="center"/>
              <w:rPr>
                <w:rFonts w:hint="eastAsia" w:ascii="宋体" w:hAnsi="宋体" w:eastAsia="宋体" w:cs="宋体"/>
                <w:szCs w:val="21"/>
              </w:rPr>
            </w:pPr>
            <w:r>
              <w:rPr>
                <w:rFonts w:hint="eastAsia" w:ascii="宋体" w:hAnsi="宋体" w:eastAsia="宋体" w:cs="宋体"/>
                <w:szCs w:val="21"/>
                <w:lang w:val="en-US" w:eastAsia="zh-CN"/>
              </w:rPr>
              <w:t>(</w:t>
            </w:r>
            <w:r>
              <w:rPr>
                <w:rFonts w:hint="eastAsia" w:ascii="宋体" w:hAnsi="宋体" w:eastAsia="宋体" w:cs="宋体"/>
                <w:szCs w:val="21"/>
              </w:rPr>
              <w:t>1.</w:t>
            </w:r>
            <w:r>
              <w:rPr>
                <w:rFonts w:hint="eastAsia" w:ascii="宋体" w:hAnsi="宋体" w:eastAsia="宋体" w:cs="宋体"/>
                <w:szCs w:val="21"/>
                <w:lang w:val="en-US" w:eastAsia="zh-CN"/>
              </w:rPr>
              <w:t>0</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w:t>
            </w:r>
          </w:p>
        </w:tc>
      </w:tr>
    </w:tbl>
    <w:p w14:paraId="27DC1187">
      <w:pPr>
        <w:spacing w:line="360" w:lineRule="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w:t>
      </w:r>
      <w:r>
        <w:rPr>
          <w:rFonts w:hint="eastAsia" w:ascii="宋体" w:hAnsi="宋体" w:eastAsia="宋体" w:cs="宋体"/>
          <w:szCs w:val="21"/>
        </w:rPr>
        <w:t>被保险人综合风险水平</w:t>
      </w:r>
      <w:r>
        <w:rPr>
          <w:rFonts w:hint="eastAsia" w:ascii="宋体" w:hAnsi="宋体" w:eastAsia="宋体" w:cs="宋体"/>
        </w:rPr>
        <w:t>调整系数（F</w:t>
      </w:r>
      <w:r>
        <w:rPr>
          <w:rFonts w:hint="eastAsia" w:ascii="宋体" w:hAnsi="宋体" w:eastAsia="宋体" w:cs="宋体"/>
          <w:lang w:val="en-US" w:eastAsia="zh-CN"/>
        </w:rPr>
        <w:t>8</w:t>
      </w:r>
      <w:r>
        <w:rPr>
          <w:rFonts w:hint="eastAsia" w:ascii="宋体" w:hAnsi="宋体" w:eastAsia="宋体" w:cs="宋体"/>
        </w:rPr>
        <w:t>）</w:t>
      </w:r>
    </w:p>
    <w:tbl>
      <w:tblPr>
        <w:tblStyle w:val="7"/>
        <w:tblW w:w="84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06"/>
        <w:gridCol w:w="1276"/>
        <w:gridCol w:w="2914"/>
      </w:tblGrid>
      <w:tr w14:paraId="6D149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 w:hRule="atLeast"/>
          <w:jc w:val="center"/>
        </w:trPr>
        <w:tc>
          <w:tcPr>
            <w:tcW w:w="5382" w:type="dxa"/>
            <w:gridSpan w:val="2"/>
            <w:vAlign w:val="center"/>
          </w:tcPr>
          <w:p w14:paraId="2E930793">
            <w:pPr>
              <w:pStyle w:val="20"/>
              <w:adjustRightInd w:val="0"/>
              <w:snapToGrid w:val="0"/>
              <w:jc w:val="center"/>
              <w:rPr>
                <w:rFonts w:hint="eastAsia" w:ascii="宋体" w:hAnsi="宋体" w:cs="宋体"/>
                <w:szCs w:val="21"/>
              </w:rPr>
            </w:pPr>
            <w:r>
              <w:rPr>
                <w:rFonts w:hint="eastAsia" w:ascii="宋体" w:hAnsi="宋体" w:cs="宋体"/>
                <w:szCs w:val="21"/>
              </w:rPr>
              <w:t>被保险人综合风险水平</w:t>
            </w:r>
          </w:p>
        </w:tc>
        <w:tc>
          <w:tcPr>
            <w:tcW w:w="2914" w:type="dxa"/>
            <w:vAlign w:val="center"/>
          </w:tcPr>
          <w:p w14:paraId="216CA04C">
            <w:pPr>
              <w:pStyle w:val="20"/>
              <w:adjustRightInd w:val="0"/>
              <w:snapToGrid w:val="0"/>
              <w:jc w:val="center"/>
              <w:rPr>
                <w:rFonts w:hint="eastAsia" w:ascii="宋体" w:hAnsi="宋体" w:cs="宋体"/>
                <w:szCs w:val="21"/>
              </w:rPr>
            </w:pPr>
            <w:r>
              <w:rPr>
                <w:rFonts w:hint="eastAsia" w:ascii="宋体" w:hAnsi="宋体" w:cs="宋体"/>
                <w:szCs w:val="21"/>
              </w:rPr>
              <w:t>调整系数</w:t>
            </w:r>
          </w:p>
        </w:tc>
      </w:tr>
      <w:tr w14:paraId="31E05A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 w:hRule="atLeast"/>
          <w:jc w:val="center"/>
        </w:trPr>
        <w:tc>
          <w:tcPr>
            <w:tcW w:w="4106" w:type="dxa"/>
            <w:vMerge w:val="restart"/>
            <w:vAlign w:val="center"/>
          </w:tcPr>
          <w:p w14:paraId="5929C292">
            <w:pPr>
              <w:pStyle w:val="20"/>
              <w:adjustRightInd w:val="0"/>
              <w:snapToGrid w:val="0"/>
              <w:jc w:val="center"/>
              <w:rPr>
                <w:rFonts w:hint="eastAsia" w:ascii="宋体" w:hAnsi="宋体" w:eastAsia="宋体" w:cs="宋体"/>
                <w:color w:val="FF0000"/>
                <w:szCs w:val="21"/>
              </w:rPr>
            </w:pPr>
            <w:r>
              <w:rPr>
                <w:rFonts w:hint="eastAsia" w:ascii="宋体" w:hAnsi="宋体" w:cs="宋体"/>
                <w:szCs w:val="21"/>
              </w:rPr>
              <w:t>根据连续投保年数、跨险种投保</w:t>
            </w:r>
            <w:r>
              <w:rPr>
                <w:rFonts w:hint="eastAsia" w:ascii="宋体" w:hAnsi="宋体" w:eastAsia="宋体" w:cs="宋体"/>
                <w:szCs w:val="21"/>
              </w:rPr>
              <w:t>情况</w:t>
            </w:r>
            <w:r>
              <w:rPr>
                <w:rFonts w:hint="eastAsia" w:ascii="宋体" w:hAnsi="宋体" w:cs="宋体"/>
                <w:szCs w:val="21"/>
              </w:rPr>
              <w:t>以及安全</w:t>
            </w:r>
            <w:r>
              <w:rPr>
                <w:rFonts w:hint="eastAsia" w:ascii="宋体" w:hAnsi="宋体" w:cs="宋体"/>
                <w:szCs w:val="21"/>
                <w:lang w:val="en-US" w:eastAsia="zh-CN"/>
              </w:rPr>
              <w:t>出行</w:t>
            </w:r>
            <w:r>
              <w:rPr>
                <w:rFonts w:hint="eastAsia" w:ascii="宋体" w:hAnsi="宋体" w:cs="宋体"/>
                <w:szCs w:val="21"/>
              </w:rPr>
              <w:t>习惯等综合评估</w:t>
            </w:r>
            <w:r>
              <w:rPr>
                <w:rFonts w:hint="eastAsia" w:ascii="宋体" w:hAnsi="宋体" w:eastAsia="宋体" w:cs="宋体"/>
                <w:szCs w:val="21"/>
              </w:rPr>
              <w:t xml:space="preserve"> </w:t>
            </w:r>
          </w:p>
        </w:tc>
        <w:tc>
          <w:tcPr>
            <w:tcW w:w="1276" w:type="dxa"/>
          </w:tcPr>
          <w:p w14:paraId="48FEFF58">
            <w:pPr>
              <w:pStyle w:val="20"/>
              <w:adjustRightInd w:val="0"/>
              <w:snapToGrid w:val="0"/>
              <w:jc w:val="center"/>
              <w:rPr>
                <w:rFonts w:hint="eastAsia" w:ascii="宋体" w:hAnsi="宋体" w:cs="宋体"/>
                <w:szCs w:val="21"/>
              </w:rPr>
            </w:pPr>
            <w:r>
              <w:rPr>
                <w:rFonts w:hint="eastAsia" w:ascii="宋体" w:hAnsi="宋体" w:cs="宋体"/>
                <w:color w:val="auto"/>
                <w:szCs w:val="21"/>
              </w:rPr>
              <w:t>低</w:t>
            </w:r>
            <w:r>
              <w:rPr>
                <w:rFonts w:hint="eastAsia" w:ascii="宋体" w:hAnsi="宋体" w:cs="宋体"/>
                <w:szCs w:val="21"/>
              </w:rPr>
              <w:t>风险</w:t>
            </w:r>
          </w:p>
        </w:tc>
        <w:tc>
          <w:tcPr>
            <w:tcW w:w="2914" w:type="dxa"/>
            <w:vAlign w:val="center"/>
          </w:tcPr>
          <w:p w14:paraId="1EB36B51">
            <w:pPr>
              <w:pStyle w:val="20"/>
              <w:adjustRightInd w:val="0"/>
              <w:snapToGrid w:val="0"/>
              <w:jc w:val="center"/>
              <w:rPr>
                <w:rFonts w:hint="eastAsia" w:ascii="宋体" w:hAnsi="宋体" w:eastAsia="宋体" w:cs="宋体"/>
                <w:szCs w:val="21"/>
                <w:lang w:val="en-US" w:eastAsia="zh-CN"/>
              </w:rPr>
            </w:pPr>
            <w:r>
              <w:rPr>
                <w:rFonts w:hint="eastAsia" w:ascii="宋体" w:hAnsi="宋体" w:cs="宋体"/>
                <w:szCs w:val="21"/>
              </w:rPr>
              <w:t>[0.7,0.</w:t>
            </w:r>
            <w:r>
              <w:rPr>
                <w:rFonts w:hint="eastAsia" w:ascii="宋体" w:hAnsi="宋体" w:eastAsia="宋体" w:cs="宋体"/>
                <w:szCs w:val="21"/>
              </w:rPr>
              <w:t>9</w:t>
            </w:r>
            <w:r>
              <w:rPr>
                <w:rFonts w:hint="eastAsia" w:ascii="宋体" w:hAnsi="宋体" w:cs="宋体"/>
                <w:szCs w:val="21"/>
                <w:lang w:val="en-US" w:eastAsia="zh-CN"/>
              </w:rPr>
              <w:t>)</w:t>
            </w:r>
          </w:p>
        </w:tc>
      </w:tr>
      <w:tr w14:paraId="586F1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 w:hRule="atLeast"/>
          <w:jc w:val="center"/>
        </w:trPr>
        <w:tc>
          <w:tcPr>
            <w:tcW w:w="4106" w:type="dxa"/>
            <w:vMerge w:val="continue"/>
            <w:vAlign w:val="center"/>
          </w:tcPr>
          <w:p w14:paraId="0ACC5D79">
            <w:pPr>
              <w:pStyle w:val="20"/>
              <w:adjustRightInd w:val="0"/>
              <w:snapToGrid w:val="0"/>
              <w:jc w:val="center"/>
              <w:rPr>
                <w:rFonts w:hint="eastAsia" w:ascii="宋体" w:hAnsi="宋体" w:eastAsia="宋体" w:cs="宋体"/>
                <w:color w:val="FF0000"/>
                <w:szCs w:val="21"/>
                <w:lang w:eastAsia="zh-TW"/>
              </w:rPr>
            </w:pPr>
          </w:p>
        </w:tc>
        <w:tc>
          <w:tcPr>
            <w:tcW w:w="1276" w:type="dxa"/>
          </w:tcPr>
          <w:p w14:paraId="0A1DAA4D">
            <w:pPr>
              <w:pStyle w:val="20"/>
              <w:adjustRightInd w:val="0"/>
              <w:snapToGrid w:val="0"/>
              <w:jc w:val="center"/>
              <w:rPr>
                <w:rFonts w:ascii="宋体" w:hAnsi="宋体" w:cs="宋体"/>
                <w:szCs w:val="21"/>
              </w:rPr>
            </w:pPr>
            <w:r>
              <w:rPr>
                <w:rFonts w:hint="eastAsia" w:ascii="宋体" w:hAnsi="宋体" w:eastAsia="宋体" w:cs="宋体"/>
                <w:szCs w:val="21"/>
              </w:rPr>
              <w:t>中</w:t>
            </w:r>
            <w:r>
              <w:rPr>
                <w:rFonts w:hint="eastAsia" w:ascii="宋体" w:hAnsi="宋体" w:cs="宋体"/>
                <w:szCs w:val="21"/>
              </w:rPr>
              <w:t>风险</w:t>
            </w:r>
          </w:p>
        </w:tc>
        <w:tc>
          <w:tcPr>
            <w:tcW w:w="2914" w:type="dxa"/>
            <w:vAlign w:val="center"/>
          </w:tcPr>
          <w:p w14:paraId="7BCBB77B">
            <w:pPr>
              <w:pStyle w:val="20"/>
              <w:adjustRightInd w:val="0"/>
              <w:snapToGrid w:val="0"/>
              <w:jc w:val="center"/>
              <w:rPr>
                <w:rFonts w:hint="eastAsia" w:ascii="宋体" w:hAnsi="宋体" w:cs="宋体"/>
                <w:szCs w:val="21"/>
              </w:rPr>
            </w:pPr>
            <w:r>
              <w:rPr>
                <w:rFonts w:hint="eastAsia" w:ascii="宋体" w:hAnsi="宋体" w:cs="宋体"/>
                <w:szCs w:val="21"/>
              </w:rPr>
              <w:t>[0.</w:t>
            </w:r>
            <w:r>
              <w:rPr>
                <w:rFonts w:hint="eastAsia" w:ascii="宋体" w:hAnsi="宋体" w:eastAsia="宋体" w:cs="宋体"/>
                <w:szCs w:val="21"/>
              </w:rPr>
              <w:t>9</w:t>
            </w:r>
            <w:r>
              <w:rPr>
                <w:rFonts w:hint="eastAsia" w:ascii="宋体" w:hAnsi="宋体" w:cs="宋体"/>
                <w:szCs w:val="21"/>
              </w:rPr>
              <w:t>,1.0]</w:t>
            </w:r>
          </w:p>
        </w:tc>
      </w:tr>
      <w:tr w14:paraId="5F0F5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 w:hRule="atLeast"/>
          <w:jc w:val="center"/>
        </w:trPr>
        <w:tc>
          <w:tcPr>
            <w:tcW w:w="4106" w:type="dxa"/>
            <w:vMerge w:val="continue"/>
            <w:vAlign w:val="center"/>
          </w:tcPr>
          <w:p w14:paraId="27276E62">
            <w:pPr>
              <w:pStyle w:val="20"/>
              <w:adjustRightInd w:val="0"/>
              <w:snapToGrid w:val="0"/>
              <w:jc w:val="center"/>
              <w:rPr>
                <w:rFonts w:hint="eastAsia" w:ascii="宋体" w:hAnsi="宋体" w:cs="宋体"/>
                <w:color w:val="FF0000"/>
                <w:szCs w:val="21"/>
              </w:rPr>
            </w:pPr>
          </w:p>
        </w:tc>
        <w:tc>
          <w:tcPr>
            <w:tcW w:w="1276" w:type="dxa"/>
          </w:tcPr>
          <w:p w14:paraId="7208A8F3">
            <w:pPr>
              <w:pStyle w:val="20"/>
              <w:adjustRightInd w:val="0"/>
              <w:snapToGrid w:val="0"/>
              <w:jc w:val="center"/>
              <w:rPr>
                <w:rFonts w:ascii="宋体" w:hAnsi="宋体" w:cs="宋体"/>
                <w:szCs w:val="21"/>
              </w:rPr>
            </w:pPr>
            <w:r>
              <w:rPr>
                <w:rFonts w:hint="eastAsia" w:ascii="宋体" w:hAnsi="宋体" w:cs="宋体"/>
                <w:color w:val="auto"/>
                <w:szCs w:val="21"/>
              </w:rPr>
              <w:t>高</w:t>
            </w:r>
            <w:r>
              <w:rPr>
                <w:rFonts w:hint="eastAsia" w:ascii="宋体" w:hAnsi="宋体" w:cs="宋体"/>
                <w:szCs w:val="21"/>
              </w:rPr>
              <w:t>风险</w:t>
            </w:r>
          </w:p>
        </w:tc>
        <w:tc>
          <w:tcPr>
            <w:tcW w:w="2914" w:type="dxa"/>
            <w:vAlign w:val="center"/>
          </w:tcPr>
          <w:p w14:paraId="1A1380BC">
            <w:pPr>
              <w:pStyle w:val="20"/>
              <w:adjustRightInd w:val="0"/>
              <w:snapToGrid w:val="0"/>
              <w:jc w:val="center"/>
              <w:rPr>
                <w:rFonts w:hint="eastAsia" w:ascii="宋体" w:hAnsi="宋体" w:cs="宋体"/>
                <w:szCs w:val="21"/>
              </w:rPr>
            </w:pPr>
            <w:r>
              <w:rPr>
                <w:rFonts w:hint="eastAsia" w:ascii="宋体" w:hAnsi="宋体" w:cs="宋体"/>
                <w:szCs w:val="21"/>
                <w:lang w:val="en-US" w:eastAsia="zh-CN"/>
              </w:rPr>
              <w:t>(</w:t>
            </w:r>
            <w:r>
              <w:rPr>
                <w:rFonts w:hint="eastAsia" w:ascii="宋体" w:hAnsi="宋体" w:cs="宋体"/>
                <w:szCs w:val="21"/>
              </w:rPr>
              <w:t>1.0,1.3]</w:t>
            </w:r>
          </w:p>
        </w:tc>
      </w:tr>
    </w:tbl>
    <w:p w14:paraId="2A7529F7">
      <w:pPr>
        <w:pStyle w:val="20"/>
        <w:adjustRightInd w:val="0"/>
        <w:snapToGrid w:val="0"/>
        <w:ind w:firstLine="0" w:firstLineChars="0"/>
        <w:jc w:val="left"/>
        <w:rPr>
          <w:rFonts w:hint="eastAsia" w:ascii="宋体" w:hAnsi="宋体" w:eastAsia="宋体" w:cs="宋体"/>
          <w:b w:val="0"/>
          <w:bCs w:val="0"/>
          <w:szCs w:val="21"/>
          <w:lang w:eastAsia="zh-CN"/>
        </w:rPr>
      </w:pPr>
      <w:r>
        <w:rPr>
          <w:rFonts w:hint="eastAsia" w:ascii="宋体" w:hAnsi="宋体" w:cs="宋体"/>
          <w:szCs w:val="21"/>
        </w:rPr>
        <w:t>注：连续投保年数越长的、跨险种保障越充足的、有良好</w:t>
      </w:r>
      <w:r>
        <w:rPr>
          <w:rFonts w:hint="eastAsia" w:ascii="宋体" w:hAnsi="宋体" w:cs="宋体"/>
          <w:szCs w:val="21"/>
          <w:lang w:val="en-US" w:eastAsia="zh-CN"/>
        </w:rPr>
        <w:t>出行</w:t>
      </w:r>
      <w:r>
        <w:rPr>
          <w:rFonts w:hint="eastAsia" w:ascii="宋体" w:hAnsi="宋体" w:cs="宋体"/>
          <w:szCs w:val="21"/>
        </w:rPr>
        <w:t>习惯的费率下调，</w:t>
      </w:r>
      <w:r>
        <w:rPr>
          <w:rFonts w:hint="eastAsia" w:ascii="宋体" w:hAnsi="宋体" w:eastAsia="宋体" w:cs="宋体"/>
          <w:szCs w:val="21"/>
        </w:rPr>
        <w:t>反之则予以上浮</w:t>
      </w:r>
      <w:r>
        <w:rPr>
          <w:rFonts w:hint="eastAsia" w:ascii="宋体" w:hAnsi="宋体" w:cs="宋体"/>
          <w:szCs w:val="21"/>
        </w:rPr>
        <w:t>。若被保险人</w:t>
      </w:r>
      <w:r>
        <w:rPr>
          <w:rFonts w:hint="eastAsia" w:ascii="宋体" w:hAnsi="宋体" w:eastAsia="宋体" w:cs="宋体"/>
          <w:szCs w:val="21"/>
        </w:rPr>
        <w:t>相关</w:t>
      </w:r>
      <w:r>
        <w:rPr>
          <w:rFonts w:hint="eastAsia" w:ascii="宋体" w:hAnsi="宋体" w:cs="宋体"/>
          <w:szCs w:val="21"/>
        </w:rPr>
        <w:t>信息无法有效获取，则本项系数取1.0。</w:t>
      </w:r>
    </w:p>
    <w:p w14:paraId="510D171C">
      <w:pPr>
        <w:pStyle w:val="20"/>
        <w:adjustRightInd w:val="0"/>
        <w:snapToGrid w:val="0"/>
        <w:ind w:firstLine="0" w:firstLineChars="0"/>
        <w:jc w:val="left"/>
        <w:rPr>
          <w:rFonts w:hint="eastAsia" w:ascii="宋体" w:hAnsi="宋体" w:cs="宋体"/>
          <w:color w:val="auto"/>
          <w:szCs w:val="21"/>
        </w:rPr>
      </w:pPr>
      <w:r>
        <w:rPr>
          <w:rFonts w:hint="eastAsia" w:ascii="宋体" w:hAnsi="宋体" w:cs="宋体"/>
          <w:szCs w:val="21"/>
          <w:lang w:val="en-US" w:eastAsia="zh-CN"/>
        </w:rPr>
        <w:t>9、</w:t>
      </w:r>
      <w:r>
        <w:rPr>
          <w:rFonts w:hint="eastAsia" w:ascii="宋体" w:hAnsi="宋体" w:cs="宋体"/>
          <w:szCs w:val="21"/>
        </w:rPr>
        <w:t>被保险人所处地区调整系数</w:t>
      </w:r>
      <w:r>
        <w:rPr>
          <w:rFonts w:hint="eastAsia" w:ascii="宋体" w:hAnsi="宋体" w:cs="宋体"/>
          <w:bCs/>
          <w:szCs w:val="21"/>
        </w:rPr>
        <w:t>（F</w:t>
      </w:r>
      <w:r>
        <w:rPr>
          <w:rFonts w:hint="eastAsia" w:ascii="宋体" w:hAnsi="宋体" w:cs="宋体"/>
          <w:bCs/>
          <w:szCs w:val="21"/>
          <w:lang w:val="en-US" w:eastAsia="zh-CN"/>
        </w:rPr>
        <w:t>9</w:t>
      </w:r>
      <w:r>
        <w:rPr>
          <w:rFonts w:hint="eastAsia" w:ascii="宋体" w:hAnsi="宋体" w:cs="宋体"/>
          <w:bCs/>
          <w:szCs w:val="21"/>
        </w:rPr>
        <w:t>）</w:t>
      </w:r>
    </w:p>
    <w:tbl>
      <w:tblPr>
        <w:tblStyle w:val="7"/>
        <w:tblW w:w="82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79"/>
        <w:gridCol w:w="2911"/>
      </w:tblGrid>
      <w:tr w14:paraId="4583B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 w:hRule="atLeast"/>
          <w:jc w:val="center"/>
        </w:trPr>
        <w:tc>
          <w:tcPr>
            <w:tcW w:w="5379" w:type="dxa"/>
            <w:vAlign w:val="center"/>
          </w:tcPr>
          <w:p w14:paraId="7F364826">
            <w:pPr>
              <w:pStyle w:val="20"/>
              <w:adjustRightInd w:val="0"/>
              <w:snapToGrid w:val="0"/>
              <w:jc w:val="center"/>
              <w:rPr>
                <w:rFonts w:hint="eastAsia" w:ascii="宋体" w:hAnsi="宋体" w:cs="宋体"/>
                <w:color w:val="auto"/>
                <w:szCs w:val="21"/>
              </w:rPr>
            </w:pPr>
            <w:r>
              <w:rPr>
                <w:rFonts w:hint="eastAsia" w:ascii="宋体" w:hAnsi="宋体" w:cs="宋体"/>
                <w:szCs w:val="21"/>
              </w:rPr>
              <w:t>被保险人所处地区</w:t>
            </w:r>
          </w:p>
        </w:tc>
        <w:tc>
          <w:tcPr>
            <w:tcW w:w="2911" w:type="dxa"/>
            <w:vAlign w:val="center"/>
          </w:tcPr>
          <w:p w14:paraId="6F582037">
            <w:pPr>
              <w:pStyle w:val="20"/>
              <w:adjustRightInd w:val="0"/>
              <w:snapToGrid w:val="0"/>
              <w:jc w:val="center"/>
              <w:rPr>
                <w:rFonts w:hint="eastAsia" w:ascii="宋体" w:hAnsi="宋体" w:cs="宋体"/>
                <w:color w:val="auto"/>
                <w:szCs w:val="21"/>
              </w:rPr>
            </w:pPr>
            <w:r>
              <w:rPr>
                <w:rFonts w:hint="eastAsia" w:ascii="宋体" w:hAnsi="宋体" w:cs="宋体"/>
                <w:color w:val="auto"/>
                <w:szCs w:val="21"/>
              </w:rPr>
              <w:t>调整系数</w:t>
            </w:r>
          </w:p>
        </w:tc>
      </w:tr>
      <w:tr w14:paraId="0CE20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 w:hRule="atLeast"/>
          <w:jc w:val="center"/>
        </w:trPr>
        <w:tc>
          <w:tcPr>
            <w:tcW w:w="5379" w:type="dxa"/>
            <w:vAlign w:val="center"/>
          </w:tcPr>
          <w:p w14:paraId="284AF8F9">
            <w:pPr>
              <w:pStyle w:val="20"/>
              <w:adjustRightInd w:val="0"/>
              <w:snapToGrid w:val="0"/>
              <w:jc w:val="center"/>
              <w:rPr>
                <w:rFonts w:hint="eastAsia" w:ascii="宋体" w:hAnsi="宋体" w:cs="宋体"/>
                <w:color w:val="auto"/>
                <w:szCs w:val="21"/>
              </w:rPr>
            </w:pPr>
            <w:r>
              <w:rPr>
                <w:rFonts w:hint="eastAsia" w:ascii="宋体" w:hAnsi="宋体" w:cs="宋体"/>
                <w:color w:val="auto"/>
                <w:szCs w:val="21"/>
              </w:rPr>
              <w:t>A类地区</w:t>
            </w:r>
          </w:p>
        </w:tc>
        <w:tc>
          <w:tcPr>
            <w:tcW w:w="2911" w:type="dxa"/>
            <w:vAlign w:val="center"/>
          </w:tcPr>
          <w:p w14:paraId="549D1135">
            <w:pPr>
              <w:pStyle w:val="20"/>
              <w:adjustRightInd w:val="0"/>
              <w:snapToGrid w:val="0"/>
              <w:jc w:val="center"/>
              <w:rPr>
                <w:rFonts w:hint="eastAsia" w:ascii="宋体" w:hAnsi="宋体" w:eastAsia="宋体" w:cs="宋体"/>
                <w:color w:val="auto"/>
                <w:szCs w:val="21"/>
                <w:lang w:eastAsia="zh-CN"/>
              </w:rPr>
            </w:pPr>
            <w:r>
              <w:rPr>
                <w:rFonts w:hint="eastAsia" w:ascii="宋体" w:hAnsi="宋体" w:cs="宋体"/>
                <w:color w:val="auto"/>
                <w:szCs w:val="21"/>
              </w:rPr>
              <w:t>[0.7,0.8</w:t>
            </w:r>
            <w:r>
              <w:rPr>
                <w:rFonts w:hint="eastAsia" w:ascii="宋体" w:hAnsi="宋体" w:cs="宋体"/>
                <w:color w:val="auto"/>
                <w:szCs w:val="21"/>
                <w:lang w:val="en-US" w:eastAsia="zh-CN"/>
              </w:rPr>
              <w:t>)</w:t>
            </w:r>
          </w:p>
        </w:tc>
      </w:tr>
      <w:tr w14:paraId="2BF95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 w:hRule="atLeast"/>
          <w:jc w:val="center"/>
        </w:trPr>
        <w:tc>
          <w:tcPr>
            <w:tcW w:w="5379" w:type="dxa"/>
            <w:vAlign w:val="center"/>
          </w:tcPr>
          <w:p w14:paraId="06BE47B9">
            <w:pPr>
              <w:pStyle w:val="20"/>
              <w:adjustRightInd w:val="0"/>
              <w:snapToGrid w:val="0"/>
              <w:jc w:val="center"/>
              <w:rPr>
                <w:rFonts w:hint="eastAsia" w:ascii="宋体" w:hAnsi="宋体" w:cs="宋体"/>
                <w:color w:val="auto"/>
                <w:szCs w:val="21"/>
              </w:rPr>
            </w:pPr>
            <w:r>
              <w:rPr>
                <w:rFonts w:hint="eastAsia" w:ascii="宋体" w:hAnsi="宋体" w:cs="宋体"/>
                <w:color w:val="auto"/>
                <w:szCs w:val="21"/>
              </w:rPr>
              <w:t>B类地区</w:t>
            </w:r>
          </w:p>
        </w:tc>
        <w:tc>
          <w:tcPr>
            <w:tcW w:w="2911" w:type="dxa"/>
            <w:vAlign w:val="center"/>
          </w:tcPr>
          <w:p w14:paraId="1F5DA2A3">
            <w:pPr>
              <w:pStyle w:val="20"/>
              <w:adjustRightInd w:val="0"/>
              <w:snapToGrid w:val="0"/>
              <w:jc w:val="center"/>
              <w:rPr>
                <w:rFonts w:hint="eastAsia" w:ascii="宋体" w:hAnsi="宋体" w:eastAsia="宋体" w:cs="宋体"/>
                <w:color w:val="auto"/>
                <w:szCs w:val="21"/>
                <w:lang w:eastAsia="zh-CN"/>
              </w:rPr>
            </w:pPr>
            <w:r>
              <w:rPr>
                <w:rFonts w:ascii="宋体" w:hAnsi="宋体" w:cs="宋体"/>
                <w:szCs w:val="21"/>
              </w:rPr>
              <w:t>[</w:t>
            </w:r>
            <w:r>
              <w:rPr>
                <w:rFonts w:hint="eastAsia" w:ascii="宋体" w:hAnsi="宋体" w:cs="宋体"/>
                <w:szCs w:val="21"/>
              </w:rPr>
              <w:t>0.8,1.0</w:t>
            </w:r>
            <w:r>
              <w:rPr>
                <w:rFonts w:hint="eastAsia" w:ascii="宋体" w:hAnsi="宋体" w:cs="宋体"/>
                <w:szCs w:val="21"/>
                <w:lang w:val="en-US" w:eastAsia="zh-CN"/>
              </w:rPr>
              <w:t>)</w:t>
            </w:r>
          </w:p>
        </w:tc>
      </w:tr>
      <w:tr w14:paraId="5E5A4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 w:hRule="atLeast"/>
          <w:jc w:val="center"/>
        </w:trPr>
        <w:tc>
          <w:tcPr>
            <w:tcW w:w="5379" w:type="dxa"/>
            <w:vAlign w:val="center"/>
          </w:tcPr>
          <w:p w14:paraId="2AE4963F">
            <w:pPr>
              <w:pStyle w:val="20"/>
              <w:adjustRightInd w:val="0"/>
              <w:snapToGrid w:val="0"/>
              <w:jc w:val="center"/>
              <w:rPr>
                <w:rFonts w:hint="eastAsia" w:ascii="宋体" w:hAnsi="宋体" w:cs="宋体"/>
                <w:color w:val="auto"/>
                <w:szCs w:val="21"/>
              </w:rPr>
            </w:pPr>
            <w:r>
              <w:rPr>
                <w:rFonts w:hint="eastAsia" w:ascii="宋体" w:hAnsi="宋体" w:cs="宋体"/>
                <w:color w:val="auto"/>
                <w:szCs w:val="21"/>
              </w:rPr>
              <w:t>C类地区</w:t>
            </w:r>
          </w:p>
        </w:tc>
        <w:tc>
          <w:tcPr>
            <w:tcW w:w="2911" w:type="dxa"/>
            <w:vAlign w:val="center"/>
          </w:tcPr>
          <w:p w14:paraId="06B4A985">
            <w:pPr>
              <w:pStyle w:val="20"/>
              <w:adjustRightInd w:val="0"/>
              <w:snapToGrid w:val="0"/>
              <w:jc w:val="center"/>
              <w:rPr>
                <w:rFonts w:hint="eastAsia" w:ascii="宋体" w:hAnsi="宋体" w:cs="宋体"/>
                <w:color w:val="auto"/>
                <w:szCs w:val="21"/>
              </w:rPr>
            </w:pPr>
            <w:r>
              <w:rPr>
                <w:rFonts w:ascii="宋体" w:hAnsi="宋体" w:cs="宋体"/>
                <w:color w:val="auto"/>
                <w:szCs w:val="21"/>
              </w:rPr>
              <w:t>[</w:t>
            </w:r>
            <w:r>
              <w:rPr>
                <w:rFonts w:hint="eastAsia" w:ascii="宋体" w:hAnsi="宋体" w:cs="宋体"/>
                <w:color w:val="auto"/>
                <w:szCs w:val="21"/>
              </w:rPr>
              <w:t>1.0</w:t>
            </w:r>
            <w:r>
              <w:rPr>
                <w:rFonts w:ascii="宋体" w:hAnsi="宋体" w:cs="宋体"/>
                <w:color w:val="auto"/>
                <w:szCs w:val="21"/>
              </w:rPr>
              <w:t>,1.3]</w:t>
            </w:r>
          </w:p>
        </w:tc>
      </w:tr>
    </w:tbl>
    <w:p w14:paraId="0A127B38">
      <w:pPr>
        <w:pStyle w:val="20"/>
        <w:adjustRightInd w:val="0"/>
        <w:snapToGrid w:val="0"/>
        <w:ind w:firstLine="0" w:firstLineChars="0"/>
        <w:jc w:val="left"/>
        <w:rPr>
          <w:rFonts w:hint="eastAsia" w:ascii="宋体" w:hAnsi="宋体" w:cs="宋体"/>
          <w:b/>
          <w:bCs/>
          <w:szCs w:val="21"/>
        </w:rPr>
      </w:pPr>
      <w:r>
        <w:rPr>
          <w:rFonts w:hint="eastAsia" w:ascii="宋体" w:hAnsi="宋体" w:cs="宋体"/>
          <w:szCs w:val="21"/>
        </w:rPr>
        <w:t>注：</w:t>
      </w:r>
      <w:r>
        <w:rPr>
          <w:rFonts w:hint="eastAsia" w:ascii="宋体" w:hAnsi="宋体" w:cs="宋体"/>
          <w:color w:val="auto"/>
          <w:szCs w:val="21"/>
        </w:rPr>
        <w:t>被保险人所处地区调整系数根据当</w:t>
      </w:r>
      <w:r>
        <w:rPr>
          <w:rFonts w:hint="eastAsia" w:ascii="宋体" w:hAnsi="宋体" w:cs="宋体"/>
          <w:szCs w:val="21"/>
        </w:rPr>
        <w:t>地经济发展水平及市场环境确定。</w:t>
      </w:r>
    </w:p>
    <w:p w14:paraId="71DD91A1">
      <w:pPr>
        <w:ind w:firstLine="0"/>
        <w:rPr>
          <w:rFonts w:hint="eastAsia" w:ascii="宋体" w:hAnsi="宋体" w:eastAsia="宋体" w:cs="宋体"/>
          <w:bCs/>
          <w:szCs w:val="21"/>
        </w:rPr>
      </w:pPr>
      <w:r>
        <w:rPr>
          <w:rFonts w:hint="eastAsia" w:ascii="宋体" w:hAnsi="宋体" w:eastAsia="宋体" w:cs="宋体"/>
          <w:szCs w:val="21"/>
        </w:rPr>
        <w:t>A类地区：北京、上海、江苏、广东、深圳、浙江、福建</w:t>
      </w:r>
    </w:p>
    <w:p w14:paraId="14B9A7F7">
      <w:pPr>
        <w:ind w:firstLine="0"/>
        <w:rPr>
          <w:rFonts w:hint="eastAsia" w:ascii="宋体" w:hAnsi="宋体" w:eastAsia="宋体" w:cs="宋体"/>
          <w:bCs/>
          <w:szCs w:val="21"/>
        </w:rPr>
      </w:pPr>
      <w:r>
        <w:rPr>
          <w:rFonts w:hint="eastAsia" w:ascii="宋体" w:hAnsi="宋体" w:eastAsia="宋体" w:cs="宋体"/>
          <w:szCs w:val="21"/>
        </w:rPr>
        <w:t>B类地区：除A、C类地区外的地区</w:t>
      </w:r>
    </w:p>
    <w:p w14:paraId="2C2610B6">
      <w:pPr>
        <w:ind w:firstLine="0" w:firstLineChars="0"/>
        <w:rPr>
          <w:rFonts w:hint="eastAsia" w:ascii="宋体" w:hAnsi="宋体" w:eastAsia="宋体" w:cs="宋体"/>
          <w:bCs/>
          <w:szCs w:val="21"/>
          <w:lang w:eastAsia="zh-CN"/>
        </w:rPr>
      </w:pPr>
      <w:r>
        <w:rPr>
          <w:rFonts w:hint="eastAsia" w:ascii="宋体" w:hAnsi="宋体" w:eastAsia="宋体" w:cs="宋体"/>
          <w:szCs w:val="21"/>
        </w:rPr>
        <w:t>C类地区：新疆、辽宁、甘肃、内蒙、宁夏、青海、西藏</w:t>
      </w:r>
    </w:p>
    <w:p w14:paraId="6C81DAAA">
      <w:pPr>
        <w:rPr>
          <w:rFonts w:hint="eastAsia" w:ascii="宋体" w:hAnsi="宋体" w:eastAsia="宋体" w:cs="宋体"/>
        </w:rPr>
      </w:pPr>
    </w:p>
    <w:p w14:paraId="5D8161E1">
      <w:pPr>
        <w:rPr>
          <w:rFonts w:hint="eastAsia" w:ascii="宋体" w:hAnsi="宋体" w:eastAsia="宋体" w:cs="宋体"/>
        </w:rPr>
      </w:pPr>
    </w:p>
    <w:p w14:paraId="4286728F">
      <w:pPr>
        <w:adjustRightInd w:val="0"/>
        <w:snapToGrid w:val="0"/>
        <w:spacing w:beforeLines="0" w:afterLines="0"/>
        <w:rPr>
          <w:rFonts w:hint="eastAsia" w:ascii="宋体" w:hAnsi="宋体" w:eastAsia="宋体" w:cs="宋体"/>
          <w:b/>
          <w:bCs/>
        </w:rPr>
      </w:pPr>
      <w:r>
        <w:rPr>
          <w:rFonts w:hint="eastAsia" w:ascii="宋体" w:hAnsi="宋体" w:eastAsia="宋体" w:cs="宋体"/>
          <w:b/>
          <w:bCs/>
        </w:rPr>
        <w:t xml:space="preserve">三、保险费计算公式 </w:t>
      </w:r>
      <w:bookmarkStart w:id="0" w:name="_GoBack"/>
      <w:bookmarkEnd w:id="0"/>
    </w:p>
    <w:p w14:paraId="4A370897">
      <w:pPr>
        <w:numPr>
          <w:ilvl w:val="0"/>
          <w:numId w:val="0"/>
        </w:numPr>
        <w:adjustRightInd w:val="0"/>
        <w:snapToGrid w:val="0"/>
        <w:spacing w:beforeLines="0" w:afterLines="0"/>
        <w:rPr>
          <w:rFonts w:hint="eastAsia" w:ascii="宋体" w:hAnsi="宋体" w:eastAsia="宋体" w:cs="宋体"/>
          <w:b/>
          <w:bCs/>
          <w:lang w:eastAsia="zh-CN"/>
        </w:rPr>
      </w:pPr>
    </w:p>
    <w:p w14:paraId="69CAEB46">
      <w:pPr>
        <w:numPr>
          <w:ilvl w:val="0"/>
          <w:numId w:val="0"/>
        </w:numPr>
        <w:adjustRightInd w:val="0"/>
        <w:snapToGrid w:val="0"/>
        <w:spacing w:beforeLines="0" w:afterLines="0"/>
        <w:jc w:val="right"/>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单位：元</w:t>
      </w:r>
    </w:p>
    <w:p w14:paraId="2C05614C">
      <w:pPr>
        <w:widowControl/>
        <w:tabs>
          <w:tab w:val="center" w:pos="4153"/>
        </w:tabs>
        <w:adjustRightInd w:val="0"/>
        <w:snapToGrid w:val="0"/>
        <w:spacing w:beforeLines="0" w:afterLines="0"/>
        <w:ind w:firstLine="420" w:firstLineChars="200"/>
        <w:rPr>
          <w:rFonts w:hint="eastAsia" w:ascii="宋体" w:hAnsi="宋体" w:eastAsia="宋体" w:cs="宋体"/>
          <w:bCs w:val="0"/>
          <w:szCs w:val="21"/>
        </w:rPr>
      </w:pPr>
      <w:r>
        <w:rPr>
          <w:rFonts w:hint="eastAsia" w:ascii="宋体" w:hAnsi="宋体" w:eastAsia="宋体" w:cs="宋体"/>
          <w:b w:val="0"/>
          <w:bCs w:val="0"/>
          <w:lang w:val="en-US" w:eastAsia="zh-CN"/>
        </w:rPr>
        <w:t>1、必选责任</w:t>
      </w:r>
      <w:r>
        <w:rPr>
          <w:rFonts w:hint="eastAsia" w:ascii="宋体" w:hAnsi="宋体" w:eastAsia="宋体" w:cs="宋体"/>
          <w:bCs w:val="0"/>
          <w:szCs w:val="21"/>
        </w:rPr>
        <w:t>保险费=∑（指定类型交通工具意外伤害保险保险金额×指定类型交通工具意外伤害保险保险金基准费率）×F4×F5×F6×F7×F</w:t>
      </w:r>
      <w:r>
        <w:rPr>
          <w:rFonts w:hint="eastAsia" w:ascii="宋体" w:hAnsi="宋体" w:eastAsia="宋体" w:cs="宋体"/>
          <w:bCs w:val="0"/>
          <w:szCs w:val="21"/>
          <w:lang w:val="en-US" w:eastAsia="zh-CN"/>
        </w:rPr>
        <w:t>8</w:t>
      </w:r>
      <w:r>
        <w:rPr>
          <w:rFonts w:hint="eastAsia" w:ascii="宋体" w:hAnsi="宋体" w:eastAsia="宋体" w:cs="宋体"/>
          <w:bCs w:val="0"/>
          <w:szCs w:val="21"/>
        </w:rPr>
        <w:t>×F9</w:t>
      </w:r>
    </w:p>
    <w:p w14:paraId="20D66BD2">
      <w:pPr>
        <w:widowControl/>
        <w:numPr>
          <w:ilvl w:val="0"/>
          <w:numId w:val="3"/>
        </w:numPr>
        <w:tabs>
          <w:tab w:val="center" w:pos="4153"/>
        </w:tabs>
        <w:adjustRightInd w:val="0"/>
        <w:snapToGrid w:val="0"/>
        <w:spacing w:beforeLines="0" w:afterLines="0"/>
        <w:ind w:firstLine="420" w:firstLineChars="200"/>
        <w:rPr>
          <w:rFonts w:hint="eastAsia" w:ascii="宋体" w:hAnsi="宋体" w:eastAsia="宋体" w:cs="宋体"/>
          <w:bCs w:val="0"/>
          <w:szCs w:val="21"/>
        </w:rPr>
      </w:pPr>
      <w:r>
        <w:rPr>
          <w:rFonts w:hint="eastAsia" w:ascii="宋体" w:hAnsi="宋体" w:eastAsia="宋体" w:cs="宋体"/>
          <w:bCs w:val="0"/>
          <w:szCs w:val="21"/>
          <w:lang w:val="en-US" w:eastAsia="zh-CN"/>
        </w:rPr>
        <w:t>可选责任保险费=</w:t>
      </w:r>
      <w:r>
        <w:rPr>
          <w:rFonts w:hint="eastAsia" w:ascii="宋体" w:hAnsi="宋体" w:eastAsia="宋体" w:cs="宋体"/>
          <w:bCs w:val="0"/>
          <w:szCs w:val="21"/>
        </w:rPr>
        <w:t>∑（指定类型交通工具意外</w:t>
      </w:r>
      <w:r>
        <w:rPr>
          <w:rFonts w:hint="eastAsia" w:ascii="宋体" w:hAnsi="宋体" w:eastAsia="宋体" w:cs="宋体"/>
          <w:bCs w:val="0"/>
          <w:szCs w:val="21"/>
          <w:lang w:val="en-US" w:eastAsia="zh-CN"/>
        </w:rPr>
        <w:t>伤害</w:t>
      </w:r>
      <w:r>
        <w:rPr>
          <w:rFonts w:hint="eastAsia" w:ascii="宋体" w:hAnsi="宋体" w:eastAsia="宋体" w:cs="宋体"/>
          <w:bCs w:val="0"/>
          <w:szCs w:val="21"/>
        </w:rPr>
        <w:t>医疗保险金额×指定类型交通工具意外</w:t>
      </w:r>
      <w:r>
        <w:rPr>
          <w:rFonts w:hint="eastAsia" w:ascii="宋体" w:hAnsi="宋体" w:eastAsia="宋体" w:cs="宋体"/>
          <w:bCs w:val="0"/>
          <w:szCs w:val="21"/>
          <w:lang w:val="en-US" w:eastAsia="zh-CN"/>
        </w:rPr>
        <w:t>伤害</w:t>
      </w:r>
      <w:r>
        <w:rPr>
          <w:rFonts w:hint="eastAsia" w:ascii="宋体" w:hAnsi="宋体" w:eastAsia="宋体" w:cs="宋体"/>
          <w:bCs w:val="0"/>
          <w:szCs w:val="21"/>
        </w:rPr>
        <w:t>医疗保险金基准费率）×F1×F2×F3×F4×F5×F6×F7×F8×F9</w:t>
      </w:r>
    </w:p>
    <w:p w14:paraId="11A6FC6B">
      <w:pPr>
        <w:widowControl/>
        <w:numPr>
          <w:ilvl w:val="0"/>
          <w:numId w:val="3"/>
        </w:numPr>
        <w:tabs>
          <w:tab w:val="center" w:pos="4153"/>
        </w:tabs>
        <w:adjustRightInd w:val="0"/>
        <w:snapToGrid w:val="0"/>
        <w:spacing w:beforeLines="0" w:afterLines="0"/>
        <w:ind w:firstLine="420" w:firstLineChars="200"/>
        <w:rPr>
          <w:rFonts w:hint="eastAsia" w:ascii="宋体" w:hAnsi="宋体" w:eastAsia="宋体" w:cs="宋体"/>
          <w:bCs w:val="0"/>
          <w:szCs w:val="21"/>
        </w:rPr>
      </w:pPr>
      <w:r>
        <w:rPr>
          <w:rFonts w:hint="eastAsia" w:ascii="宋体" w:hAnsi="宋体" w:eastAsia="宋体" w:cs="宋体"/>
          <w:szCs w:val="21"/>
        </w:rPr>
        <w:t>保险费=必选责任保险费+可选责任保险费</w:t>
      </w:r>
    </w:p>
    <w:p w14:paraId="4E994B43">
      <w:pPr>
        <w:widowControl/>
        <w:tabs>
          <w:tab w:val="center" w:pos="4153"/>
        </w:tabs>
        <w:adjustRightInd w:val="0"/>
        <w:snapToGrid w:val="0"/>
        <w:spacing w:beforeLines="0" w:afterLines="0"/>
        <w:ind w:firstLine="420" w:firstLineChars="200"/>
        <w:rPr>
          <w:rFonts w:hint="eastAsia" w:ascii="宋体" w:hAnsi="宋体" w:eastAsia="宋体" w:cs="宋体"/>
          <w:bCs/>
          <w:szCs w:val="21"/>
          <w:lang w:eastAsia="zh-CN"/>
        </w:rPr>
      </w:pPr>
    </w:p>
    <w:p w14:paraId="13076197">
      <w:pPr>
        <w:adjustRightInd w:val="0"/>
        <w:snapToGrid w:val="0"/>
        <w:spacing w:before="0" w:beforeLines="0" w:after="0" w:afterLines="0"/>
        <w:rPr>
          <w:rFonts w:hint="eastAsia" w:ascii="宋体" w:hAnsi="宋体" w:eastAsia="宋体" w:cs="宋体"/>
          <w:b/>
          <w:bCs/>
          <w:szCs w:val="21"/>
        </w:rPr>
      </w:pPr>
      <w:r>
        <w:rPr>
          <w:rFonts w:hint="eastAsia" w:ascii="宋体" w:hAnsi="宋体" w:eastAsia="宋体" w:cs="宋体"/>
          <w:b/>
          <w:bCs/>
          <w:szCs w:val="21"/>
          <w:lang w:val="en-US" w:eastAsia="zh-CN"/>
        </w:rPr>
        <w:t>四、</w:t>
      </w:r>
      <w:r>
        <w:rPr>
          <w:rFonts w:hint="eastAsia" w:ascii="宋体" w:hAnsi="宋体" w:eastAsia="宋体" w:cs="宋体"/>
          <w:b/>
          <w:bCs/>
          <w:szCs w:val="21"/>
        </w:rPr>
        <w:t>短期</w:t>
      </w:r>
      <w:r>
        <w:rPr>
          <w:rFonts w:hint="eastAsia" w:ascii="宋体" w:hAnsi="宋体" w:eastAsia="宋体" w:cs="宋体"/>
          <w:b/>
          <w:bCs/>
          <w:szCs w:val="21"/>
          <w:lang w:val="en-US" w:eastAsia="zh-CN"/>
        </w:rPr>
        <w:t>费率表</w:t>
      </w:r>
    </w:p>
    <w:p w14:paraId="232EC69D">
      <w:pPr>
        <w:adjustRightInd w:val="0"/>
        <w:snapToGrid w:val="0"/>
        <w:spacing w:beforeLines="0" w:after="0" w:afterLines="0" w:line="360" w:lineRule="auto"/>
        <w:ind w:firstLine="420" w:firstLineChars="200"/>
        <w:rPr>
          <w:rFonts w:hint="eastAsia" w:ascii="宋体" w:hAnsi="宋体" w:eastAsia="宋体" w:cs="宋体"/>
          <w:bCs/>
          <w:szCs w:val="21"/>
        </w:rPr>
      </w:pPr>
      <w:r>
        <w:rPr>
          <w:rFonts w:hint="eastAsia" w:ascii="宋体" w:hAnsi="宋体" w:eastAsia="宋体" w:cs="宋体"/>
          <w:szCs w:val="21"/>
          <w:lang w:val="en-US" w:eastAsia="zh-CN"/>
        </w:rPr>
        <w:t>1、保险期间不足一年：</w:t>
      </w:r>
      <w:r>
        <w:rPr>
          <w:rFonts w:hint="eastAsia" w:ascii="宋体" w:hAnsi="宋体" w:eastAsia="宋体" w:cs="宋体"/>
          <w:szCs w:val="21"/>
        </w:rPr>
        <w:t>短期保险费=年保险费×短期费率</w:t>
      </w:r>
    </w:p>
    <w:tbl>
      <w:tblPr>
        <w:tblStyle w:val="7"/>
        <w:tblpPr w:leftFromText="180" w:rightFromText="180" w:vertAnchor="text" w:horzAnchor="margin" w:tblpXSpec="center" w:tblpY="9"/>
        <w:tblW w:w="83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33"/>
        <w:gridCol w:w="567"/>
        <w:gridCol w:w="567"/>
        <w:gridCol w:w="567"/>
        <w:gridCol w:w="567"/>
        <w:gridCol w:w="567"/>
        <w:gridCol w:w="567"/>
        <w:gridCol w:w="567"/>
        <w:gridCol w:w="567"/>
        <w:gridCol w:w="638"/>
        <w:gridCol w:w="637"/>
        <w:gridCol w:w="567"/>
        <w:gridCol w:w="567"/>
      </w:tblGrid>
      <w:tr w14:paraId="6FB09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4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F0698AD">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保险期间（月）</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74972C9E">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734147A7">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2</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4DE0D8C">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3</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D36879B">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4</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2BF03DCF">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5</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CE86E4F">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6</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2BEBF33">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7</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53C0E12">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8</w:t>
            </w:r>
          </w:p>
        </w:tc>
        <w:tc>
          <w:tcPr>
            <w:tcW w:w="6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5CDB04F">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9</w:t>
            </w:r>
          </w:p>
        </w:tc>
        <w:tc>
          <w:tcPr>
            <w:tcW w:w="6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A9E9E4B">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10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728B3684">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11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453F30E">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12</w:t>
            </w:r>
          </w:p>
        </w:tc>
      </w:tr>
      <w:tr w14:paraId="0C0D5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4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E065ADB">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短期费率（%）</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922E3ED">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10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5140DB0">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20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71B665C">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30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EB6A143">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40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8DAB310">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50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D5629AD">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60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DBD5C2C">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70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24B3CA9C">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80</w:t>
            </w:r>
          </w:p>
        </w:tc>
        <w:tc>
          <w:tcPr>
            <w:tcW w:w="6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F970E5B">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85</w:t>
            </w:r>
          </w:p>
        </w:tc>
        <w:tc>
          <w:tcPr>
            <w:tcW w:w="6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46CD873">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90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7A941C4F">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95</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E051668">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100</w:t>
            </w:r>
          </w:p>
        </w:tc>
      </w:tr>
    </w:tbl>
    <w:p w14:paraId="7FFED45F">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20" w:firstLineChars="200"/>
        <w:textAlignment w:val="auto"/>
        <w:rPr>
          <w:rFonts w:hint="eastAsia" w:ascii="宋体" w:hAnsi="宋体" w:eastAsia="宋体" w:cs="宋体"/>
          <w:bCs/>
          <w:szCs w:val="21"/>
        </w:rPr>
      </w:pPr>
      <w:r>
        <w:rPr>
          <w:rFonts w:hint="eastAsia" w:ascii="宋体" w:hAnsi="宋体" w:eastAsia="宋体" w:cs="宋体"/>
          <w:szCs w:val="21"/>
          <w:lang w:val="en-US" w:eastAsia="zh-CN"/>
        </w:rPr>
        <w:t>注：</w:t>
      </w:r>
      <w:r>
        <w:rPr>
          <w:rFonts w:hint="eastAsia" w:ascii="宋体" w:hAnsi="宋体" w:eastAsia="宋体" w:cs="宋体"/>
          <w:szCs w:val="21"/>
        </w:rPr>
        <w:t>保险期间在1个月以上，不足2个月的，按2个月计算；保险期间在2个月以上，不足3个月的，按3个月计算，依此类推；</w:t>
      </w:r>
    </w:p>
    <w:p w14:paraId="0B79EA1B">
      <w:pPr>
        <w:keepNext w:val="0"/>
        <w:keepLines w:val="0"/>
        <w:pageBreakBefore w:val="0"/>
        <w:widowControl w:val="0"/>
        <w:kinsoku/>
        <w:wordWrap/>
        <w:overflowPunct/>
        <w:topLinePunct w:val="0"/>
        <w:autoSpaceDE/>
        <w:autoSpaceDN/>
        <w:bidi w:val="0"/>
        <w:adjustRightInd w:val="0"/>
        <w:snapToGrid w:val="0"/>
        <w:spacing w:beforeLines="0" w:afterLines="0" w:line="240" w:lineRule="auto"/>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保险期间不足一个月</w:t>
      </w:r>
      <w:r>
        <w:rPr>
          <w:rFonts w:hint="eastAsia" w:ascii="宋体" w:hAnsi="宋体" w:eastAsia="宋体" w:cs="宋体"/>
          <w:szCs w:val="21"/>
          <w:lang w:eastAsia="zh-CN"/>
        </w:rPr>
        <w:t>：</w:t>
      </w:r>
      <w:r>
        <w:rPr>
          <w:rFonts w:hint="eastAsia" w:ascii="宋体" w:hAnsi="宋体" w:eastAsia="宋体" w:cs="宋体"/>
          <w:szCs w:val="21"/>
        </w:rPr>
        <w:t>短期保险费=年保险费×短期费率</w:t>
      </w:r>
    </w:p>
    <w:tbl>
      <w:tblPr>
        <w:tblStyle w:val="7"/>
        <w:tblpPr w:leftFromText="180" w:rightFromText="180" w:vertAnchor="text" w:horzAnchor="page" w:tblpX="1707" w:tblpY="143"/>
        <w:tblW w:w="5073"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767"/>
        <w:gridCol w:w="1691"/>
        <w:gridCol w:w="1323"/>
        <w:gridCol w:w="1372"/>
        <w:gridCol w:w="1305"/>
      </w:tblGrid>
      <w:tr w14:paraId="2D7C5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4" w:hRule="atLeast"/>
        </w:trPr>
        <w:tc>
          <w:tcPr>
            <w:tcW w:w="27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D504726">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保险期间（天）</w:t>
            </w:r>
          </w:p>
        </w:tc>
        <w:tc>
          <w:tcPr>
            <w:tcW w:w="16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3C6E9DF">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1</w:t>
            </w:r>
          </w:p>
        </w:tc>
        <w:tc>
          <w:tcPr>
            <w:tcW w:w="13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BBFD470">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2-7</w:t>
            </w:r>
          </w:p>
        </w:tc>
        <w:tc>
          <w:tcPr>
            <w:tcW w:w="13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C788D1C">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8-15</w:t>
            </w:r>
          </w:p>
        </w:tc>
        <w:tc>
          <w:tcPr>
            <w:tcW w:w="13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0ACD137F">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16-31</w:t>
            </w:r>
          </w:p>
        </w:tc>
      </w:tr>
      <w:tr w14:paraId="25DFDF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0" w:hRule="atLeast"/>
        </w:trPr>
        <w:tc>
          <w:tcPr>
            <w:tcW w:w="27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FC8A965">
            <w:pPr>
              <w:adjustRightInd w:val="0"/>
              <w:snapToGrid w:val="0"/>
              <w:spacing w:beforeLines="0" w:afterLines="0"/>
              <w:jc w:val="center"/>
              <w:rPr>
                <w:rFonts w:hint="eastAsia" w:ascii="宋体" w:hAnsi="宋体" w:eastAsia="宋体" w:cs="宋体"/>
                <w:szCs w:val="21"/>
              </w:rPr>
            </w:pPr>
            <w:r>
              <w:rPr>
                <w:rFonts w:hint="eastAsia" w:ascii="宋体" w:hAnsi="宋体" w:eastAsia="宋体" w:cs="宋体"/>
                <w:szCs w:val="21"/>
              </w:rPr>
              <w:t>短期费率（%）</w:t>
            </w:r>
          </w:p>
        </w:tc>
        <w:tc>
          <w:tcPr>
            <w:tcW w:w="16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AF88F11">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3</w:t>
            </w:r>
          </w:p>
        </w:tc>
        <w:tc>
          <w:tcPr>
            <w:tcW w:w="13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0FAFAEA">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6</w:t>
            </w:r>
          </w:p>
        </w:tc>
        <w:tc>
          <w:tcPr>
            <w:tcW w:w="13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39540F2">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9</w:t>
            </w:r>
          </w:p>
        </w:tc>
        <w:tc>
          <w:tcPr>
            <w:tcW w:w="13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76D4AD94">
            <w:pPr>
              <w:adjustRightInd w:val="0"/>
              <w:snapToGrid w:val="0"/>
              <w:spacing w:beforeLines="0" w:afterLines="0"/>
              <w:jc w:val="center"/>
              <w:rPr>
                <w:rFonts w:hint="eastAsia" w:ascii="宋体" w:hAnsi="宋体" w:eastAsia="宋体" w:cs="宋体"/>
                <w:bCs/>
                <w:szCs w:val="21"/>
              </w:rPr>
            </w:pPr>
            <w:r>
              <w:rPr>
                <w:rFonts w:hint="eastAsia" w:ascii="宋体" w:hAnsi="宋体" w:eastAsia="宋体" w:cs="宋体"/>
                <w:szCs w:val="21"/>
              </w:rPr>
              <w:t>10</w:t>
            </w:r>
          </w:p>
        </w:tc>
      </w:tr>
    </w:tbl>
    <w:p w14:paraId="193EE808">
      <w:pPr>
        <w:adjustRightInd w:val="0"/>
        <w:snapToGrid w:val="0"/>
        <w:spacing w:beforeLines="0" w:afterLines="0" w:line="24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单次</w:t>
      </w:r>
      <w:r>
        <w:rPr>
          <w:rFonts w:hint="eastAsia" w:ascii="宋体" w:hAnsi="宋体" w:eastAsia="宋体" w:cs="宋体"/>
          <w:szCs w:val="21"/>
          <w:lang w:val="en-US" w:eastAsia="zh-CN"/>
        </w:rPr>
        <w:t>计费：</w:t>
      </w:r>
      <w:r>
        <w:rPr>
          <w:rFonts w:hint="eastAsia" w:ascii="宋体" w:hAnsi="宋体" w:eastAsia="宋体" w:cs="宋体"/>
          <w:szCs w:val="21"/>
        </w:rPr>
        <w:t>单次保险费=年保险费×3%</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63E9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56DE3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56DE3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8056C5"/>
    <w:multiLevelType w:val="singleLevel"/>
    <w:tmpl w:val="FE8056C5"/>
    <w:lvl w:ilvl="0" w:tentative="0">
      <w:start w:val="2"/>
      <w:numFmt w:val="chineseCounting"/>
      <w:suff w:val="nothing"/>
      <w:lvlText w:val="（%1）"/>
      <w:lvlJc w:val="left"/>
      <w:rPr>
        <w:rFonts w:hint="eastAsia"/>
      </w:rPr>
    </w:lvl>
  </w:abstractNum>
  <w:abstractNum w:abstractNumId="1">
    <w:nsid w:val="3CDB479E"/>
    <w:multiLevelType w:val="singleLevel"/>
    <w:tmpl w:val="3CDB479E"/>
    <w:lvl w:ilvl="0" w:tentative="0">
      <w:start w:val="1"/>
      <w:numFmt w:val="decimal"/>
      <w:suff w:val="nothing"/>
      <w:lvlText w:val="（%1）"/>
      <w:lvlJc w:val="left"/>
    </w:lvl>
  </w:abstractNum>
  <w:abstractNum w:abstractNumId="2">
    <w:nsid w:val="6ED0C105"/>
    <w:multiLevelType w:val="singleLevel"/>
    <w:tmpl w:val="6ED0C105"/>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236AFA"/>
    <w:rsid w:val="000012D3"/>
    <w:rsid w:val="000028A4"/>
    <w:rsid w:val="00021774"/>
    <w:rsid w:val="00043E77"/>
    <w:rsid w:val="00047CC5"/>
    <w:rsid w:val="00051312"/>
    <w:rsid w:val="00055607"/>
    <w:rsid w:val="000B0B81"/>
    <w:rsid w:val="00100D0E"/>
    <w:rsid w:val="00102C71"/>
    <w:rsid w:val="00162D2E"/>
    <w:rsid w:val="001746E4"/>
    <w:rsid w:val="001A4AAB"/>
    <w:rsid w:val="001B0F8E"/>
    <w:rsid w:val="001B1035"/>
    <w:rsid w:val="001B1DFD"/>
    <w:rsid w:val="001C6EE4"/>
    <w:rsid w:val="002012B6"/>
    <w:rsid w:val="00211C01"/>
    <w:rsid w:val="00227A42"/>
    <w:rsid w:val="00236AFA"/>
    <w:rsid w:val="00273E94"/>
    <w:rsid w:val="002752B8"/>
    <w:rsid w:val="002912F8"/>
    <w:rsid w:val="00293D77"/>
    <w:rsid w:val="002A7FE6"/>
    <w:rsid w:val="002B1AAA"/>
    <w:rsid w:val="002C5A80"/>
    <w:rsid w:val="002D03F8"/>
    <w:rsid w:val="002F5364"/>
    <w:rsid w:val="003139FE"/>
    <w:rsid w:val="003143D6"/>
    <w:rsid w:val="00351632"/>
    <w:rsid w:val="003521CB"/>
    <w:rsid w:val="00374716"/>
    <w:rsid w:val="00374735"/>
    <w:rsid w:val="0038011B"/>
    <w:rsid w:val="0038160A"/>
    <w:rsid w:val="00385AFC"/>
    <w:rsid w:val="0039002B"/>
    <w:rsid w:val="003B3146"/>
    <w:rsid w:val="003C0916"/>
    <w:rsid w:val="003D564A"/>
    <w:rsid w:val="003E05C5"/>
    <w:rsid w:val="003F0B34"/>
    <w:rsid w:val="0040049A"/>
    <w:rsid w:val="00407792"/>
    <w:rsid w:val="0045695D"/>
    <w:rsid w:val="004712B8"/>
    <w:rsid w:val="00480005"/>
    <w:rsid w:val="0048176C"/>
    <w:rsid w:val="00487263"/>
    <w:rsid w:val="004C012D"/>
    <w:rsid w:val="004D097B"/>
    <w:rsid w:val="004D0ACE"/>
    <w:rsid w:val="004F456E"/>
    <w:rsid w:val="00530EB7"/>
    <w:rsid w:val="0054309D"/>
    <w:rsid w:val="00545FAE"/>
    <w:rsid w:val="00553200"/>
    <w:rsid w:val="0056210C"/>
    <w:rsid w:val="005A6C76"/>
    <w:rsid w:val="005B22B5"/>
    <w:rsid w:val="005D02A9"/>
    <w:rsid w:val="005D3A4B"/>
    <w:rsid w:val="005D4A21"/>
    <w:rsid w:val="005E0647"/>
    <w:rsid w:val="005F0488"/>
    <w:rsid w:val="005F1F77"/>
    <w:rsid w:val="005F519F"/>
    <w:rsid w:val="00600621"/>
    <w:rsid w:val="00606B55"/>
    <w:rsid w:val="0061204F"/>
    <w:rsid w:val="0062055B"/>
    <w:rsid w:val="006247A1"/>
    <w:rsid w:val="00627C94"/>
    <w:rsid w:val="00642C08"/>
    <w:rsid w:val="00677F40"/>
    <w:rsid w:val="00681A96"/>
    <w:rsid w:val="00694E8B"/>
    <w:rsid w:val="00697887"/>
    <w:rsid w:val="006B7FB5"/>
    <w:rsid w:val="006C6FDD"/>
    <w:rsid w:val="006E76FF"/>
    <w:rsid w:val="006E7A8E"/>
    <w:rsid w:val="00760206"/>
    <w:rsid w:val="00761BF4"/>
    <w:rsid w:val="00763EBB"/>
    <w:rsid w:val="00767F9C"/>
    <w:rsid w:val="00777BF8"/>
    <w:rsid w:val="00795AB5"/>
    <w:rsid w:val="007B763C"/>
    <w:rsid w:val="007C1B9E"/>
    <w:rsid w:val="007F6D81"/>
    <w:rsid w:val="008002D7"/>
    <w:rsid w:val="00815651"/>
    <w:rsid w:val="00832807"/>
    <w:rsid w:val="00834FE9"/>
    <w:rsid w:val="00837824"/>
    <w:rsid w:val="00843C91"/>
    <w:rsid w:val="008626AA"/>
    <w:rsid w:val="008649A9"/>
    <w:rsid w:val="008658BA"/>
    <w:rsid w:val="008725C7"/>
    <w:rsid w:val="008D1465"/>
    <w:rsid w:val="008E40CE"/>
    <w:rsid w:val="008F7245"/>
    <w:rsid w:val="009328D5"/>
    <w:rsid w:val="00946DFA"/>
    <w:rsid w:val="00953EA4"/>
    <w:rsid w:val="00974552"/>
    <w:rsid w:val="00976A17"/>
    <w:rsid w:val="0097702F"/>
    <w:rsid w:val="009931C8"/>
    <w:rsid w:val="009A16C8"/>
    <w:rsid w:val="009B5BF5"/>
    <w:rsid w:val="009E0428"/>
    <w:rsid w:val="009E5057"/>
    <w:rsid w:val="009E65C1"/>
    <w:rsid w:val="00A0152C"/>
    <w:rsid w:val="00A1191A"/>
    <w:rsid w:val="00A1699C"/>
    <w:rsid w:val="00A24497"/>
    <w:rsid w:val="00A4626A"/>
    <w:rsid w:val="00A649CE"/>
    <w:rsid w:val="00A81FA6"/>
    <w:rsid w:val="00AC08ED"/>
    <w:rsid w:val="00AD3DB7"/>
    <w:rsid w:val="00AE40CB"/>
    <w:rsid w:val="00B45E48"/>
    <w:rsid w:val="00B64834"/>
    <w:rsid w:val="00B84DBE"/>
    <w:rsid w:val="00B922E6"/>
    <w:rsid w:val="00BB6605"/>
    <w:rsid w:val="00BB7307"/>
    <w:rsid w:val="00BC22DD"/>
    <w:rsid w:val="00C10C80"/>
    <w:rsid w:val="00C132F0"/>
    <w:rsid w:val="00C35B8F"/>
    <w:rsid w:val="00C40D0F"/>
    <w:rsid w:val="00C4426C"/>
    <w:rsid w:val="00C86A95"/>
    <w:rsid w:val="00C93796"/>
    <w:rsid w:val="00C956E6"/>
    <w:rsid w:val="00CB4FF8"/>
    <w:rsid w:val="00CD0CC9"/>
    <w:rsid w:val="00CD501C"/>
    <w:rsid w:val="00D1444E"/>
    <w:rsid w:val="00D34B61"/>
    <w:rsid w:val="00D56610"/>
    <w:rsid w:val="00D73158"/>
    <w:rsid w:val="00DC65AD"/>
    <w:rsid w:val="00DD0647"/>
    <w:rsid w:val="00DF1F32"/>
    <w:rsid w:val="00DF7FD3"/>
    <w:rsid w:val="00E0138D"/>
    <w:rsid w:val="00E16A48"/>
    <w:rsid w:val="00E367DB"/>
    <w:rsid w:val="00E3751D"/>
    <w:rsid w:val="00E76D4E"/>
    <w:rsid w:val="00E808F8"/>
    <w:rsid w:val="00EC6856"/>
    <w:rsid w:val="00F02DD1"/>
    <w:rsid w:val="00F21AD4"/>
    <w:rsid w:val="00F22C14"/>
    <w:rsid w:val="00F411B3"/>
    <w:rsid w:val="00F43792"/>
    <w:rsid w:val="00F53DB8"/>
    <w:rsid w:val="00F82F10"/>
    <w:rsid w:val="00FA1BCB"/>
    <w:rsid w:val="00FB2887"/>
    <w:rsid w:val="00FC23A3"/>
    <w:rsid w:val="022928A2"/>
    <w:rsid w:val="02620E5E"/>
    <w:rsid w:val="03025613"/>
    <w:rsid w:val="037E3A97"/>
    <w:rsid w:val="03F96DF5"/>
    <w:rsid w:val="0514651A"/>
    <w:rsid w:val="09791AF8"/>
    <w:rsid w:val="0C1139C5"/>
    <w:rsid w:val="0D753AD4"/>
    <w:rsid w:val="0F32402E"/>
    <w:rsid w:val="0F951C6C"/>
    <w:rsid w:val="10841EFF"/>
    <w:rsid w:val="11930469"/>
    <w:rsid w:val="119D29A1"/>
    <w:rsid w:val="13560BA9"/>
    <w:rsid w:val="148536A8"/>
    <w:rsid w:val="15A74FD0"/>
    <w:rsid w:val="18EE30A9"/>
    <w:rsid w:val="19E5515C"/>
    <w:rsid w:val="1AC5756A"/>
    <w:rsid w:val="1B3233A8"/>
    <w:rsid w:val="1BD350BC"/>
    <w:rsid w:val="1EC060E3"/>
    <w:rsid w:val="211E78E1"/>
    <w:rsid w:val="2259023F"/>
    <w:rsid w:val="236F621D"/>
    <w:rsid w:val="244C36AE"/>
    <w:rsid w:val="24A735BF"/>
    <w:rsid w:val="261401DF"/>
    <w:rsid w:val="27475541"/>
    <w:rsid w:val="2AA61E2A"/>
    <w:rsid w:val="2BA81853"/>
    <w:rsid w:val="2DD83397"/>
    <w:rsid w:val="2E9750B0"/>
    <w:rsid w:val="31D3425F"/>
    <w:rsid w:val="34237BBE"/>
    <w:rsid w:val="35D74568"/>
    <w:rsid w:val="366131D1"/>
    <w:rsid w:val="37F81AAA"/>
    <w:rsid w:val="38731192"/>
    <w:rsid w:val="3E5F0F6A"/>
    <w:rsid w:val="45065CF6"/>
    <w:rsid w:val="4746716B"/>
    <w:rsid w:val="4CEB00CB"/>
    <w:rsid w:val="4E510EDA"/>
    <w:rsid w:val="509312A2"/>
    <w:rsid w:val="51656D1B"/>
    <w:rsid w:val="51A61359"/>
    <w:rsid w:val="52EE5F23"/>
    <w:rsid w:val="56575206"/>
    <w:rsid w:val="575D1C66"/>
    <w:rsid w:val="59305AC2"/>
    <w:rsid w:val="59FB0160"/>
    <w:rsid w:val="5AE20A86"/>
    <w:rsid w:val="5AE32486"/>
    <w:rsid w:val="5F0D4F86"/>
    <w:rsid w:val="5F7B7E0C"/>
    <w:rsid w:val="64963004"/>
    <w:rsid w:val="674B5FC6"/>
    <w:rsid w:val="68460516"/>
    <w:rsid w:val="68BD6171"/>
    <w:rsid w:val="68D227CD"/>
    <w:rsid w:val="68E74C88"/>
    <w:rsid w:val="68F062B7"/>
    <w:rsid w:val="6B4A21A4"/>
    <w:rsid w:val="6C3536E4"/>
    <w:rsid w:val="6CAD3358"/>
    <w:rsid w:val="6E46778C"/>
    <w:rsid w:val="708B08DB"/>
    <w:rsid w:val="738321D6"/>
    <w:rsid w:val="756E2932"/>
    <w:rsid w:val="762D30B9"/>
    <w:rsid w:val="772C06F5"/>
    <w:rsid w:val="7787773C"/>
    <w:rsid w:val="787D6B5E"/>
    <w:rsid w:val="798B2111"/>
    <w:rsid w:val="7B0D05B2"/>
    <w:rsid w:val="7FA92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页眉 字符"/>
    <w:basedOn w:val="9"/>
    <w:link w:val="5"/>
    <w:qFormat/>
    <w:uiPriority w:val="0"/>
    <w:rPr>
      <w:kern w:val="2"/>
      <w:sz w:val="18"/>
      <w:szCs w:val="18"/>
    </w:rPr>
  </w:style>
  <w:style w:type="character" w:customStyle="1" w:styleId="12">
    <w:name w:val="页脚 字符"/>
    <w:basedOn w:val="9"/>
    <w:link w:val="4"/>
    <w:qFormat/>
    <w:uiPriority w:val="0"/>
    <w:rPr>
      <w:kern w:val="2"/>
      <w:sz w:val="18"/>
      <w:szCs w:val="18"/>
    </w:rPr>
  </w:style>
  <w:style w:type="character" w:customStyle="1" w:styleId="13">
    <w:name w:val="批注框文本 字符"/>
    <w:basedOn w:val="9"/>
    <w:link w:val="3"/>
    <w:qFormat/>
    <w:uiPriority w:val="0"/>
    <w:rPr>
      <w:kern w:val="2"/>
      <w:sz w:val="18"/>
      <w:szCs w:val="18"/>
    </w:rPr>
  </w:style>
  <w:style w:type="character" w:customStyle="1" w:styleId="14">
    <w:name w:val="批注文字 字符"/>
    <w:basedOn w:val="9"/>
    <w:link w:val="2"/>
    <w:qFormat/>
    <w:uiPriority w:val="0"/>
    <w:rPr>
      <w:kern w:val="2"/>
      <w:sz w:val="21"/>
      <w:szCs w:val="24"/>
    </w:rPr>
  </w:style>
  <w:style w:type="character" w:customStyle="1" w:styleId="15">
    <w:name w:val="批注主题 字符"/>
    <w:basedOn w:val="14"/>
    <w:link w:val="6"/>
    <w:qFormat/>
    <w:uiPriority w:val="0"/>
    <w:rPr>
      <w:b/>
      <w:bCs/>
      <w:kern w:val="2"/>
      <w:sz w:val="21"/>
      <w:szCs w:val="24"/>
    </w:rPr>
  </w:style>
  <w:style w:type="paragraph" w:styleId="16">
    <w:name w:val="List Paragraph"/>
    <w:basedOn w:val="1"/>
    <w:qFormat/>
    <w:uiPriority w:val="99"/>
    <w:pPr>
      <w:ind w:firstLine="420" w:firstLineChars="200"/>
    </w:p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9">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styleId="20">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font21"/>
    <w:basedOn w:val="9"/>
    <w:qFormat/>
    <w:uiPriority w:val="0"/>
    <w:rPr>
      <w:rFonts w:hint="eastAsia" w:ascii="宋体" w:hAnsi="宋体" w:eastAsia="宋体" w:cs="宋体"/>
      <w:color w:val="000000"/>
      <w:sz w:val="21"/>
      <w:szCs w:val="21"/>
      <w:u w:val="none"/>
    </w:rPr>
  </w:style>
  <w:style w:type="character" w:customStyle="1" w:styleId="22">
    <w:name w:val="font11"/>
    <w:basedOn w:val="9"/>
    <w:qFormat/>
    <w:uiPriority w:val="0"/>
    <w:rPr>
      <w:rFonts w:hint="eastAsia" w:ascii="宋体" w:hAnsi="宋体" w:eastAsia="宋体" w:cs="宋体"/>
      <w:b/>
      <w:bCs/>
      <w:color w:val="000000"/>
      <w:sz w:val="21"/>
      <w:szCs w:val="21"/>
      <w:u w:val="none"/>
    </w:rPr>
  </w:style>
  <w:style w:type="character" w:customStyle="1" w:styleId="23">
    <w:name w:val="font41"/>
    <w:basedOn w:val="9"/>
    <w:qFormat/>
    <w:uiPriority w:val="0"/>
    <w:rPr>
      <w:rFonts w:hint="default" w:ascii="Calibri" w:hAnsi="Calibri" w:cs="Calibri"/>
      <w:b/>
      <w:bCs/>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1598</Words>
  <Characters>2016</Characters>
  <Lines>11</Lines>
  <Paragraphs>3</Paragraphs>
  <TotalTime>13</TotalTime>
  <ScaleCrop>false</ScaleCrop>
  <LinksUpToDate>false</LinksUpToDate>
  <CharactersWithSpaces>2028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2019-09-27T04:02:00Z</dcterms:created>
  <dc:creator>Lenovo</dc:creator>
  <cp:lastModifiedBy>刘晴</cp:lastModifiedBy>
  <dcterms:modified xsi:type="dcterms:W3CDTF">2025-07-09T07:48:26Z</dcterms:modified>
  <cp:revision>193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4112AFA3DBEA414ABCFE7F972F216CE8_13</vt:lpwstr>
  </property>
  <property fmtid="{D5CDD505-2E9C-101B-9397-08002B2CF9AE}" pid="4" name="commondata">
    <vt:lpwstr>eyJoZGlkIjoiMDRiMmE0ZjljZDExM2YyODdkMDQ1ZGRhYjY0YmQ5MmQifQ==</vt:lpwstr>
  </property>
</Properties>
</file>