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color w:val="000000"/>
          <w:kern w:val="0"/>
          <w:sz w:val="28"/>
          <w:szCs w:val="28"/>
        </w:rPr>
        <w:t>附加手术医疗意外伤害保险</w:t>
      </w:r>
      <w:r>
        <w:rPr>
          <w:rFonts w:ascii="宋体" w:hAnsi="宋体" w:eastAsia="宋体" w:cs="宋体"/>
          <w:b/>
          <w:bCs/>
          <w:color w:val="000000"/>
          <w:kern w:val="0"/>
          <w:sz w:val="28"/>
          <w:szCs w:val="28"/>
        </w:rPr>
        <w:t>费率表</w:t>
      </w:r>
    </w:p>
    <w:p>
      <w:pPr>
        <w:jc w:val="center"/>
        <w:rPr>
          <w:rFonts w:ascii="宋体" w:hAnsi="宋体" w:eastAsia="宋体" w:cs="宋体"/>
          <w:b/>
          <w:bCs/>
          <w:sz w:val="28"/>
          <w:szCs w:val="28"/>
        </w:rPr>
      </w:pPr>
    </w:p>
    <w:p>
      <w:pPr>
        <w:pStyle w:val="17"/>
        <w:spacing w:line="360" w:lineRule="auto"/>
        <w:ind w:left="422" w:firstLine="0" w:firstLineChars="0"/>
        <w:jc w:val="left"/>
        <w:rPr>
          <w:rFonts w:ascii="宋体" w:hAnsi="宋体" w:eastAsia="宋体" w:cs="宋体"/>
          <w:b/>
          <w:bCs/>
          <w:szCs w:val="21"/>
        </w:rPr>
      </w:pPr>
      <w:r>
        <w:rPr>
          <w:rFonts w:hint="eastAsia" w:ascii="宋体" w:hAnsi="宋体" w:eastAsia="宋体" w:cs="宋体"/>
          <w:b/>
          <w:bCs/>
          <w:szCs w:val="21"/>
        </w:rPr>
        <w:t>一、年基准费率</w:t>
      </w:r>
    </w:p>
    <w:tbl>
      <w:tblPr>
        <w:tblStyle w:val="18"/>
        <w:tblW w:w="7550" w:type="dxa"/>
        <w:tblInd w:w="4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0"/>
        <w:gridCol w:w="2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0" w:type="dxa"/>
          </w:tcPr>
          <w:p>
            <w:pPr>
              <w:widowControl/>
              <w:jc w:val="center"/>
              <w:rPr>
                <w:rFonts w:ascii="宋体" w:hAnsi="Calibri" w:eastAsia="宋体" w:cs="Times New Roman"/>
                <w:kern w:val="0"/>
                <w:szCs w:val="21"/>
              </w:rPr>
            </w:pPr>
            <w:r>
              <w:rPr>
                <w:rFonts w:hint="eastAsia" w:ascii="宋体" w:hAnsi="宋体" w:eastAsia="宋体" w:cs="Calibri"/>
                <w:bCs/>
                <w:kern w:val="0"/>
                <w:szCs w:val="21"/>
              </w:rPr>
              <w:t>保险责任</w:t>
            </w:r>
          </w:p>
        </w:tc>
        <w:tc>
          <w:tcPr>
            <w:tcW w:w="2640" w:type="dxa"/>
          </w:tcPr>
          <w:p>
            <w:pPr>
              <w:widowControl/>
              <w:jc w:val="center"/>
              <w:rPr>
                <w:rFonts w:ascii="宋体" w:hAnsi="Calibri" w:eastAsia="宋体" w:cs="Times New Roman"/>
                <w:kern w:val="0"/>
                <w:szCs w:val="21"/>
              </w:rPr>
            </w:pPr>
            <w:r>
              <w:rPr>
                <w:rFonts w:hint="eastAsia" w:ascii="宋体" w:hAnsi="Calibri" w:eastAsia="宋体" w:cs="Times New Roman"/>
                <w:kern w:val="0"/>
                <w:szCs w:val="21"/>
              </w:rPr>
              <w:t>年基准费率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0" w:type="dxa"/>
            <w:vAlign w:val="center"/>
          </w:tcPr>
          <w:p>
            <w:pPr>
              <w:widowControl/>
              <w:jc w:val="center"/>
              <w:rPr>
                <w:rFonts w:ascii="宋体" w:hAnsi="Calibri" w:eastAsia="宋体" w:cs="Times New Roman"/>
                <w:kern w:val="0"/>
                <w:szCs w:val="21"/>
              </w:rPr>
            </w:pPr>
            <w:r>
              <w:rPr>
                <w:rFonts w:hint="eastAsia" w:ascii="宋体" w:hAnsi="Calibri" w:eastAsia="宋体" w:cs="Times New Roman"/>
                <w:kern w:val="0"/>
                <w:szCs w:val="21"/>
              </w:rPr>
              <w:t>手术医疗意外伤害保险金</w:t>
            </w:r>
          </w:p>
        </w:tc>
        <w:tc>
          <w:tcPr>
            <w:tcW w:w="2640" w:type="dxa"/>
          </w:tcPr>
          <w:p>
            <w:pPr>
              <w:widowControl/>
              <w:jc w:val="center"/>
              <w:rPr>
                <w:rFonts w:ascii="宋体" w:hAnsi="Calibri" w:eastAsia="宋体" w:cs="Times New Roman"/>
                <w:kern w:val="0"/>
                <w:szCs w:val="21"/>
              </w:rPr>
            </w:pPr>
            <w:r>
              <w:rPr>
                <w:rFonts w:ascii="宋体" w:hAnsi="Calibri" w:eastAsia="宋体" w:cs="Times New Roman"/>
                <w:kern w:val="0"/>
                <w:szCs w:val="21"/>
              </w:rPr>
              <w:t>0.</w:t>
            </w:r>
            <w:r>
              <w:rPr>
                <w:rFonts w:hint="eastAsia" w:ascii="宋体" w:hAnsi="Calibri" w:eastAsia="宋体" w:cs="Times New Roman"/>
                <w:kern w:val="0"/>
                <w:szCs w:val="21"/>
                <w:lang w:val="en-US" w:eastAsia="zh-CN"/>
              </w:rPr>
              <w:t>5</w:t>
            </w:r>
            <w:bookmarkStart w:id="0" w:name="_GoBack"/>
            <w:bookmarkEnd w:id="0"/>
            <w:r>
              <w:rPr>
                <w:rFonts w:ascii="宋体" w:hAnsi="Calibri" w:eastAsia="宋体" w:cs="Times New Roman"/>
                <w:kern w:val="0"/>
                <w:szCs w:val="21"/>
              </w:rPr>
              <w:t>%</w:t>
            </w:r>
          </w:p>
        </w:tc>
      </w:tr>
    </w:tbl>
    <w:p>
      <w:pPr>
        <w:pStyle w:val="17"/>
        <w:spacing w:line="360" w:lineRule="auto"/>
        <w:ind w:left="422" w:firstLine="0" w:firstLineChars="0"/>
        <w:jc w:val="left"/>
        <w:rPr>
          <w:rFonts w:ascii="宋体" w:hAnsi="宋体" w:eastAsia="宋体" w:cs="宋体"/>
          <w:b/>
          <w:bCs/>
          <w:szCs w:val="21"/>
        </w:rPr>
      </w:pPr>
      <w:r>
        <w:rPr>
          <w:rFonts w:hint="eastAsia" w:ascii="宋体" w:hAnsi="宋体" w:eastAsia="宋体" w:cs="宋体"/>
          <w:b/>
          <w:bCs/>
          <w:szCs w:val="21"/>
        </w:rPr>
        <w:t>二、费率调整系数</w:t>
      </w:r>
    </w:p>
    <w:p>
      <w:pPr>
        <w:adjustRightInd w:val="0"/>
        <w:snapToGrid w:val="0"/>
        <w:spacing w:line="360" w:lineRule="auto"/>
        <w:rPr>
          <w:rFonts w:ascii="宋体" w:hAnsi="宋体" w:eastAsia="宋体" w:cs="宋体"/>
          <w:szCs w:val="21"/>
          <w:lang w:bidi="ar"/>
        </w:rPr>
      </w:pPr>
      <w:r>
        <w:rPr>
          <w:rFonts w:ascii="宋体" w:hAnsi="宋体" w:eastAsia="宋体" w:cs="宋体"/>
          <w:szCs w:val="21"/>
          <w:lang w:bidi="ar"/>
        </w:rPr>
        <w:t>1</w:t>
      </w:r>
      <w:r>
        <w:rPr>
          <w:rFonts w:hint="eastAsia" w:ascii="宋体" w:hAnsi="宋体" w:eastAsia="宋体" w:cs="宋体"/>
          <w:szCs w:val="21"/>
          <w:lang w:bidi="ar"/>
        </w:rPr>
        <w:t>、手术医疗机构等级调整系数（F1）</w:t>
      </w:r>
    </w:p>
    <w:tbl>
      <w:tblPr>
        <w:tblStyle w:val="19"/>
        <w:tblW w:w="7504" w:type="dxa"/>
        <w:tblInd w:w="49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849"/>
        <w:gridCol w:w="365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8" w:hRule="atLeast"/>
        </w:trPr>
        <w:tc>
          <w:tcPr>
            <w:tcW w:w="3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手术医疗机构等级</w:t>
            </w:r>
          </w:p>
        </w:tc>
        <w:tc>
          <w:tcPr>
            <w:tcW w:w="36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4" w:hRule="atLeast"/>
        </w:trPr>
        <w:tc>
          <w:tcPr>
            <w:tcW w:w="3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三级（特等、甲、乙、丙）</w:t>
            </w:r>
          </w:p>
        </w:tc>
        <w:tc>
          <w:tcPr>
            <w:tcW w:w="36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[0.6,1.0）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7" w:hRule="atLeast"/>
        </w:trPr>
        <w:tc>
          <w:tcPr>
            <w:tcW w:w="3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二级（甲、乙、丙）</w:t>
            </w:r>
          </w:p>
        </w:tc>
        <w:tc>
          <w:tcPr>
            <w:tcW w:w="36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[1.0,1.5）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9" w:hRule="atLeast"/>
        </w:trPr>
        <w:tc>
          <w:tcPr>
            <w:tcW w:w="3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一级（甲、乙、丙）</w:t>
            </w:r>
          </w:p>
        </w:tc>
        <w:tc>
          <w:tcPr>
            <w:tcW w:w="36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[1.5,2.0）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9" w:hRule="atLeast"/>
        </w:trPr>
        <w:tc>
          <w:tcPr>
            <w:tcW w:w="38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其他</w:t>
            </w:r>
          </w:p>
        </w:tc>
        <w:tc>
          <w:tcPr>
            <w:tcW w:w="36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(1.0,2.5]</w:t>
            </w:r>
          </w:p>
        </w:tc>
      </w:tr>
    </w:tbl>
    <w:p>
      <w:pPr>
        <w:widowControl/>
        <w:spacing w:line="360" w:lineRule="auto"/>
        <w:rPr>
          <w:rFonts w:ascii="宋体" w:hAnsi="宋体" w:eastAsia="宋体" w:cs="宋体"/>
          <w:szCs w:val="21"/>
          <w:lang w:bidi="ar"/>
        </w:rPr>
      </w:pPr>
      <w:r>
        <w:rPr>
          <w:rFonts w:ascii="宋体" w:hAnsi="宋体" w:eastAsia="宋体" w:cs="宋体"/>
          <w:szCs w:val="21"/>
          <w:lang w:bidi="ar"/>
        </w:rPr>
        <w:t>2</w:t>
      </w:r>
      <w:r>
        <w:rPr>
          <w:rFonts w:hint="eastAsia" w:ascii="宋体" w:hAnsi="宋体" w:eastAsia="宋体" w:cs="宋体"/>
          <w:szCs w:val="21"/>
          <w:lang w:bidi="ar"/>
        </w:rPr>
        <w:t>、手术医疗机构类型调整系数（F2）</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14"/>
        <w:gridCol w:w="216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医疗机构类型</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公立医院</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1.</w:t>
            </w:r>
            <w:r>
              <w:rPr>
                <w:rFonts w:ascii="宋体" w:hAnsi="宋体" w:eastAsia="宋体" w:cs="宋体"/>
                <w:szCs w:val="21"/>
                <w:lang w:bidi="ar"/>
              </w:rPr>
              <w:t>0</w:t>
            </w:r>
            <w:r>
              <w:rPr>
                <w:rFonts w:hint="eastAsia" w:ascii="宋体" w:hAnsi="宋体" w:eastAsia="宋体" w:cs="宋体"/>
                <w:szCs w:val="21"/>
                <w:lang w:bidi="ar"/>
              </w:rPr>
              <w:t>,1.</w:t>
            </w:r>
            <w:r>
              <w:rPr>
                <w:rFonts w:ascii="宋体" w:hAnsi="宋体" w:eastAsia="宋体" w:cs="宋体"/>
                <w:szCs w:val="21"/>
                <w:lang w:bidi="ar"/>
              </w:rPr>
              <w:t>2</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私立医院</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[1.0,1.5]</w:t>
            </w:r>
          </w:p>
        </w:tc>
      </w:tr>
    </w:tbl>
    <w:p>
      <w:pPr>
        <w:widowControl/>
        <w:spacing w:line="360" w:lineRule="auto"/>
        <w:rPr>
          <w:rFonts w:ascii="宋体" w:hAnsi="宋体" w:eastAsia="宋体" w:cs="宋体"/>
          <w:szCs w:val="21"/>
          <w:lang w:bidi="ar"/>
        </w:rPr>
      </w:pPr>
      <w:r>
        <w:rPr>
          <w:rFonts w:ascii="宋体" w:hAnsi="宋体" w:eastAsia="宋体" w:cs="宋体"/>
          <w:szCs w:val="21"/>
          <w:lang w:bidi="ar"/>
        </w:rPr>
        <w:t>3</w:t>
      </w:r>
      <w:r>
        <w:rPr>
          <w:rFonts w:hint="eastAsia" w:ascii="宋体" w:hAnsi="宋体" w:eastAsia="宋体" w:cs="宋体"/>
          <w:szCs w:val="21"/>
          <w:lang w:bidi="ar"/>
        </w:rPr>
        <w:t>、手术级别调整系数（F3）</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14"/>
        <w:gridCol w:w="216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手术级别</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一级</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二级</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(1.0,1.5]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三级</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(1.5,2.5]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四级</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(2.5,3.5]</w:t>
            </w:r>
          </w:p>
        </w:tc>
      </w:tr>
    </w:tbl>
    <w:p>
      <w:pPr>
        <w:widowControl/>
        <w:spacing w:line="360" w:lineRule="auto"/>
        <w:rPr>
          <w:rFonts w:ascii="宋体" w:hAnsi="宋体" w:eastAsia="宋体" w:cs="宋体"/>
          <w:szCs w:val="21"/>
          <w:lang w:bidi="ar"/>
        </w:rPr>
      </w:pPr>
      <w:r>
        <w:rPr>
          <w:rFonts w:hint="eastAsia" w:ascii="宋体" w:hAnsi="宋体" w:eastAsia="宋体" w:cs="宋体"/>
          <w:szCs w:val="21"/>
          <w:lang w:bidi="ar"/>
        </w:rPr>
        <w:t>注：按照中华人民共和国国家卫生和计划生育委员会制定的最新版《手术分级目录》执行。</w:t>
      </w:r>
    </w:p>
    <w:p>
      <w:pPr>
        <w:adjustRightInd w:val="0"/>
        <w:snapToGrid w:val="0"/>
        <w:spacing w:line="360" w:lineRule="auto"/>
        <w:rPr>
          <w:rFonts w:ascii="宋体" w:hAnsi="宋体" w:eastAsia="宋体" w:cs="宋体"/>
          <w:szCs w:val="21"/>
          <w:lang w:bidi="ar"/>
        </w:rPr>
      </w:pPr>
      <w:r>
        <w:rPr>
          <w:rFonts w:ascii="宋体" w:hAnsi="宋体" w:eastAsia="宋体" w:cs="宋体"/>
          <w:szCs w:val="21"/>
          <w:lang w:bidi="ar"/>
        </w:rPr>
        <w:t>4</w:t>
      </w:r>
      <w:r>
        <w:rPr>
          <w:rFonts w:hint="eastAsia" w:ascii="宋体" w:hAnsi="宋体" w:eastAsia="宋体" w:cs="宋体"/>
          <w:szCs w:val="21"/>
          <w:lang w:bidi="ar"/>
        </w:rPr>
        <w:t>、被保险人身体状况调整系数（F4）</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14"/>
        <w:gridCol w:w="216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被保险人身体状况</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身体状况良好</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[0.7,1.0</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身体状况一般</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[1.0,</w:t>
            </w:r>
            <w:r>
              <w:rPr>
                <w:rFonts w:hint="eastAsia" w:ascii="宋体" w:hAnsi="宋体" w:eastAsia="宋体" w:cs="宋体"/>
                <w:szCs w:val="21"/>
                <w:lang w:bidi="ar"/>
              </w:rPr>
              <w:t>1.</w:t>
            </w:r>
            <w:r>
              <w:rPr>
                <w:rFonts w:ascii="宋体" w:hAnsi="宋体" w:eastAsia="宋体" w:cs="宋体"/>
                <w:szCs w:val="21"/>
                <w:lang w:bidi="ar"/>
              </w:rPr>
              <w:t>5</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身体状况较差</w:t>
            </w:r>
          </w:p>
        </w:tc>
        <w:tc>
          <w:tcPr>
            <w:tcW w:w="21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[1.5,2.0]</w:t>
            </w:r>
          </w:p>
        </w:tc>
      </w:tr>
    </w:tbl>
    <w:p>
      <w:pPr>
        <w:widowControl/>
        <w:adjustRightInd/>
        <w:snapToGrid/>
        <w:spacing w:line="360" w:lineRule="auto"/>
        <w:rPr>
          <w:rFonts w:hint="eastAsia" w:ascii="宋体" w:hAnsi="宋体" w:eastAsia="宋体" w:cs="宋体"/>
          <w:szCs w:val="21"/>
          <w:lang w:bidi="ar"/>
        </w:rPr>
      </w:pPr>
      <w:r>
        <w:rPr>
          <w:rFonts w:hint="eastAsia" w:ascii="宋体" w:hAnsi="宋体" w:eastAsia="宋体" w:cs="宋体"/>
          <w:szCs w:val="21"/>
          <w:lang w:val="en-US" w:eastAsia="zh-CN" w:bidi="ar"/>
        </w:rPr>
        <w:t>注：</w:t>
      </w:r>
      <w:r>
        <w:rPr>
          <w:rFonts w:hint="eastAsia" w:ascii="宋体" w:hAnsi="宋体" w:eastAsia="宋体" w:cs="宋体"/>
          <w:szCs w:val="21"/>
          <w:lang w:bidi="ar"/>
        </w:rPr>
        <w:t>主要根据体现被保险人健康意识和生活作息方式等因素综合确定被保险人的身体状况。</w:t>
      </w:r>
    </w:p>
    <w:p>
      <w:pPr>
        <w:adjustRightInd w:val="0"/>
        <w:snapToGrid w:val="0"/>
        <w:spacing w:line="360" w:lineRule="auto"/>
        <w:rPr>
          <w:rFonts w:ascii="宋体" w:hAnsi="宋体" w:eastAsia="宋体" w:cs="宋体"/>
          <w:szCs w:val="21"/>
          <w:lang w:bidi="ar"/>
        </w:rPr>
      </w:pPr>
      <w:r>
        <w:rPr>
          <w:rFonts w:ascii="宋体" w:hAnsi="宋体" w:eastAsia="宋体" w:cs="宋体"/>
          <w:szCs w:val="21"/>
          <w:lang w:bidi="ar"/>
        </w:rPr>
        <w:t>5、</w:t>
      </w:r>
      <w:r>
        <w:rPr>
          <w:rFonts w:hint="eastAsia" w:ascii="宋体" w:hAnsi="宋体" w:eastAsia="宋体" w:cs="宋体"/>
          <w:szCs w:val="21"/>
          <w:lang w:bidi="ar"/>
        </w:rPr>
        <w:t>被保险人</w:t>
      </w:r>
      <w:r>
        <w:rPr>
          <w:rFonts w:ascii="宋体" w:hAnsi="宋体" w:eastAsia="宋体" w:cs="宋体"/>
          <w:szCs w:val="21"/>
          <w:lang w:bidi="ar"/>
        </w:rPr>
        <w:t>年龄调整系数</w:t>
      </w:r>
      <w:r>
        <w:rPr>
          <w:rFonts w:hint="eastAsia" w:ascii="宋体" w:hAnsi="宋体" w:eastAsia="宋体" w:cs="宋体"/>
          <w:szCs w:val="21"/>
          <w:lang w:bidi="ar"/>
        </w:rPr>
        <w:t>（F5）</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14"/>
        <w:gridCol w:w="216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被保险人年龄（周岁）</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0至</w:t>
            </w:r>
            <w:r>
              <w:rPr>
                <w:rFonts w:ascii="宋体" w:hAnsi="宋体" w:eastAsia="宋体" w:cs="宋体"/>
                <w:szCs w:val="21"/>
                <w:lang w:bidi="ar"/>
              </w:rPr>
              <w:t>18</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[0.9,1.</w:t>
            </w:r>
            <w:r>
              <w:rPr>
                <w:rFonts w:ascii="宋体" w:hAnsi="宋体" w:eastAsia="宋体" w:cs="宋体"/>
                <w:szCs w:val="21"/>
                <w:lang w:bidi="ar"/>
              </w:rPr>
              <w:t>2</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ascii="宋体" w:hAnsi="宋体" w:eastAsia="宋体" w:cs="宋体"/>
                <w:szCs w:val="21"/>
                <w:lang w:bidi="ar"/>
              </w:rPr>
              <w:t>18</w:t>
            </w:r>
            <w:r>
              <w:rPr>
                <w:rFonts w:hint="eastAsia" w:ascii="宋体" w:hAnsi="宋体" w:eastAsia="宋体" w:cs="宋体"/>
                <w:szCs w:val="21"/>
                <w:lang w:bidi="ar"/>
              </w:rPr>
              <w:t>（不含）至</w:t>
            </w:r>
            <w:r>
              <w:rPr>
                <w:rFonts w:hint="eastAsia" w:ascii="宋体" w:hAnsi="宋体" w:eastAsia="宋体" w:cs="宋体"/>
                <w:szCs w:val="21"/>
                <w:lang w:val="en-US" w:eastAsia="zh-CN" w:bidi="ar"/>
              </w:rPr>
              <w:t>4</w:t>
            </w:r>
            <w:r>
              <w:rPr>
                <w:rFonts w:ascii="宋体" w:hAnsi="宋体" w:eastAsia="宋体" w:cs="宋体"/>
                <w:szCs w:val="21"/>
                <w:lang w:bidi="ar"/>
              </w:rPr>
              <w:t>5</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0.9,1.0]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val="en-US" w:eastAsia="zh-CN" w:bidi="ar"/>
              </w:rPr>
              <w:t>4</w:t>
            </w:r>
            <w:r>
              <w:rPr>
                <w:rFonts w:ascii="宋体" w:hAnsi="宋体" w:eastAsia="宋体" w:cs="宋体"/>
                <w:szCs w:val="21"/>
                <w:lang w:bidi="ar"/>
              </w:rPr>
              <w:t>5</w:t>
            </w:r>
            <w:r>
              <w:rPr>
                <w:rFonts w:hint="eastAsia" w:ascii="宋体" w:hAnsi="宋体" w:eastAsia="宋体" w:cs="宋体"/>
                <w:szCs w:val="21"/>
                <w:lang w:bidi="ar"/>
              </w:rPr>
              <w:t>（不含）至</w:t>
            </w:r>
            <w:r>
              <w:rPr>
                <w:rFonts w:hint="eastAsia" w:ascii="宋体" w:hAnsi="宋体" w:eastAsia="宋体" w:cs="宋体"/>
                <w:szCs w:val="21"/>
                <w:lang w:val="en-US" w:eastAsia="zh-CN" w:bidi="ar"/>
              </w:rPr>
              <w:t>6</w:t>
            </w:r>
            <w:r>
              <w:rPr>
                <w:rFonts w:ascii="宋体" w:hAnsi="宋体" w:eastAsia="宋体" w:cs="宋体"/>
                <w:szCs w:val="21"/>
                <w:lang w:bidi="ar"/>
              </w:rPr>
              <w:t>5</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1.0</w:t>
            </w: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val="en-US" w:eastAsia="zh-CN" w:bidi="ar"/>
              </w:rPr>
              <w:t>3</w:t>
            </w:r>
            <w:r>
              <w:rPr>
                <w:rFonts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val="en-US" w:eastAsia="zh-CN" w:bidi="ar"/>
              </w:rPr>
              <w:t>6</w:t>
            </w:r>
            <w:r>
              <w:rPr>
                <w:rFonts w:ascii="宋体" w:hAnsi="宋体" w:eastAsia="宋体" w:cs="宋体"/>
                <w:szCs w:val="21"/>
                <w:lang w:bidi="ar"/>
              </w:rPr>
              <w:t>5</w:t>
            </w:r>
            <w:r>
              <w:rPr>
                <w:rFonts w:hint="eastAsia" w:ascii="宋体" w:hAnsi="宋体" w:eastAsia="宋体" w:cs="宋体"/>
                <w:szCs w:val="21"/>
                <w:lang w:bidi="ar"/>
              </w:rPr>
              <w:t>（不含）至</w:t>
            </w:r>
            <w:r>
              <w:rPr>
                <w:rFonts w:hint="eastAsia" w:ascii="宋体" w:hAnsi="宋体" w:eastAsia="宋体" w:cs="宋体"/>
                <w:szCs w:val="21"/>
                <w:lang w:val="en-US" w:eastAsia="zh-CN" w:bidi="ar"/>
              </w:rPr>
              <w:t>85</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val="en-US" w:eastAsia="zh-CN" w:bidi="ar"/>
              </w:rPr>
              <w:t>3</w:t>
            </w: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val="en-US" w:eastAsia="zh-CN" w:bidi="ar"/>
              </w:rPr>
              <w:t>5</w:t>
            </w:r>
            <w:r>
              <w:rPr>
                <w:rFonts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1" w:hRule="atLeast"/>
        </w:trPr>
        <w:tc>
          <w:tcPr>
            <w:tcW w:w="52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Cs w:val="21"/>
                <w:lang w:val="en-US" w:eastAsia="zh-CN" w:bidi="ar"/>
              </w:rPr>
            </w:pPr>
            <w:r>
              <w:rPr>
                <w:rFonts w:hint="eastAsia" w:ascii="宋体" w:hAnsi="宋体" w:eastAsia="宋体" w:cs="宋体"/>
                <w:szCs w:val="21"/>
                <w:lang w:bidi="ar"/>
              </w:rPr>
              <w:t>8</w:t>
            </w:r>
            <w:r>
              <w:rPr>
                <w:rFonts w:ascii="宋体" w:hAnsi="宋体" w:eastAsia="宋体" w:cs="宋体"/>
                <w:szCs w:val="21"/>
                <w:lang w:bidi="ar"/>
              </w:rPr>
              <w:t>5</w:t>
            </w:r>
            <w:r>
              <w:rPr>
                <w:rFonts w:hint="eastAsia" w:ascii="宋体" w:hAnsi="宋体" w:eastAsia="宋体" w:cs="宋体"/>
                <w:szCs w:val="21"/>
                <w:lang w:bidi="ar"/>
              </w:rPr>
              <w:t>（不含）至1</w:t>
            </w:r>
            <w:r>
              <w:rPr>
                <w:rFonts w:ascii="宋体" w:hAnsi="宋体" w:eastAsia="宋体" w:cs="宋体"/>
                <w:szCs w:val="21"/>
                <w:lang w:bidi="ar"/>
              </w:rPr>
              <w:t>00</w:t>
            </w:r>
          </w:p>
        </w:tc>
        <w:tc>
          <w:tcPr>
            <w:tcW w:w="2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1.5</w:t>
            </w:r>
            <w:r>
              <w:rPr>
                <w:rFonts w:hint="eastAsia" w:ascii="宋体" w:hAnsi="宋体" w:eastAsia="宋体" w:cs="宋体"/>
                <w:szCs w:val="21"/>
                <w:lang w:bidi="ar"/>
              </w:rPr>
              <w:t>,</w:t>
            </w:r>
            <w:r>
              <w:rPr>
                <w:rFonts w:ascii="宋体" w:hAnsi="宋体" w:eastAsia="宋体" w:cs="宋体"/>
                <w:szCs w:val="21"/>
                <w:lang w:bidi="ar"/>
              </w:rPr>
              <w:t>3.0]</w:t>
            </w:r>
          </w:p>
        </w:tc>
      </w:tr>
    </w:tbl>
    <w:p>
      <w:pPr>
        <w:adjustRightInd w:val="0"/>
        <w:snapToGrid w:val="0"/>
        <w:spacing w:line="360" w:lineRule="auto"/>
        <w:rPr>
          <w:rFonts w:ascii="宋体" w:hAnsi="宋体" w:eastAsia="宋体" w:cs="宋体"/>
          <w:szCs w:val="21"/>
          <w:lang w:bidi="ar"/>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pPr>
        <w:adjustRightInd w:val="0"/>
        <w:snapToGrid w:val="0"/>
        <w:spacing w:line="360" w:lineRule="auto"/>
        <w:rPr>
          <w:rFonts w:ascii="宋体" w:hAnsi="宋体" w:eastAsia="宋体" w:cs="宋体"/>
          <w:szCs w:val="21"/>
        </w:rPr>
      </w:pPr>
      <w:r>
        <w:rPr>
          <w:rFonts w:ascii="宋体" w:hAnsi="宋体" w:eastAsia="宋体" w:cs="宋体"/>
          <w:szCs w:val="21"/>
          <w:lang w:bidi="ar"/>
        </w:rPr>
        <w:t>6</w:t>
      </w:r>
      <w:r>
        <w:rPr>
          <w:rFonts w:hint="eastAsia" w:ascii="宋体" w:hAnsi="宋体" w:eastAsia="宋体" w:cs="宋体"/>
          <w:szCs w:val="21"/>
          <w:lang w:bidi="ar"/>
        </w:rPr>
        <w:t>、预期赔付率调整系数（F</w:t>
      </w:r>
      <w:r>
        <w:rPr>
          <w:rFonts w:ascii="宋体" w:hAnsi="宋体" w:eastAsia="宋体" w:cs="宋体"/>
          <w:szCs w:val="21"/>
          <w:lang w:bidi="ar"/>
        </w:rPr>
        <w:t>6</w:t>
      </w:r>
      <w:r>
        <w:rPr>
          <w:rFonts w:hint="eastAsia" w:ascii="宋体" w:hAnsi="宋体" w:eastAsia="宋体" w:cs="宋体"/>
          <w:szCs w:val="21"/>
          <w:lang w:bidi="ar"/>
        </w:rPr>
        <w:t>）</w:t>
      </w:r>
    </w:p>
    <w:tbl>
      <w:tblPr>
        <w:tblStyle w:val="7"/>
        <w:tblW w:w="5217" w:type="dxa"/>
        <w:jc w:val="center"/>
        <w:tblLayout w:type="fixed"/>
        <w:tblCellMar>
          <w:top w:w="0" w:type="dxa"/>
          <w:left w:w="108" w:type="dxa"/>
          <w:bottom w:w="0" w:type="dxa"/>
          <w:right w:w="108" w:type="dxa"/>
        </w:tblCellMar>
      </w:tblPr>
      <w:tblGrid>
        <w:gridCol w:w="3119"/>
        <w:gridCol w:w="2098"/>
      </w:tblGrid>
      <w:tr>
        <w:tblPrEx>
          <w:tblCellMar>
            <w:top w:w="0" w:type="dxa"/>
            <w:left w:w="108" w:type="dxa"/>
            <w:bottom w:w="0" w:type="dxa"/>
            <w:right w:w="108" w:type="dxa"/>
          </w:tblCellMar>
        </w:tblPrEx>
        <w:trPr>
          <w:trHeight w:val="300" w:hRule="atLeast"/>
          <w:jc w:val="center"/>
        </w:trPr>
        <w:tc>
          <w:tcPr>
            <w:tcW w:w="3119"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预期赔付率</w:t>
            </w:r>
          </w:p>
        </w:tc>
        <w:tc>
          <w:tcPr>
            <w:tcW w:w="2098"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300" w:hRule="atLeast"/>
          <w:jc w:val="center"/>
        </w:trPr>
        <w:tc>
          <w:tcPr>
            <w:tcW w:w="3119"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0%-30%</w:t>
            </w:r>
          </w:p>
        </w:tc>
        <w:tc>
          <w:tcPr>
            <w:tcW w:w="2098"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[0.5,0.7]</w:t>
            </w:r>
          </w:p>
        </w:tc>
      </w:tr>
      <w:tr>
        <w:tblPrEx>
          <w:tblCellMar>
            <w:top w:w="0" w:type="dxa"/>
            <w:left w:w="108" w:type="dxa"/>
            <w:bottom w:w="0" w:type="dxa"/>
            <w:right w:w="108" w:type="dxa"/>
          </w:tblCellMar>
        </w:tblPrEx>
        <w:trPr>
          <w:trHeight w:val="300" w:hRule="atLeast"/>
          <w:jc w:val="center"/>
        </w:trPr>
        <w:tc>
          <w:tcPr>
            <w:tcW w:w="3119"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30%（</w:t>
            </w:r>
            <w:r>
              <w:rPr>
                <w:rFonts w:hint="eastAsia" w:ascii="宋体" w:hAnsi="宋体" w:eastAsia="宋体" w:cs="宋体"/>
                <w:szCs w:val="21"/>
                <w:lang w:bidi="ar"/>
              </w:rPr>
              <w:t>不</w:t>
            </w:r>
            <w:r>
              <w:rPr>
                <w:rFonts w:ascii="宋体" w:hAnsi="宋体" w:eastAsia="宋体" w:cs="宋体"/>
                <w:szCs w:val="21"/>
                <w:lang w:bidi="ar"/>
              </w:rPr>
              <w:t>含）-50%</w:t>
            </w:r>
          </w:p>
        </w:tc>
        <w:tc>
          <w:tcPr>
            <w:tcW w:w="2098"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300" w:hRule="atLeast"/>
          <w:jc w:val="center"/>
        </w:trPr>
        <w:tc>
          <w:tcPr>
            <w:tcW w:w="3119"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50%（</w:t>
            </w:r>
            <w:r>
              <w:rPr>
                <w:rFonts w:hint="eastAsia" w:ascii="宋体" w:hAnsi="宋体" w:eastAsia="宋体" w:cs="宋体"/>
                <w:szCs w:val="21"/>
                <w:lang w:bidi="ar"/>
              </w:rPr>
              <w:t>不</w:t>
            </w:r>
            <w:r>
              <w:rPr>
                <w:rFonts w:ascii="宋体" w:hAnsi="宋体" w:eastAsia="宋体" w:cs="宋体"/>
                <w:szCs w:val="21"/>
                <w:lang w:bidi="ar"/>
              </w:rPr>
              <w:t>含）-80%</w:t>
            </w:r>
          </w:p>
        </w:tc>
        <w:tc>
          <w:tcPr>
            <w:tcW w:w="2098"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(0.9,1.5]</w:t>
            </w:r>
          </w:p>
        </w:tc>
      </w:tr>
      <w:tr>
        <w:tblPrEx>
          <w:tblCellMar>
            <w:top w:w="0" w:type="dxa"/>
            <w:left w:w="108" w:type="dxa"/>
            <w:bottom w:w="0" w:type="dxa"/>
            <w:right w:w="108" w:type="dxa"/>
          </w:tblCellMar>
        </w:tblPrEx>
        <w:trPr>
          <w:trHeight w:val="300" w:hRule="atLeast"/>
          <w:jc w:val="center"/>
        </w:trPr>
        <w:tc>
          <w:tcPr>
            <w:tcW w:w="3119"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80%以上</w:t>
            </w:r>
          </w:p>
        </w:tc>
        <w:tc>
          <w:tcPr>
            <w:tcW w:w="2098"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(1.5,2.0]</w:t>
            </w:r>
          </w:p>
        </w:tc>
      </w:tr>
    </w:tbl>
    <w:p>
      <w:pPr>
        <w:spacing w:line="312" w:lineRule="auto"/>
        <w:rPr>
          <w:rFonts w:ascii="宋体" w:hAnsi="宋体" w:eastAsia="宋体" w:cs="宋体"/>
          <w:szCs w:val="21"/>
          <w:lang w:bidi="ar"/>
        </w:rPr>
      </w:pPr>
      <w:r>
        <w:rPr>
          <w:rFonts w:ascii="宋体" w:hAnsi="宋体" w:eastAsia="宋体" w:cs="宋体"/>
          <w:szCs w:val="21"/>
          <w:lang w:bidi="ar"/>
        </w:rPr>
        <w:t>7</w:t>
      </w:r>
      <w:r>
        <w:rPr>
          <w:rFonts w:hint="eastAsia" w:ascii="宋体" w:hAnsi="宋体" w:eastAsia="宋体" w:cs="宋体"/>
          <w:szCs w:val="21"/>
          <w:lang w:bidi="ar"/>
        </w:rPr>
        <w:t>、</w:t>
      </w:r>
      <w:r>
        <w:rPr>
          <w:rFonts w:ascii="宋体" w:hAnsi="宋体" w:eastAsia="宋体" w:cs="宋体"/>
          <w:szCs w:val="21"/>
          <w:lang w:bidi="ar"/>
        </w:rPr>
        <w:t>渠道</w:t>
      </w:r>
      <w:r>
        <w:rPr>
          <w:rFonts w:hint="eastAsia" w:ascii="宋体" w:hAnsi="宋体" w:eastAsia="宋体" w:cs="宋体"/>
          <w:szCs w:val="21"/>
          <w:lang w:bidi="ar"/>
        </w:rPr>
        <w:t>销售成本</w:t>
      </w:r>
      <w:r>
        <w:rPr>
          <w:rFonts w:ascii="宋体" w:hAnsi="宋体" w:eastAsia="宋体" w:cs="宋体"/>
          <w:szCs w:val="21"/>
          <w:lang w:bidi="ar"/>
        </w:rPr>
        <w:t>调整系数</w:t>
      </w:r>
      <w:r>
        <w:rPr>
          <w:rFonts w:hint="eastAsia" w:ascii="宋体" w:hAnsi="宋体" w:eastAsia="宋体" w:cs="宋体"/>
          <w:szCs w:val="21"/>
          <w:lang w:bidi="ar"/>
        </w:rPr>
        <w:t>（F7）</w:t>
      </w:r>
    </w:p>
    <w:tbl>
      <w:tblPr>
        <w:tblStyle w:val="7"/>
        <w:tblW w:w="0" w:type="auto"/>
        <w:jc w:val="center"/>
        <w:tblLayout w:type="fixed"/>
        <w:tblCellMar>
          <w:top w:w="0" w:type="dxa"/>
          <w:left w:w="108" w:type="dxa"/>
          <w:bottom w:w="0" w:type="dxa"/>
          <w:right w:w="108" w:type="dxa"/>
        </w:tblCellMar>
      </w:tblPr>
      <w:tblGrid>
        <w:gridCol w:w="2925"/>
        <w:gridCol w:w="2890"/>
      </w:tblGrid>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渠道</w:t>
            </w:r>
            <w:r>
              <w:rPr>
                <w:rFonts w:hint="eastAsia" w:ascii="宋体" w:hAnsi="宋体" w:eastAsia="宋体" w:cs="宋体"/>
                <w:szCs w:val="21"/>
                <w:lang w:bidi="ar"/>
              </w:rPr>
              <w:t>销售成本</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调整系数</w:t>
            </w:r>
          </w:p>
        </w:tc>
      </w:tr>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渠道销售成本较低</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0.9</w:t>
            </w:r>
          </w:p>
        </w:tc>
      </w:tr>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渠道销售成本中等</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1.0</w:t>
            </w:r>
          </w:p>
        </w:tc>
      </w:tr>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渠道销售成本较高</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1.15</w:t>
            </w:r>
          </w:p>
        </w:tc>
      </w:tr>
    </w:tbl>
    <w:p>
      <w:pPr>
        <w:spacing w:line="312" w:lineRule="auto"/>
        <w:rPr>
          <w:rFonts w:ascii="宋体" w:hAnsi="宋体" w:eastAsia="宋体" w:cs="宋体"/>
          <w:szCs w:val="21"/>
          <w:lang w:bidi="ar"/>
        </w:rPr>
      </w:pPr>
    </w:p>
    <w:p>
      <w:pPr>
        <w:spacing w:line="288" w:lineRule="auto"/>
        <w:ind w:firstLine="422" w:firstLineChars="200"/>
        <w:rPr>
          <w:rFonts w:ascii="宋体" w:hAnsi="宋体" w:eastAsia="宋体" w:cs="宋体"/>
          <w:b/>
          <w:szCs w:val="21"/>
        </w:rPr>
      </w:pPr>
      <w:r>
        <w:rPr>
          <w:rFonts w:hint="eastAsia" w:ascii="宋体" w:hAnsi="宋体" w:eastAsia="宋体" w:cs="宋体"/>
          <w:b/>
          <w:szCs w:val="21"/>
          <w:lang w:bidi="ar"/>
        </w:rPr>
        <w:t>三、保险费计算</w:t>
      </w:r>
    </w:p>
    <w:p>
      <w:pPr>
        <w:spacing w:line="288" w:lineRule="auto"/>
        <w:ind w:firstLine="420" w:firstLineChars="200"/>
        <w:jc w:val="left"/>
        <w:rPr>
          <w:rFonts w:ascii="宋体" w:hAnsi="宋体" w:eastAsia="宋体" w:cs="宋体"/>
          <w:bCs/>
          <w:szCs w:val="21"/>
        </w:rPr>
      </w:pPr>
      <w:r>
        <w:rPr>
          <w:rFonts w:hint="eastAsia" w:ascii="宋体" w:hAnsi="Calibri" w:eastAsia="宋体" w:cs="Times New Roman"/>
          <w:kern w:val="0"/>
          <w:szCs w:val="21"/>
        </w:rPr>
        <w:t>年保险费=保险金额×年基准费率×F</w:t>
      </w:r>
      <w:r>
        <w:rPr>
          <w:rFonts w:ascii="宋体" w:hAnsi="Calibri" w:eastAsia="宋体" w:cs="Times New Roman"/>
          <w:kern w:val="0"/>
          <w:szCs w:val="21"/>
        </w:rPr>
        <w:t>1</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2</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3</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4</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5</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6</w:t>
      </w:r>
      <w:r>
        <w:rPr>
          <w:rFonts w:hint="eastAsia" w:ascii="宋体" w:hAnsi="Calibri" w:eastAsia="宋体" w:cs="Times New Roman"/>
          <w:kern w:val="0"/>
          <w:szCs w:val="21"/>
        </w:rPr>
        <w:t>×</w:t>
      </w:r>
      <w:r>
        <w:rPr>
          <w:rFonts w:hint="eastAsia" w:ascii="宋体" w:hAnsi="宋体" w:eastAsia="宋体" w:cs="宋体"/>
          <w:szCs w:val="21"/>
          <w:lang w:bidi="ar"/>
        </w:rPr>
        <w:t>F</w:t>
      </w:r>
      <w:r>
        <w:rPr>
          <w:rFonts w:ascii="宋体" w:hAnsi="宋体" w:eastAsia="宋体" w:cs="宋体"/>
          <w:szCs w:val="21"/>
          <w:lang w:bidi="ar"/>
        </w:rPr>
        <w:t>7</w:t>
      </w:r>
    </w:p>
    <w:p>
      <w:pPr>
        <w:spacing w:line="360" w:lineRule="auto"/>
        <w:ind w:firstLine="422" w:firstLineChars="200"/>
        <w:rPr>
          <w:rFonts w:ascii="宋体" w:hAnsi="宋体" w:eastAsia="宋体" w:cs="Times New Roman"/>
          <w:b/>
          <w:kern w:val="0"/>
        </w:rPr>
      </w:pPr>
      <w:r>
        <w:rPr>
          <w:rFonts w:hint="eastAsia" w:ascii="宋体" w:hAnsi="宋体" w:eastAsia="宋体" w:cs="Times New Roman"/>
          <w:b/>
          <w:kern w:val="0"/>
        </w:rPr>
        <w:t>四、</w:t>
      </w:r>
      <w:r>
        <w:rPr>
          <w:rFonts w:hint="eastAsia" w:ascii="宋体" w:hAnsi="宋体" w:eastAsia="宋体" w:cs="Arial"/>
          <w:b/>
          <w:bCs/>
          <w:szCs w:val="21"/>
        </w:rPr>
        <w:t>短期</w:t>
      </w:r>
      <w:r>
        <w:rPr>
          <w:rFonts w:hint="eastAsia" w:ascii="宋体" w:hAnsi="宋体" w:eastAsia="宋体" w:cs="Times New Roman"/>
          <w:b/>
          <w:kern w:val="0"/>
        </w:rPr>
        <w:t>费率表</w:t>
      </w:r>
    </w:p>
    <w:p>
      <w:pPr>
        <w:snapToGrid w:val="0"/>
        <w:spacing w:line="288" w:lineRule="auto"/>
        <w:ind w:firstLine="482"/>
        <w:rPr>
          <w:rFonts w:ascii="宋体" w:hAnsi="宋体" w:eastAsia="宋体" w:cs="Times New Roman"/>
          <w:kern w:val="0"/>
        </w:rPr>
      </w:pPr>
      <w:r>
        <w:rPr>
          <w:rFonts w:hint="eastAsia" w:ascii="宋体" w:hAnsi="宋体" w:eastAsia="宋体" w:cs="Times New Roman"/>
          <w:kern w:val="0"/>
        </w:rPr>
        <w:t>保险期间不足一年的，按以下标准计算短期保险费（按年保险费的百分比计算，不足一个月的按一个月计算）：</w:t>
      </w:r>
    </w:p>
    <w:tbl>
      <w:tblPr>
        <w:tblStyle w:val="7"/>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pPr>
        <w:widowControl/>
        <w:numPr>
          <w:ilvl w:val="255"/>
          <w:numId w:val="0"/>
        </w:numPr>
        <w:snapToGrid w:val="0"/>
        <w:spacing w:line="360" w:lineRule="auto"/>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1B5EBE"/>
    <w:rsid w:val="000042F1"/>
    <w:rsid w:val="00034A1B"/>
    <w:rsid w:val="00054C2F"/>
    <w:rsid w:val="00067978"/>
    <w:rsid w:val="000968DA"/>
    <w:rsid w:val="000A2BF5"/>
    <w:rsid w:val="000D0D74"/>
    <w:rsid w:val="000E23FB"/>
    <w:rsid w:val="000F3189"/>
    <w:rsid w:val="000F3A91"/>
    <w:rsid w:val="000F6296"/>
    <w:rsid w:val="001042F0"/>
    <w:rsid w:val="001068C1"/>
    <w:rsid w:val="00113B9C"/>
    <w:rsid w:val="00122BB5"/>
    <w:rsid w:val="001528F6"/>
    <w:rsid w:val="00155D1F"/>
    <w:rsid w:val="00170AE4"/>
    <w:rsid w:val="00180603"/>
    <w:rsid w:val="001812F0"/>
    <w:rsid w:val="00186DE2"/>
    <w:rsid w:val="00191E8B"/>
    <w:rsid w:val="00194150"/>
    <w:rsid w:val="00196CC0"/>
    <w:rsid w:val="001B5EBE"/>
    <w:rsid w:val="001E4604"/>
    <w:rsid w:val="001F113A"/>
    <w:rsid w:val="00203054"/>
    <w:rsid w:val="00214BF5"/>
    <w:rsid w:val="002230C5"/>
    <w:rsid w:val="002232A8"/>
    <w:rsid w:val="00226E2E"/>
    <w:rsid w:val="00230EC6"/>
    <w:rsid w:val="0025119D"/>
    <w:rsid w:val="0025158B"/>
    <w:rsid w:val="00251970"/>
    <w:rsid w:val="0026260B"/>
    <w:rsid w:val="00296C4B"/>
    <w:rsid w:val="002A10DC"/>
    <w:rsid w:val="002A6DEA"/>
    <w:rsid w:val="003027E7"/>
    <w:rsid w:val="00312204"/>
    <w:rsid w:val="003156AE"/>
    <w:rsid w:val="003161C0"/>
    <w:rsid w:val="0031785E"/>
    <w:rsid w:val="00324887"/>
    <w:rsid w:val="00326220"/>
    <w:rsid w:val="00331B57"/>
    <w:rsid w:val="00344A4B"/>
    <w:rsid w:val="003522BD"/>
    <w:rsid w:val="003B2C7B"/>
    <w:rsid w:val="003B6DFA"/>
    <w:rsid w:val="003C093E"/>
    <w:rsid w:val="003C7294"/>
    <w:rsid w:val="003C7598"/>
    <w:rsid w:val="003F5F42"/>
    <w:rsid w:val="00401115"/>
    <w:rsid w:val="00411F62"/>
    <w:rsid w:val="00413889"/>
    <w:rsid w:val="00420664"/>
    <w:rsid w:val="0042172B"/>
    <w:rsid w:val="0044434E"/>
    <w:rsid w:val="00450F24"/>
    <w:rsid w:val="00463755"/>
    <w:rsid w:val="004A6F1E"/>
    <w:rsid w:val="004B1634"/>
    <w:rsid w:val="004D0896"/>
    <w:rsid w:val="00523333"/>
    <w:rsid w:val="00534634"/>
    <w:rsid w:val="00536C9B"/>
    <w:rsid w:val="005534B8"/>
    <w:rsid w:val="00556D71"/>
    <w:rsid w:val="0056452F"/>
    <w:rsid w:val="00586F39"/>
    <w:rsid w:val="005A3F88"/>
    <w:rsid w:val="005A5A3B"/>
    <w:rsid w:val="005E62B5"/>
    <w:rsid w:val="00625293"/>
    <w:rsid w:val="00626D20"/>
    <w:rsid w:val="00640050"/>
    <w:rsid w:val="00653535"/>
    <w:rsid w:val="0067728A"/>
    <w:rsid w:val="006776F6"/>
    <w:rsid w:val="006870EC"/>
    <w:rsid w:val="006A70C9"/>
    <w:rsid w:val="006D0256"/>
    <w:rsid w:val="006F57F2"/>
    <w:rsid w:val="006F5B1B"/>
    <w:rsid w:val="00703904"/>
    <w:rsid w:val="007077E5"/>
    <w:rsid w:val="0072247B"/>
    <w:rsid w:val="00733C89"/>
    <w:rsid w:val="00734504"/>
    <w:rsid w:val="00737250"/>
    <w:rsid w:val="00744F3C"/>
    <w:rsid w:val="007809D7"/>
    <w:rsid w:val="007A7A0D"/>
    <w:rsid w:val="007B05B5"/>
    <w:rsid w:val="007B0B22"/>
    <w:rsid w:val="00802EAB"/>
    <w:rsid w:val="00813B8F"/>
    <w:rsid w:val="00817A3F"/>
    <w:rsid w:val="008374FE"/>
    <w:rsid w:val="008436A9"/>
    <w:rsid w:val="00856070"/>
    <w:rsid w:val="00870F1D"/>
    <w:rsid w:val="00890002"/>
    <w:rsid w:val="008A5F57"/>
    <w:rsid w:val="008A6422"/>
    <w:rsid w:val="008E56A9"/>
    <w:rsid w:val="008F7E02"/>
    <w:rsid w:val="009102FF"/>
    <w:rsid w:val="00922EDC"/>
    <w:rsid w:val="00960831"/>
    <w:rsid w:val="00967A1D"/>
    <w:rsid w:val="00970626"/>
    <w:rsid w:val="0099441D"/>
    <w:rsid w:val="009A18A2"/>
    <w:rsid w:val="009C5A90"/>
    <w:rsid w:val="00A03058"/>
    <w:rsid w:val="00A74A10"/>
    <w:rsid w:val="00A76A42"/>
    <w:rsid w:val="00A805B1"/>
    <w:rsid w:val="00A86317"/>
    <w:rsid w:val="00A877C7"/>
    <w:rsid w:val="00A97D8D"/>
    <w:rsid w:val="00AB01D2"/>
    <w:rsid w:val="00AB50EB"/>
    <w:rsid w:val="00AC31FE"/>
    <w:rsid w:val="00AE084A"/>
    <w:rsid w:val="00AE6938"/>
    <w:rsid w:val="00B25EF8"/>
    <w:rsid w:val="00B33DCC"/>
    <w:rsid w:val="00B54124"/>
    <w:rsid w:val="00B6728C"/>
    <w:rsid w:val="00B80580"/>
    <w:rsid w:val="00B81B91"/>
    <w:rsid w:val="00B84342"/>
    <w:rsid w:val="00B84BE6"/>
    <w:rsid w:val="00B872D0"/>
    <w:rsid w:val="00BB2DDE"/>
    <w:rsid w:val="00C03DEE"/>
    <w:rsid w:val="00C064DE"/>
    <w:rsid w:val="00C25A76"/>
    <w:rsid w:val="00C517D4"/>
    <w:rsid w:val="00C955A5"/>
    <w:rsid w:val="00CA5616"/>
    <w:rsid w:val="00CB0C5C"/>
    <w:rsid w:val="00CB6A12"/>
    <w:rsid w:val="00CD1720"/>
    <w:rsid w:val="00D129CC"/>
    <w:rsid w:val="00D134A8"/>
    <w:rsid w:val="00D327EA"/>
    <w:rsid w:val="00D405B7"/>
    <w:rsid w:val="00D433E6"/>
    <w:rsid w:val="00D46E2B"/>
    <w:rsid w:val="00D5434B"/>
    <w:rsid w:val="00D70335"/>
    <w:rsid w:val="00DC530A"/>
    <w:rsid w:val="00E0495F"/>
    <w:rsid w:val="00E075DA"/>
    <w:rsid w:val="00E1161B"/>
    <w:rsid w:val="00E27BB2"/>
    <w:rsid w:val="00E70AA2"/>
    <w:rsid w:val="00E84DE4"/>
    <w:rsid w:val="00E932C6"/>
    <w:rsid w:val="00EB30CA"/>
    <w:rsid w:val="00EB4AB8"/>
    <w:rsid w:val="00ED19A7"/>
    <w:rsid w:val="00ED3844"/>
    <w:rsid w:val="00ED7A77"/>
    <w:rsid w:val="00F32990"/>
    <w:rsid w:val="00F43626"/>
    <w:rsid w:val="00F85C43"/>
    <w:rsid w:val="00FC115E"/>
    <w:rsid w:val="00FD327B"/>
    <w:rsid w:val="00FE5338"/>
    <w:rsid w:val="049802FF"/>
    <w:rsid w:val="090454F6"/>
    <w:rsid w:val="0CF6195F"/>
    <w:rsid w:val="0D3E5E25"/>
    <w:rsid w:val="0E7E6622"/>
    <w:rsid w:val="0EBB12A8"/>
    <w:rsid w:val="127B7AEC"/>
    <w:rsid w:val="13064CE5"/>
    <w:rsid w:val="135950FD"/>
    <w:rsid w:val="14645F9B"/>
    <w:rsid w:val="16A44BEC"/>
    <w:rsid w:val="19DB4ABE"/>
    <w:rsid w:val="19F13CB5"/>
    <w:rsid w:val="1A2A760D"/>
    <w:rsid w:val="1A66082C"/>
    <w:rsid w:val="1E29229C"/>
    <w:rsid w:val="20511636"/>
    <w:rsid w:val="22855A31"/>
    <w:rsid w:val="23540439"/>
    <w:rsid w:val="24632F04"/>
    <w:rsid w:val="279C1B60"/>
    <w:rsid w:val="29F27AD8"/>
    <w:rsid w:val="2B8A3F87"/>
    <w:rsid w:val="2D9E07C0"/>
    <w:rsid w:val="300A19EA"/>
    <w:rsid w:val="30AA3DBF"/>
    <w:rsid w:val="31AF5519"/>
    <w:rsid w:val="31DA5E20"/>
    <w:rsid w:val="32CD27CF"/>
    <w:rsid w:val="35530566"/>
    <w:rsid w:val="38AA2195"/>
    <w:rsid w:val="38F77345"/>
    <w:rsid w:val="3A3559C6"/>
    <w:rsid w:val="3C583032"/>
    <w:rsid w:val="3D767D44"/>
    <w:rsid w:val="3DD305AA"/>
    <w:rsid w:val="3E5D51F2"/>
    <w:rsid w:val="40DB3913"/>
    <w:rsid w:val="413150FF"/>
    <w:rsid w:val="42424583"/>
    <w:rsid w:val="42F2770A"/>
    <w:rsid w:val="47C22C96"/>
    <w:rsid w:val="4C410F0C"/>
    <w:rsid w:val="4C44409D"/>
    <w:rsid w:val="4F81701C"/>
    <w:rsid w:val="50147BF7"/>
    <w:rsid w:val="50C17863"/>
    <w:rsid w:val="516B686C"/>
    <w:rsid w:val="51E76B1F"/>
    <w:rsid w:val="54EE287A"/>
    <w:rsid w:val="55860FE4"/>
    <w:rsid w:val="58C63C68"/>
    <w:rsid w:val="5A6C2FE9"/>
    <w:rsid w:val="5B6F2DB1"/>
    <w:rsid w:val="5C327970"/>
    <w:rsid w:val="5C4012F9"/>
    <w:rsid w:val="5CB9712A"/>
    <w:rsid w:val="5F685328"/>
    <w:rsid w:val="5FEA94CC"/>
    <w:rsid w:val="62E16E47"/>
    <w:rsid w:val="63190B09"/>
    <w:rsid w:val="63AD43A2"/>
    <w:rsid w:val="64933331"/>
    <w:rsid w:val="667B7407"/>
    <w:rsid w:val="66B05188"/>
    <w:rsid w:val="68A35D74"/>
    <w:rsid w:val="68B97737"/>
    <w:rsid w:val="6ACC1485"/>
    <w:rsid w:val="6D11423C"/>
    <w:rsid w:val="6DE154B6"/>
    <w:rsid w:val="70770858"/>
    <w:rsid w:val="724C4D86"/>
    <w:rsid w:val="73351CBE"/>
    <w:rsid w:val="75AD03B6"/>
    <w:rsid w:val="788662B6"/>
    <w:rsid w:val="79F006ED"/>
    <w:rsid w:val="7C077F70"/>
    <w:rsid w:val="7D387D68"/>
    <w:rsid w:val="7D7FEFB8"/>
    <w:rsid w:val="7F7B122A"/>
    <w:rsid w:val="7FE34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2"/>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6">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styleId="17">
    <w:name w:val="List Paragraph"/>
    <w:basedOn w:val="1"/>
    <w:qFormat/>
    <w:uiPriority w:val="99"/>
    <w:pPr>
      <w:ind w:firstLine="420" w:firstLineChars="200"/>
    </w:pPr>
  </w:style>
  <w:style w:type="table" w:customStyle="1" w:styleId="18">
    <w:name w:val="网格型1"/>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网格型2"/>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修订3"/>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1">
    <w:name w:val="批注文字 字符"/>
    <w:basedOn w:val="9"/>
    <w:link w:val="2"/>
    <w:qFormat/>
    <w:uiPriority w:val="99"/>
    <w:rPr>
      <w:rFonts w:asciiTheme="minorHAnsi" w:hAnsiTheme="minorHAnsi" w:eastAsiaTheme="minorEastAsia" w:cstheme="minorBidi"/>
      <w:kern w:val="2"/>
      <w:sz w:val="21"/>
      <w:szCs w:val="22"/>
    </w:rPr>
  </w:style>
  <w:style w:type="character" w:customStyle="1" w:styleId="22">
    <w:name w:val="批注主题 字符"/>
    <w:basedOn w:val="21"/>
    <w:link w:val="6"/>
    <w:semiHidden/>
    <w:qFormat/>
    <w:uiPriority w:val="99"/>
    <w:rPr>
      <w:rFonts w:asciiTheme="minorHAnsi" w:hAnsiTheme="minorHAnsi" w:eastAsiaTheme="minorEastAsia" w:cstheme="minorBidi"/>
      <w:b/>
      <w:bCs/>
      <w:kern w:val="2"/>
      <w:sz w:val="21"/>
      <w:szCs w:val="22"/>
    </w:rPr>
  </w:style>
  <w:style w:type="paragraph" w:customStyle="1" w:styleId="23">
    <w:name w:val="修订4"/>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645</Words>
  <Characters>888</Characters>
  <Lines>7</Lines>
  <Paragraphs>2</Paragraphs>
  <TotalTime>1</TotalTime>
  <ScaleCrop>false</ScaleCrop>
  <LinksUpToDate>false</LinksUpToDate>
  <CharactersWithSpaces>888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2020-02-15T23:24:00Z</dcterms:created>
  <dc:creator>林男 曹</dc:creator>
  <cp:lastModifiedBy>Zixuan Shen</cp:lastModifiedBy>
  <dcterms:modified xsi:type="dcterms:W3CDTF">2023-03-02T08:03:33Z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5889405B51D44F7EB002FD263BA1814D</vt:lpwstr>
  </property>
</Properties>
</file>