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sz w:val="28"/>
          <w:szCs w:val="28"/>
        </w:rPr>
      </w:pPr>
      <w:r>
        <w:rPr>
          <w:rFonts w:hint="eastAsia" w:ascii="宋体" w:hAnsi="宋体"/>
          <w:b/>
          <w:sz w:val="28"/>
          <w:szCs w:val="28"/>
        </w:rPr>
        <w:t>华农财产保险股份有限公司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sz w:val="28"/>
          <w:szCs w:val="28"/>
        </w:rPr>
      </w:pPr>
      <w:r>
        <w:rPr>
          <w:rFonts w:hint="eastAsia" w:ascii="宋体" w:hAnsi="宋体"/>
          <w:b/>
          <w:sz w:val="28"/>
          <w:szCs w:val="28"/>
        </w:rPr>
        <w:t>食品安全责任保险条款（2</w:t>
      </w:r>
      <w:r>
        <w:rPr>
          <w:rFonts w:ascii="宋体" w:hAnsi="宋体"/>
          <w:b/>
          <w:sz w:val="28"/>
          <w:szCs w:val="28"/>
        </w:rPr>
        <w:t>024</w:t>
      </w:r>
      <w:r>
        <w:rPr>
          <w:rFonts w:hint="eastAsia" w:ascii="宋体" w:hAnsi="宋体"/>
          <w:b/>
          <w:sz w:val="28"/>
          <w:szCs w:val="28"/>
        </w:rPr>
        <w:t>版）</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default" w:ascii="宋体" w:hAnsi="宋体" w:eastAsia="宋体"/>
          <w:b/>
          <w:szCs w:val="21"/>
          <w:lang w:val="en-US" w:eastAsia="zh-CN"/>
        </w:rPr>
      </w:pPr>
      <w:r>
        <w:rPr>
          <w:rFonts w:hint="eastAsia" w:ascii="宋体" w:hAnsi="宋体"/>
          <w:b/>
          <w:szCs w:val="21"/>
          <w:lang w:val="en-US" w:eastAsia="zh-CN"/>
        </w:rPr>
        <w:t>注册</w:t>
      </w:r>
      <w:bookmarkStart w:id="7" w:name="_GoBack"/>
      <w:r>
        <w:rPr>
          <w:rFonts w:hint="eastAsia" w:ascii="宋体" w:hAnsi="宋体"/>
          <w:b/>
          <w:szCs w:val="21"/>
          <w:lang w:val="en-US" w:eastAsia="zh-CN"/>
        </w:rPr>
        <w:t>编号：C00010130912024030642641</w:t>
      </w:r>
      <w:bookmarkEnd w:id="7"/>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总则</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szCs w:val="21"/>
        </w:rPr>
        <w:t>第一条</w:t>
      </w:r>
      <w:r>
        <w:rPr>
          <w:rFonts w:hint="eastAsia" w:ascii="宋体" w:hAnsi="宋体"/>
          <w:szCs w:val="21"/>
        </w:rPr>
        <w:t xml:space="preserve"> 本保险合同由保险条款、投保单、保险单、保险凭证以及批单组成。凡涉及本保险合同的约定，均应采用书面形式。</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szCs w:val="21"/>
        </w:rPr>
        <w:t xml:space="preserve">第二条 </w:t>
      </w:r>
      <w:r>
        <w:rPr>
          <w:rFonts w:hint="eastAsia" w:ascii="宋体" w:hAnsi="宋体"/>
          <w:szCs w:val="21"/>
        </w:rPr>
        <w:t>凡在中华人民共和国境内（</w:t>
      </w:r>
      <w:r>
        <w:rPr>
          <w:rFonts w:hint="eastAsia" w:ascii="宋体" w:hAnsi="宋体"/>
          <w:b/>
          <w:bCs/>
          <w:szCs w:val="21"/>
        </w:rPr>
        <w:t>不包括港澳台地区</w:t>
      </w:r>
      <w:r>
        <w:rPr>
          <w:rFonts w:hint="eastAsia" w:ascii="宋体" w:hAnsi="宋体"/>
          <w:szCs w:val="21"/>
        </w:rPr>
        <w:t>）依法设立并登记注册、依法取得食品生产、销售或餐饮服务经营许可证，有固定经营场所，从事食品生产、销售或餐饮服务的企业均可作为本保险合同的投保人和被保险人。</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保险责任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szCs w:val="21"/>
        </w:rPr>
        <w:t>第三条</w:t>
      </w:r>
      <w:r>
        <w:rPr>
          <w:rFonts w:hint="eastAsia" w:ascii="宋体" w:hAnsi="宋体"/>
          <w:szCs w:val="21"/>
        </w:rPr>
        <w:t xml:space="preserve"> 在保险期间或保险合同载明的追溯期内，被保险人在本保险合同列明的经营场所内生产、销售食品，或者现场提供与其经营范围相符的食品时，因疏忽或过失致使消费者食物中毒或其他食源性疾病或因食物中掺有异物，造成消费者人身伤亡或财产损失，受害人或其代理人在保险期间内首次向被保险人提出损害赔偿请求，依照中华人民共和国法律（</w:t>
      </w:r>
      <w:r>
        <w:rPr>
          <w:rFonts w:hint="eastAsia" w:ascii="宋体" w:hAnsi="宋体"/>
          <w:b/>
          <w:bCs/>
          <w:szCs w:val="21"/>
        </w:rPr>
        <w:t>不包括港澳台地区法律</w:t>
      </w:r>
      <w:r>
        <w:rPr>
          <w:rFonts w:hint="eastAsia" w:ascii="宋体" w:hAnsi="宋体"/>
          <w:szCs w:val="21"/>
        </w:rPr>
        <w:t>）应由被保险人承担的经济赔偿责任，保险人按照本保险合同约定负责赔偿。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szCs w:val="21"/>
        </w:rPr>
        <w:t>第四条</w:t>
      </w:r>
      <w:r>
        <w:rPr>
          <w:rFonts w:hint="eastAsia" w:ascii="宋体" w:hAnsi="宋体"/>
          <w:szCs w:val="21"/>
        </w:rPr>
        <w:t xml:space="preserve"> 保险事故发生后，被保险人因保险事故而被提起仲裁或者诉讼的，对应由被保险人支付的仲裁或诉讼费用以及事先经保险人书面同意支付的其它必要且合理的费用（以下统称“法律费用”），保险人按照本保险合同约定也负责赔偿。</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责任免除</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bCs/>
          <w:szCs w:val="21"/>
        </w:rPr>
        <w:t xml:space="preserve">第五条 </w:t>
      </w:r>
      <w:r>
        <w:rPr>
          <w:rFonts w:ascii="宋体" w:hAnsi="宋体"/>
          <w:b/>
          <w:szCs w:val="21"/>
        </w:rPr>
        <w:t>出现下列任一情形时，保险人不负责赔偿</w:t>
      </w:r>
      <w:r>
        <w:rPr>
          <w:rFonts w:hint="eastAsia" w:ascii="宋体" w:hAnsi="宋体"/>
          <w:b/>
          <w:szCs w:val="21"/>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（一）被保险人未取得食品生产、销售或餐饮服务经营许可证从事食品生产销售或餐饮服务经营活动的；</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（二）被保险人被吊销食品生产、销售或餐饮服务经营许可证后继续从事食品生产销售或餐饮服务经营活动的；</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（三）被保险人超越经营范围生产、销售或提供食品；</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（四）被保险人</w:t>
      </w:r>
      <w:r>
        <w:rPr>
          <w:rFonts w:hint="eastAsia" w:ascii="宋体" w:hAnsi="宋体" w:cs="仿宋_GB2312"/>
          <w:b/>
          <w:szCs w:val="21"/>
          <w:lang w:val="zh-CN"/>
        </w:rPr>
        <w:t>在本保险合同列明的经营场所外生产、销售或提供食品；</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（五）被保险人使用劣质的、未经国家有关部门批准使用或国家明令禁用的食品原料或非食用性原料、食品添加剂、营养强化剂或包装材料等来生产、销售或提供食品。</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第六条 下列原因造成的损失、费用和责任，保险人不负责赔偿：</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（一）投保人、被保险人及其代表的故意行为或重大过失；</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（二）战争、敌对行动、军事行为、武装冲突、罢工、骚乱、暴动、恐怖活动；</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（三）核辐射、核爆炸、核污染及其他放射性污染；</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（四）大气污染、土地污染、水污染及其他各种污染；</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（五）行政行为或司法行为；</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（六）地震、火山爆发、海啸、雷击、洪水、暴雨、台风、龙卷风、暴风、雪灾、雹灾、冰凌、泥石流、崖崩、地崩、突发性滑坡、地面突然下陷等自然灾害；</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（七）食品超过规定的保质期限；</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（八）</w:t>
      </w:r>
      <w:r>
        <w:rPr>
          <w:rFonts w:hint="eastAsia" w:ascii="宋体" w:hAnsi="宋体" w:cs="仿宋_GB2312"/>
          <w:b/>
          <w:szCs w:val="21"/>
          <w:lang w:val="zh-CN"/>
        </w:rPr>
        <w:t>专供婴幼儿</w:t>
      </w:r>
      <w:r>
        <w:rPr>
          <w:rFonts w:hint="eastAsia" w:ascii="宋体" w:hAnsi="宋体" w:cs="仿宋_GB2312"/>
          <w:b/>
          <w:szCs w:val="21"/>
        </w:rPr>
        <w:t>或其他特定人群</w:t>
      </w:r>
      <w:r>
        <w:rPr>
          <w:rFonts w:hint="eastAsia" w:ascii="宋体" w:hAnsi="宋体" w:cs="仿宋_GB2312"/>
          <w:b/>
          <w:szCs w:val="21"/>
          <w:lang w:val="zh-CN"/>
        </w:rPr>
        <w:t>的主、副食品不符合国务院卫生行政部门制定的营养标准；</w:t>
      </w:r>
    </w:p>
    <w:p>
      <w:pPr>
        <w:pStyle w:val="4"/>
        <w:keepNext w:val="0"/>
        <w:keepLines w:val="0"/>
        <w:pageBreakBefore w:val="0"/>
        <w:widowControl w:val="0"/>
        <w:kinsoku/>
        <w:wordWrap/>
        <w:overflowPunct/>
        <w:topLinePunct w:val="0"/>
        <w:bidi w:val="0"/>
        <w:adjustRightInd w:val="0"/>
        <w:snapToGrid w:val="0"/>
        <w:spacing w:after="0" w:line="360" w:lineRule="auto"/>
        <w:ind w:firstLine="422" w:firstLineChars="200"/>
        <w:textAlignment w:val="auto"/>
        <w:rPr>
          <w:rFonts w:ascii="宋体" w:hAnsi="宋体"/>
          <w:b/>
          <w:szCs w:val="21"/>
        </w:rPr>
      </w:pPr>
      <w:r>
        <w:rPr>
          <w:rFonts w:hint="eastAsia" w:ascii="宋体" w:hAnsi="宋体"/>
          <w:b/>
          <w:szCs w:val="21"/>
        </w:rPr>
        <w:t>（九）被保险人违反《中华人民共和国食品安全法》的规定，雇佣患有国务院卫生行政部门规定的有碍食品安全的疾病的人员，参加接触直接入口食品的工作。</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bCs/>
          <w:szCs w:val="21"/>
        </w:rPr>
        <w:t xml:space="preserve">第七条  </w:t>
      </w:r>
      <w:r>
        <w:rPr>
          <w:rFonts w:hint="eastAsia" w:ascii="宋体" w:hAnsi="宋体"/>
          <w:b/>
          <w:szCs w:val="21"/>
        </w:rPr>
        <w:t>下列损失、费用和责任，保险人不负责赔偿：</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（一）被保险人或其雇员的人身伤亡及其所有或管理的财产的损失；</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（二）被保险人应该承担的合同责任，但无合同存在时仍然应由被保险人承担的经济赔偿责任不在此限；</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 xml:space="preserve">（三）罚款、罚金及惩罚性赔偿； </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（四）精神损害赔偿；</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（五）间接损失；</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（六）投保人在投保前已经知道或可以合理预见的索赔产生的损失；</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（七）销售、运输、携带至中华人民共和国境外（包括港、澳、台）的食品所引起的责任；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（八）由食品引起的任何慢性病、代谢病，如糖尿病、高血压等所引起的责任；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（九）基因或转基因食品所引起的责任；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（十）食品保健功能的失效所引起的责任；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（十一）食品销毁、退换、回收、召回所造成的损失；</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（十二）食品本身的损失；</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（十三）由于消费者自身疾病、故意或重大过失行为所导致的任何损失；</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（十四）本保险合同中载明的免赔额，或按本保险合同载明的免赔率计算的免赔额。</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u w:val="single"/>
        </w:rPr>
      </w:pPr>
      <w:r>
        <w:rPr>
          <w:rFonts w:hint="eastAsia" w:ascii="宋体" w:hAnsi="宋体"/>
          <w:b/>
          <w:bCs/>
          <w:szCs w:val="21"/>
        </w:rPr>
        <w:t xml:space="preserve">第八条 </w:t>
      </w:r>
      <w:r>
        <w:rPr>
          <w:rFonts w:hint="eastAsia" w:ascii="宋体" w:hAnsi="宋体"/>
          <w:b/>
          <w:szCs w:val="21"/>
        </w:rPr>
        <w:t>其他不属于本保险合同所列的责任范围内的损失、费用和责任，保险人不负责赔偿。</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责任限额与免赔额（率）</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第九</w:t>
      </w:r>
      <w:r>
        <w:rPr>
          <w:rFonts w:hint="eastAsia" w:ascii="宋体" w:hAnsi="宋体"/>
          <w:b/>
          <w:szCs w:val="21"/>
        </w:rPr>
        <w:t>条</w:t>
      </w:r>
      <w:r>
        <w:rPr>
          <w:rFonts w:hint="eastAsia" w:ascii="宋体" w:hAnsi="宋体"/>
          <w:szCs w:val="21"/>
        </w:rPr>
        <w:t xml:space="preserve"> 责任限额包括每次事故</w:t>
      </w:r>
      <w:r>
        <w:rPr>
          <w:rFonts w:hint="eastAsia" w:ascii="宋体" w:hAnsi="宋体"/>
          <w:bCs/>
          <w:szCs w:val="21"/>
        </w:rPr>
        <w:t>责任限额</w:t>
      </w:r>
      <w:r>
        <w:rPr>
          <w:rFonts w:hint="eastAsia" w:ascii="宋体" w:hAnsi="宋体"/>
          <w:szCs w:val="21"/>
        </w:rPr>
        <w:t>、每次事故每人</w:t>
      </w:r>
      <w:r>
        <w:rPr>
          <w:rFonts w:hint="eastAsia" w:ascii="宋体" w:hAnsi="宋体"/>
          <w:bCs/>
          <w:szCs w:val="21"/>
        </w:rPr>
        <w:t>责任限额</w:t>
      </w:r>
      <w:r>
        <w:rPr>
          <w:rFonts w:hint="eastAsia" w:ascii="宋体" w:hAnsi="宋体"/>
          <w:szCs w:val="21"/>
        </w:rPr>
        <w:t>、累计责任限额，由投保人与保险人协商确定，并在本保险合同中载明。</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bookmarkStart w:id="0" w:name="OLE_LINK6"/>
      <w:r>
        <w:rPr>
          <w:rFonts w:hint="eastAsia" w:ascii="宋体" w:hAnsi="宋体"/>
          <w:b/>
          <w:bCs/>
          <w:szCs w:val="21"/>
        </w:rPr>
        <w:t xml:space="preserve">第十条 </w:t>
      </w:r>
      <w:r>
        <w:rPr>
          <w:rFonts w:hint="eastAsia" w:ascii="宋体" w:hAnsi="宋体"/>
          <w:b/>
          <w:szCs w:val="21"/>
        </w:rPr>
        <w:t>每次事故免赔额（率）由投保人与保险人在签订保险合同时协商确定，并在本保险合同中载明。</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ascii="宋体" w:hAnsi="宋体"/>
          <w:b/>
          <w:szCs w:val="21"/>
        </w:rPr>
      </w:pPr>
      <w:r>
        <w:rPr>
          <w:rFonts w:hint="eastAsia" w:ascii="宋体" w:hAnsi="宋体"/>
          <w:b/>
          <w:szCs w:val="21"/>
        </w:rPr>
        <w:t>同时约定了免赔额和免赔率的，免赔金额以免赔额和按照免赔率计算的金额二者高者为准。</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保险期间</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cs="仿宋_GB2312"/>
          <w:b/>
          <w:szCs w:val="21"/>
        </w:rPr>
        <w:t xml:space="preserve">第十一条 </w:t>
      </w:r>
      <w:r>
        <w:rPr>
          <w:rFonts w:hint="eastAsia" w:ascii="宋体" w:hAnsi="宋体"/>
          <w:szCs w:val="21"/>
        </w:rPr>
        <w:t>除另有约定外，保险期间为一年，以保险单载明的起讫时间为准。</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保险费</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bCs/>
          <w:szCs w:val="21"/>
        </w:rPr>
        <w:t xml:space="preserve">第十二条 </w:t>
      </w:r>
      <w:r>
        <w:rPr>
          <w:rFonts w:hint="eastAsia" w:ascii="宋体" w:hAnsi="宋体" w:cs="仿宋_GB2312"/>
          <w:szCs w:val="21"/>
        </w:rPr>
        <w:t>投保时，保险人按照保险期间内被保险人的预计生产额、销售额或预计营业收入预收保险费。</w:t>
      </w:r>
      <w:r>
        <w:rPr>
          <w:rFonts w:hint="eastAsia" w:ascii="宋体" w:hAnsi="宋体"/>
          <w:bCs/>
          <w:szCs w:val="21"/>
        </w:rPr>
        <w:t>保险期满后，被保险人应将保险期间内的生产额、销售额或营业收入书面通知保险人，作为计算实际保险费的依据。</w:t>
      </w:r>
      <w:r>
        <w:rPr>
          <w:rFonts w:hint="eastAsia" w:ascii="宋体" w:hAnsi="宋体"/>
          <w:b/>
          <w:szCs w:val="21"/>
        </w:rPr>
        <w:t>实际保险费若高于预收保险费，被保险人应补交其差额，</w:t>
      </w:r>
      <w:r>
        <w:rPr>
          <w:rFonts w:hint="eastAsia" w:ascii="宋体" w:hAnsi="宋体"/>
          <w:bCs/>
          <w:szCs w:val="21"/>
        </w:rPr>
        <w:t>反之，若预收保险费高于实际保险费，保险人退还其差额，</w:t>
      </w:r>
      <w:r>
        <w:rPr>
          <w:rFonts w:hint="eastAsia" w:ascii="宋体" w:hAnsi="宋体"/>
          <w:b/>
          <w:szCs w:val="21"/>
        </w:rPr>
        <w:t>但实际保险费不得低于本保险合同约定的最低保险费。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bCs/>
          <w:szCs w:val="21"/>
        </w:rPr>
      </w:pPr>
      <w:r>
        <w:rPr>
          <w:rFonts w:hint="eastAsia"/>
          <w:color w:val="000000"/>
          <w:szCs w:val="21"/>
          <w:shd w:val="clear" w:color="auto" w:fill="FFFFFF"/>
        </w:rPr>
        <w:t>保险人有权在保险期间内要求被保险人提供一定期限内的生产额、销售额或营业收入数据。保险人有权派员检查被保险人的有关帐册或记录并核实上述数据。</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保险人义务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bCs/>
          <w:szCs w:val="21"/>
        </w:rPr>
      </w:pPr>
      <w:r>
        <w:rPr>
          <w:rFonts w:hint="eastAsia" w:ascii="宋体" w:hAnsi="宋体"/>
          <w:b/>
          <w:bCs/>
          <w:szCs w:val="21"/>
        </w:rPr>
        <w:t xml:space="preserve">第十三条 </w:t>
      </w:r>
      <w:r>
        <w:rPr>
          <w:rFonts w:hint="eastAsia" w:ascii="宋体" w:hAnsi="宋体"/>
          <w:szCs w:val="21"/>
        </w:rPr>
        <w:t>本保险合同成立后，保险人应当及时向投保人签发保险单或其他保险凭证。</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14"/>
          <w:rFonts w:ascii="宋体" w:hAnsi="宋体"/>
          <w:szCs w:val="21"/>
        </w:rPr>
      </w:pPr>
      <w:r>
        <w:rPr>
          <w:rFonts w:hint="eastAsia" w:ascii="宋体" w:hAnsi="宋体"/>
          <w:b/>
          <w:bCs/>
          <w:szCs w:val="21"/>
        </w:rPr>
        <w:t xml:space="preserve">第十四条 </w:t>
      </w:r>
      <w:r>
        <w:rPr>
          <w:rStyle w:val="14"/>
          <w:rFonts w:hint="eastAsia" w:ascii="宋体" w:hAnsi="宋体"/>
          <w:szCs w:val="21"/>
        </w:rPr>
        <w:t>保险人按照</w:t>
      </w:r>
      <w:r>
        <w:rPr>
          <w:rFonts w:hint="eastAsia" w:ascii="宋体" w:hAnsi="宋体"/>
          <w:szCs w:val="21"/>
        </w:rPr>
        <w:t>第二十四条</w:t>
      </w:r>
      <w:r>
        <w:rPr>
          <w:rStyle w:val="14"/>
          <w:rFonts w:hint="eastAsia" w:ascii="宋体" w:hAnsi="宋体"/>
          <w:szCs w:val="21"/>
        </w:rPr>
        <w:t>的约定，认为被保险人提供的有关索赔的证明和资料不完整的，应当及时一次性通知投保人、被保险人补充提供。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bCs/>
          <w:szCs w:val="21"/>
        </w:rPr>
      </w:pPr>
      <w:bookmarkStart w:id="1" w:name="OLE_LINK7"/>
      <w:r>
        <w:rPr>
          <w:rFonts w:hint="eastAsia" w:ascii="宋体" w:hAnsi="宋体"/>
          <w:b/>
          <w:bCs/>
          <w:szCs w:val="21"/>
        </w:rPr>
        <w:t>第十五条</w:t>
      </w:r>
      <w:bookmarkEnd w:id="1"/>
      <w:r>
        <w:rPr>
          <w:rFonts w:hint="eastAsia" w:ascii="宋体" w:hAnsi="宋体"/>
          <w:b/>
          <w:bCs/>
          <w:szCs w:val="21"/>
        </w:rPr>
        <w:t xml:space="preserve"> </w:t>
      </w:r>
      <w:r>
        <w:rPr>
          <w:rFonts w:hint="eastAsia" w:ascii="宋体" w:hAnsi="宋体"/>
          <w:bCs/>
          <w:szCs w:val="21"/>
        </w:rPr>
        <w:t>保险人收到被保险人的赔偿或者给付保险金的请求后，应当及时作出核定；</w:t>
      </w:r>
      <w:r>
        <w:rPr>
          <w:rFonts w:ascii="宋体" w:hAnsi="宋体"/>
          <w:bCs/>
          <w:szCs w:val="21"/>
        </w:rPr>
        <w:t>情形复杂的，应当在三十日内作出核定，但合同另有约定的除外。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bCs/>
          <w:szCs w:val="21"/>
        </w:rPr>
      </w:pPr>
      <w:r>
        <w:rPr>
          <w:rFonts w:ascii="宋体" w:hAnsi="宋体"/>
          <w:bCs/>
          <w:szCs w:val="21"/>
        </w:rPr>
        <w:t>保险人应当将核定结果通知被保险人</w:t>
      </w:r>
      <w:r>
        <w:rPr>
          <w:rFonts w:hint="eastAsia" w:ascii="宋体" w:hAnsi="宋体"/>
          <w:bCs/>
          <w:szCs w:val="21"/>
        </w:rPr>
        <w:t>；</w:t>
      </w:r>
      <w:r>
        <w:rPr>
          <w:rFonts w:ascii="宋体" w:hAnsi="宋体"/>
          <w:bCs/>
          <w:szCs w:val="21"/>
        </w:rPr>
        <w:t>对属于保险责任的，在与被保险人达成赔偿或者给付保险金的协议后十日内，履行赔偿或者给付保险金义务。保险合同对赔偿或者给付保险金的期限有约定的，保险人应当按照约定履行赔偿或者给付保险金义务。保险人依照前款约定作出核定后，对不属于保险责任的，应当自作出核定之日起三日内向被保险人发出拒绝给付保险金通知书，并说明理由。</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 xml:space="preserve">第十六条 </w:t>
      </w:r>
      <w:r>
        <w:rPr>
          <w:rStyle w:val="14"/>
          <w:rFonts w:hint="eastAsia" w:ascii="宋体" w:hAnsi="宋体"/>
          <w:szCs w:val="21"/>
        </w:rPr>
        <w:t>保险人自收到</w:t>
      </w:r>
      <w:r>
        <w:rPr>
          <w:rFonts w:hint="eastAsia" w:ascii="宋体" w:hAnsi="宋体"/>
          <w:szCs w:val="21"/>
        </w:rPr>
        <w:t>赔偿</w:t>
      </w:r>
      <w:r>
        <w:rPr>
          <w:rStyle w:val="14"/>
          <w:rFonts w:hint="eastAsia" w:ascii="宋体" w:hAnsi="宋体"/>
          <w:szCs w:val="21"/>
        </w:rPr>
        <w:t>保险金的请求和有关证明、资料之日起六十日内，对其赔偿保险金的数额不能确定的，应当根据已有证明和资料可以确定的数额先予支付；保险人最终确定赔偿的数额后，应当支付相应的差额。</w:t>
      </w:r>
      <w:r>
        <w:rPr>
          <w:rStyle w:val="15"/>
          <w:rFonts w:ascii="宋体" w:hAnsi="宋体"/>
          <w:szCs w:val="21"/>
        </w:rPr>
        <w:t> </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投保人、被保险人义务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第十七条</w:t>
      </w:r>
      <w:bookmarkStart w:id="2" w:name="OLE_LINK2"/>
      <w:bookmarkStart w:id="3" w:name="OLE_LINK1"/>
      <w:r>
        <w:rPr>
          <w:rFonts w:hint="eastAsia" w:ascii="宋体" w:hAnsi="宋体"/>
          <w:b/>
          <w:bCs/>
          <w:szCs w:val="21"/>
        </w:rPr>
        <w:t xml:space="preserve"> </w:t>
      </w:r>
      <w:r>
        <w:rPr>
          <w:rFonts w:hint="eastAsia" w:ascii="宋体" w:hAnsi="宋体"/>
          <w:szCs w:val="21"/>
        </w:rPr>
        <w:t>订立保险合同，保险人就保险标的或者被保险人的有关情况提出询问的，投保人应当如实告知。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投保人故意或者因重大过失未履行前款规定的如实告知义务，足以影响保险人决定是否同意承保或者提高保险费率的，保险人有权解除保险合同。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前款规定的合同解除权，自保险人知道有解除事由之日起，超过三十日不行使而消灭。</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投保人故意不履行如实告知义务的，保险人对于合同解除前发生的保险事故，不承担赔偿保险金的责任，并不退还保险费。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投保人因重大过失未履行如实告知义务，对保险事故的发生有严重影响的，保险人对于合同解除前发生的保险事故，不承担赔偿保险金的责任，但应当退还保险费。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保险人在合同订立时已经知道投保人未如实告知的情况的，保险人不得解除合同；发生保险事故的，保险人应当承担赔偿保险金的责任。</w:t>
      </w:r>
    </w:p>
    <w:bookmarkEnd w:id="2"/>
    <w:bookmarkEnd w:id="3"/>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第十八条</w:t>
      </w:r>
      <w:r>
        <w:rPr>
          <w:rFonts w:hint="eastAsia" w:ascii="宋体" w:hAnsi="宋体"/>
          <w:szCs w:val="21"/>
        </w:rPr>
        <w:t xml:space="preserve"> 除另有约定外，投保人应当在保险合同成立时交付保险费。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约定一次性交付保险费的，投保人未按约定交付保险费的，本保险合同不生效，保险人对本保险合同生效前发生的保险事故不承担保险责任。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约定分期交付保险费的，保险人按照保险事故发生前保险人实际收取保险费总额与投保人应当交付的保险费的比例承担保险责任</w:t>
      </w:r>
      <w:r>
        <w:rPr>
          <w:rFonts w:hint="eastAsia" w:ascii="宋体" w:hAnsi="宋体"/>
          <w:szCs w:val="21"/>
        </w:rPr>
        <w:t>，投保人应当交付的保险费是指截至保险事故发生时投保人按约定分期应该缴纳的保费总额。</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第十九条</w:t>
      </w:r>
      <w:r>
        <w:rPr>
          <w:rFonts w:hint="eastAsia" w:ascii="宋体" w:hAnsi="宋体"/>
          <w:szCs w:val="21"/>
        </w:rPr>
        <w:t xml:space="preserve"> 被保险人应严格遵守国家及政府有关部门关于食品安全等方面的法律、行政法规和部门规章，加强管理，采取合理的预防措施，尽力避免或减少责任事故的发生。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
          <w:szCs w:val="21"/>
        </w:rPr>
      </w:pPr>
      <w:r>
        <w:rPr>
          <w:rFonts w:hint="eastAsia" w:ascii="宋体" w:hAnsi="宋体"/>
          <w:szCs w:val="21"/>
        </w:rPr>
        <w:t>保险人可以对被保险人遵守前款约定的情况进行检查，向投保人、被保险人提出消除不安全因素和隐患的书面建议，投保人、被保险人应当认真付诸实施。</w:t>
      </w:r>
      <w:r>
        <w:rPr>
          <w:rFonts w:hint="eastAsia" w:ascii="宋体" w:hAnsi="宋体"/>
          <w:b/>
          <w:snapToGrid w:val="0"/>
          <w:kern w:val="0"/>
          <w:szCs w:val="21"/>
        </w:rPr>
        <w:t>但前述检查并不构成保险人对被保险人的任何承诺。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投保人、被保险人未按照约定履行上述安全义务的，保险人有权要求增加保险费或者解除合同。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bCs/>
          <w:szCs w:val="21"/>
        </w:rPr>
        <w:t>第二十条</w:t>
      </w:r>
      <w:r>
        <w:rPr>
          <w:rFonts w:hint="eastAsia" w:ascii="宋体" w:hAnsi="宋体"/>
          <w:szCs w:val="21"/>
        </w:rPr>
        <w:t xml:space="preserve"> </w:t>
      </w:r>
      <w:r>
        <w:rPr>
          <w:rFonts w:hint="eastAsia" w:ascii="宋体" w:hAnsi="宋体"/>
          <w:b/>
          <w:szCs w:val="21"/>
        </w:rPr>
        <w:t>在保险合同有效期内，保险标的的危险程度显著增加的，被保险人应当及时通知保险人，保险人可以根据费率表的规定增加保险费或者解除合同。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被保险人未履行前款约定的通知义务的，因保险标的的危险程度显著增加而发生的保险事故，保险人不承担赔偿保险金的责任。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第二十一条</w:t>
      </w:r>
      <w:r>
        <w:rPr>
          <w:rFonts w:hint="eastAsia" w:ascii="宋体" w:hAnsi="宋体"/>
          <w:szCs w:val="21"/>
        </w:rPr>
        <w:t xml:space="preserve"> 知道保险事故发生后，被保险人应该：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（一）</w:t>
      </w:r>
      <w:r>
        <w:rPr>
          <w:rFonts w:hint="eastAsia" w:ascii="宋体" w:hAnsi="宋体"/>
          <w:b/>
          <w:szCs w:val="21"/>
        </w:rPr>
        <w:t>尽力采取必要且合理的措施，防止或减少损失，否则，对因此扩大的损失，保险人不承担赔偿责任；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14"/>
          <w:rFonts w:ascii="宋体" w:hAnsi="宋体"/>
          <w:szCs w:val="21"/>
        </w:rPr>
      </w:pPr>
      <w:r>
        <w:rPr>
          <w:rFonts w:hint="eastAsia" w:ascii="宋体" w:hAnsi="宋体"/>
          <w:szCs w:val="21"/>
        </w:rPr>
        <w:t>（二）及时通知保险人，并书面说明事故发生的原因、经过和损失情况；</w:t>
      </w:r>
      <w:r>
        <w:rPr>
          <w:rStyle w:val="14"/>
          <w:rFonts w:ascii="宋体" w:hAnsi="宋体"/>
          <w:b/>
          <w:szCs w:val="21"/>
        </w:rPr>
        <w:t>故意或者因重大过失未及时通知，致使保险事故的性质、原因、损失程度等难以确定的，保险人对无法确定的部分，不承担赔偿责任，</w:t>
      </w:r>
      <w:r>
        <w:rPr>
          <w:rStyle w:val="14"/>
          <w:rFonts w:ascii="宋体" w:hAnsi="宋体"/>
          <w:szCs w:val="21"/>
        </w:rPr>
        <w:t>但保险人通过其他途径已经及时知道或者应当及时知道保险事故发生的除外</w:t>
      </w:r>
      <w:r>
        <w:rPr>
          <w:rStyle w:val="14"/>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（三）保护事故现场，允许并且协助保险人进行事故调查；</w:t>
      </w:r>
      <w:r>
        <w:rPr>
          <w:rFonts w:hint="eastAsia" w:ascii="宋体" w:hAnsi="宋体"/>
          <w:b/>
          <w:szCs w:val="21"/>
        </w:rPr>
        <w:t>对于拒绝或者妨碍保险人进行事故调查导致无法确定事故原因或核实损失情况的，保险人对无法确定或核实的部分，不承担赔偿责任；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rPr>
        <w:t>（四）涉及违法、犯罪的，应立即向公安部门报案，</w:t>
      </w:r>
      <w:r>
        <w:rPr>
          <w:rFonts w:hint="eastAsia" w:ascii="宋体" w:hAnsi="宋体"/>
          <w:b/>
          <w:szCs w:val="21"/>
        </w:rPr>
        <w:t>否则，对因此扩大的损失，保险人不承担赔偿责任。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bCs/>
          <w:szCs w:val="21"/>
        </w:rPr>
        <w:t>第二十二条</w:t>
      </w:r>
      <w:r>
        <w:rPr>
          <w:rFonts w:hint="eastAsia" w:ascii="宋体" w:hAnsi="宋体"/>
          <w:szCs w:val="21"/>
        </w:rPr>
        <w:t xml:space="preserve"> 被保险人收到受害人或其代理人的损害赔偿请求时，应立即通知保险人。</w:t>
      </w:r>
      <w:r>
        <w:rPr>
          <w:rStyle w:val="14"/>
          <w:rFonts w:hint="eastAsia" w:ascii="宋体" w:hAnsi="宋体"/>
          <w:b/>
          <w:szCs w:val="21"/>
        </w:rPr>
        <w:t>未经保险人书面同意，被保险人对受害人作出的任何承诺、拒绝、出价、约定、付款或赔偿，保险人不受其约束。对于被保险人自行承诺或支付的赔偿金额，保险人有权重新核定，不属于本保险责任范围或超出对应责任限额的，保险人不承担赔偿责任。在处理索赔过程中，保险人有权自行处理由其承担最终赔偿责任的任何索赔案件，被保险人有义务向保险人提供其所能提供的资料和协助</w:t>
      </w:r>
      <w:r>
        <w:rPr>
          <w:rFonts w:hint="eastAsia" w:ascii="宋体" w:hAnsi="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第二十三条</w:t>
      </w:r>
      <w:r>
        <w:rPr>
          <w:rFonts w:hint="eastAsia" w:ascii="宋体" w:hAnsi="宋体"/>
          <w:szCs w:val="21"/>
        </w:rPr>
        <w:t xml:space="preserve"> 被保险人获悉可能发生诉讼、仲裁时，应立即以书面形式通知保险人；接到人民法院传票或其他法律文书后，应将其副本及时送交保险人。</w:t>
      </w:r>
      <w:r>
        <w:rPr>
          <w:rFonts w:hint="eastAsia" w:ascii="宋体" w:hAnsi="宋体"/>
          <w:b/>
          <w:szCs w:val="21"/>
        </w:rPr>
        <w:t>保险人有权以被保险人的名义处理有关诉讼或仲裁事宜，被保险人应提供有关文件，并给予必要的协助。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对因未及时提供上述通知或必要协助导致扩大的损失，保险人不承担赔偿责任。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第二十四条</w:t>
      </w:r>
      <w:r>
        <w:rPr>
          <w:rFonts w:hint="eastAsia" w:ascii="宋体" w:hAnsi="宋体"/>
          <w:szCs w:val="21"/>
        </w:rPr>
        <w:t xml:space="preserve"> 被保险人请求赔偿时，应向保险人提供下列证明和资料：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（一）保险合同凭证；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（二）被保险人或其代表填具的索赔申请书；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（三）受害人或其代理人向被保险人提出索赔的相关材料；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四）造成受害人人身伤害的，应当提供受害人的病历、诊断证明、医疗费等医疗原始单据；造成受害人伤残的，应当提供具备相关法律法规要求的伤残鉴定资格的医疗机构出具的伤残程度证明；造成受害人死亡的，应当提供公安机关或医疗机构出具的死亡证明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（五）造成受害人财产损失的，应包括损失、费用清单；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（六）被保险人与受害人所签订的赔偿协议书或和解书；经判决或仲裁的，应提供判决文书或仲裁裁决文书；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（七）投保人、被保险人所能提供的与确认保险事故的性质、原因、损失程度等有关的其他证明和资料。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被保险人未履行前款约定的索赔材料提供义务，导致保险人无法核实损失情况的，保险人对无法核实部分不承担赔偿责任。</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赔偿处理</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第二十五条</w:t>
      </w:r>
      <w:r>
        <w:rPr>
          <w:rFonts w:hint="eastAsia" w:ascii="宋体" w:hAnsi="宋体"/>
          <w:szCs w:val="21"/>
        </w:rPr>
        <w:t xml:space="preserve"> 保险人的赔偿以下列方式之一确定的被保险人的赔偿责任为基础：</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（一）被保险人和向其提出损害赔偿请求的受害人协商并经保险人认可；</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（二）仲裁机构裁决；</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（三）人民法院判决；</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（四）保险人认可的其它方式。</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bCs/>
          <w:szCs w:val="21"/>
        </w:rPr>
        <w:t xml:space="preserve">第二十六条 </w:t>
      </w:r>
      <w:r>
        <w:rPr>
          <w:rFonts w:hint="eastAsia" w:ascii="宋体" w:hAnsi="宋体"/>
          <w:b/>
          <w:szCs w:val="21"/>
        </w:rPr>
        <w:t>被保险人给受害人造成损害，被保险人未向该受害人赔偿的，保险人不负责向被保险人赔偿保险金。</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 xml:space="preserve">第二十七条 </w:t>
      </w:r>
      <w:r>
        <w:rPr>
          <w:rFonts w:hint="eastAsia" w:ascii="宋体" w:hAnsi="宋体"/>
          <w:szCs w:val="21"/>
        </w:rPr>
        <w:t>发生保险责任范围内的损失，保险人按以下方式计算赔偿：</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（一</w:t>
      </w:r>
      <w:r>
        <w:rPr>
          <w:rFonts w:hint="eastAsia" w:ascii="宋体" w:hAnsi="宋体"/>
          <w:b/>
          <w:szCs w:val="21"/>
        </w:rPr>
        <w:t>）对于每次事故造成的损失，保险人在每次事故责任限额内计算赔偿，其中对每人的赔偿金额不得超过每次事故每人责任限额，对每次事故承担的法律费用的赔偿金额不超过每次事故责任限额的10%，</w:t>
      </w:r>
      <w:r>
        <w:rPr>
          <w:rFonts w:hint="eastAsia" w:ascii="宋体" w:hAnsi="宋体"/>
          <w:szCs w:val="21"/>
        </w:rPr>
        <w:t>但本保险合同另有约定的除外；</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（二）</w:t>
      </w:r>
      <w:r>
        <w:rPr>
          <w:rFonts w:hint="eastAsia" w:ascii="宋体" w:hAnsi="宋体"/>
          <w:b/>
          <w:szCs w:val="21"/>
        </w:rPr>
        <w:t>在依据本条第（一）项计算的基础上，保险人在扣除每次事故免赔额后进行赔偿；</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b/>
          <w:szCs w:val="21"/>
        </w:rPr>
      </w:pPr>
      <w:r>
        <w:rPr>
          <w:rFonts w:hint="eastAsia" w:ascii="宋体" w:hAnsi="宋体"/>
          <w:szCs w:val="21"/>
        </w:rPr>
        <w:t>（三）</w:t>
      </w:r>
      <w:r>
        <w:rPr>
          <w:rFonts w:hint="eastAsia" w:ascii="宋体" w:hAnsi="宋体"/>
          <w:b/>
          <w:szCs w:val="21"/>
        </w:rPr>
        <w:t>在保险期间内，保险人对多次事故承担的本条款第三、四条规定的赔偿金额之和累计不超过累计责任限额。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ascii="宋体" w:hAnsi="宋体"/>
          <w:b/>
          <w:szCs w:val="21"/>
        </w:rPr>
      </w:pPr>
      <w:r>
        <w:rPr>
          <w:rFonts w:hint="eastAsia" w:ascii="宋体" w:hAnsi="宋体"/>
          <w:b/>
          <w:bCs/>
          <w:szCs w:val="21"/>
        </w:rPr>
        <w:t>第二十八条</w:t>
      </w:r>
      <w:r>
        <w:rPr>
          <w:rFonts w:hint="eastAsia" w:ascii="宋体" w:hAnsi="宋体"/>
          <w:bCs/>
          <w:szCs w:val="21"/>
        </w:rPr>
        <w:t xml:space="preserve"> 被保险人生产、销售的食品，或在餐饮场所现场提供的食品，</w:t>
      </w:r>
      <w:r>
        <w:rPr>
          <w:rFonts w:hint="eastAsia" w:ascii="宋体" w:hAnsi="宋体"/>
          <w:b/>
          <w:szCs w:val="21"/>
        </w:rPr>
        <w:t>由于同一事故造成多人的人身损害或财产损失的，应视为一次事故造成的损失。</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bookmarkStart w:id="4" w:name="OLE_LINK5"/>
      <w:r>
        <w:rPr>
          <w:rFonts w:hint="eastAsia" w:ascii="宋体" w:hAnsi="宋体"/>
          <w:b/>
          <w:bCs/>
          <w:szCs w:val="21"/>
        </w:rPr>
        <w:t>第二十九条</w:t>
      </w:r>
      <w:r>
        <w:rPr>
          <w:rFonts w:hint="eastAsia" w:ascii="宋体" w:hAnsi="宋体"/>
          <w:szCs w:val="21"/>
        </w:rPr>
        <w:t xml:space="preserve"> 发生保险事故时，</w:t>
      </w:r>
      <w:r>
        <w:rPr>
          <w:rFonts w:hint="eastAsia" w:ascii="宋体" w:hAnsi="宋体"/>
          <w:b/>
          <w:szCs w:val="21"/>
        </w:rPr>
        <w:t>如果被保险人的损失在有相同保障的其他保险项下也能够获得赔偿，则</w:t>
      </w:r>
      <w:bookmarkStart w:id="5" w:name="OLE_LINK3"/>
      <w:bookmarkStart w:id="6" w:name="OLE_LINK4"/>
      <w:r>
        <w:rPr>
          <w:rFonts w:hint="eastAsia" w:ascii="宋体" w:hAnsi="宋体"/>
          <w:b/>
          <w:szCs w:val="21"/>
        </w:rPr>
        <w:t>本保险人按照本保险合同的责任限额与其他保险合同及本保险合同的责任限额总和的比例承担赔偿责任。</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其他保险人应承担的赔偿金额，本保险人不负责垫付。</w:t>
      </w:r>
      <w:bookmarkEnd w:id="5"/>
      <w:bookmarkEnd w:id="6"/>
      <w:r>
        <w:rPr>
          <w:rFonts w:hint="eastAsia" w:ascii="宋体" w:hAnsi="宋体"/>
          <w:b/>
          <w:szCs w:val="21"/>
        </w:rPr>
        <w:t>若被保险人未如实告知导致保险人多支付赔偿金的，保险人有权向被保险人追回多支付的部分。</w:t>
      </w:r>
    </w:p>
    <w:bookmarkEnd w:id="4"/>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 xml:space="preserve">第三十条 </w:t>
      </w:r>
      <w:r>
        <w:rPr>
          <w:rFonts w:hint="eastAsia" w:ascii="宋体" w:hAnsi="宋体"/>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被保险人已经从有关责任方取得赔偿的，保险人赔偿保险金时，可以相应扣减被保险人已从有关责任方取得的赔偿金额。</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b/>
          <w:szCs w:val="21"/>
        </w:rPr>
      </w:pPr>
      <w:r>
        <w:rPr>
          <w:rFonts w:hint="eastAsia" w:ascii="宋体" w:hAnsi="宋体"/>
          <w:b/>
          <w:szCs w:val="21"/>
        </w:rPr>
        <w:t>保险事故发生后，在保险人未赔偿保险金之前，被保险人放弃对有关责任方请求赔偿权利的，保险人不承担赔偿责任；</w:t>
      </w:r>
      <w:r>
        <w:rPr>
          <w:rFonts w:hint="eastAsia" w:ascii="宋体" w:hAnsi="宋体"/>
          <w:b/>
          <w:bCs/>
          <w:szCs w:val="21"/>
        </w:rPr>
        <w:t>保险人向被保险人赔偿保险金后，被保险人未经保险人同意放弃对有关责任方请求赔偿权利的，该行为无效；</w:t>
      </w:r>
      <w:r>
        <w:rPr>
          <w:rFonts w:hint="eastAsia" w:ascii="宋体" w:hAnsi="宋体"/>
          <w:b/>
          <w:szCs w:val="21"/>
        </w:rPr>
        <w:t>由于被保险人故意或者因重大过失致使保险人不能行使代位请求赔偿的权利的，保险人可以扣减或者要求返还相应的保险金。</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snapToGrid w:val="0"/>
          <w:kern w:val="0"/>
          <w:szCs w:val="21"/>
        </w:rPr>
      </w:pPr>
      <w:r>
        <w:rPr>
          <w:rFonts w:hint="eastAsia" w:ascii="宋体" w:hAnsi="宋体"/>
          <w:b/>
          <w:snapToGrid w:val="0"/>
          <w:kern w:val="0"/>
          <w:szCs w:val="21"/>
        </w:rPr>
        <w:t>第三十一条</w:t>
      </w:r>
      <w:r>
        <w:rPr>
          <w:rFonts w:hint="eastAsia" w:ascii="宋体" w:hAnsi="宋体"/>
          <w:snapToGrid w:val="0"/>
          <w:kern w:val="0"/>
          <w:szCs w:val="21"/>
        </w:rPr>
        <w:t xml:space="preserve"> </w:t>
      </w:r>
      <w:r>
        <w:rPr>
          <w:rFonts w:hint="eastAsia" w:ascii="宋体" w:hAnsi="宋体"/>
          <w:b/>
          <w:snapToGrid w:val="0"/>
          <w:kern w:val="0"/>
          <w:szCs w:val="21"/>
        </w:rPr>
        <w:t>保险人受理报案、进行现场查勘、核损定价、参与案件诉讼、向被保险人提供建议等行为，均不构成保险人对赔偿责任的承诺。</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ascii="宋体" w:hAnsi="宋体"/>
          <w:szCs w:val="21"/>
        </w:rPr>
      </w:pPr>
      <w:r>
        <w:rPr>
          <w:rFonts w:hint="eastAsia" w:ascii="宋体" w:hAnsi="宋体"/>
          <w:b/>
          <w:szCs w:val="21"/>
        </w:rPr>
        <w:t xml:space="preserve">第三十二条 </w:t>
      </w:r>
      <w:r>
        <w:rPr>
          <w:rStyle w:val="14"/>
          <w:rFonts w:ascii="宋体" w:hAnsi="宋体"/>
          <w:szCs w:val="21"/>
        </w:rPr>
        <w:t>被保险人向保险人请求赔偿</w:t>
      </w:r>
      <w:r>
        <w:rPr>
          <w:rStyle w:val="14"/>
          <w:rFonts w:hint="eastAsia" w:ascii="宋体" w:hAnsi="宋体"/>
          <w:szCs w:val="21"/>
        </w:rPr>
        <w:t>保险金</w:t>
      </w:r>
      <w:r>
        <w:rPr>
          <w:rStyle w:val="14"/>
          <w:rFonts w:ascii="宋体" w:hAnsi="宋体"/>
          <w:szCs w:val="21"/>
        </w:rPr>
        <w:t>的诉讼时效期间</w:t>
      </w:r>
      <w:r>
        <w:rPr>
          <w:rFonts w:hint="eastAsia" w:ascii="宋体" w:hAnsi="宋体"/>
          <w:szCs w:val="21"/>
        </w:rPr>
        <w:t>依据中华人民共和国法律（为本保险合同之目的，</w:t>
      </w:r>
      <w:r>
        <w:rPr>
          <w:rFonts w:hint="eastAsia" w:ascii="宋体" w:hAnsi="宋体"/>
          <w:b/>
          <w:bCs/>
          <w:szCs w:val="21"/>
        </w:rPr>
        <w:t>不包括港澳台地区的法律</w:t>
      </w:r>
      <w:r>
        <w:rPr>
          <w:rFonts w:hint="eastAsia" w:ascii="宋体" w:hAnsi="宋体"/>
          <w:szCs w:val="21"/>
        </w:rPr>
        <w:t>）确定，自其知道或应当知道保险事故发生之日起计算</w:t>
      </w:r>
      <w:r>
        <w:rPr>
          <w:rStyle w:val="14"/>
          <w:rFonts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bCs/>
          <w:szCs w:val="21"/>
        </w:rPr>
      </w:pPr>
      <w:r>
        <w:rPr>
          <w:rFonts w:hint="eastAsia" w:ascii="宋体" w:hAnsi="宋体"/>
          <w:b/>
          <w:szCs w:val="21"/>
        </w:rPr>
        <w:t>争议处理和法律适用</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第三十三条</w:t>
      </w:r>
      <w:r>
        <w:rPr>
          <w:rFonts w:hint="eastAsia" w:ascii="宋体" w:hAnsi="宋体"/>
          <w:szCs w:val="21"/>
        </w:rPr>
        <w:t xml:space="preserve"> 因履行本保险合同发生的争议，由当事人协商解决。协商不成的，提交保险单载明的仲裁机构仲裁；保险单未载明仲裁机构且争议发生后未达成仲裁协议的，依法向中华人民共和国（</w:t>
      </w:r>
      <w:r>
        <w:rPr>
          <w:rFonts w:hint="eastAsia" w:ascii="宋体" w:hAnsi="宋体"/>
          <w:b/>
          <w:bCs/>
          <w:szCs w:val="21"/>
        </w:rPr>
        <w:t>不包括港澳台地区</w:t>
      </w:r>
      <w:r>
        <w:rPr>
          <w:rFonts w:hint="eastAsia" w:ascii="宋体" w:hAnsi="宋体"/>
          <w:szCs w:val="21"/>
        </w:rPr>
        <w:t>）有管辖权的人民法院起诉。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szCs w:val="21"/>
        </w:rPr>
      </w:pPr>
      <w:r>
        <w:rPr>
          <w:rFonts w:hint="eastAsia" w:ascii="宋体" w:hAnsi="宋体"/>
          <w:b/>
          <w:bCs/>
          <w:szCs w:val="21"/>
        </w:rPr>
        <w:t xml:space="preserve">第三十四条 </w:t>
      </w:r>
      <w:r>
        <w:rPr>
          <w:rFonts w:hint="eastAsia" w:ascii="宋体" w:hAnsi="宋体"/>
          <w:szCs w:val="21"/>
        </w:rPr>
        <w:t>本保险合同的争议处理适用中华人民共和国法律（</w:t>
      </w:r>
      <w:r>
        <w:rPr>
          <w:rFonts w:hint="eastAsia" w:ascii="宋体" w:hAnsi="宋体"/>
          <w:b/>
          <w:bCs/>
          <w:szCs w:val="21"/>
        </w:rPr>
        <w:t>不包括港澳台地区法律</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bCs/>
          <w:szCs w:val="21"/>
        </w:rPr>
      </w:pPr>
      <w:r>
        <w:rPr>
          <w:rFonts w:hint="eastAsia" w:ascii="宋体" w:hAnsi="宋体"/>
          <w:b/>
          <w:szCs w:val="21"/>
        </w:rPr>
        <w:t>其他事项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szCs w:val="21"/>
        </w:rPr>
      </w:pPr>
      <w:r>
        <w:rPr>
          <w:rFonts w:hint="eastAsia" w:ascii="宋体" w:hAnsi="宋体"/>
          <w:b/>
          <w:szCs w:val="21"/>
        </w:rPr>
        <w:t xml:space="preserve">第三十五条 </w:t>
      </w:r>
      <w:r>
        <w:rPr>
          <w:rFonts w:hint="eastAsia"/>
          <w:szCs w:val="21"/>
        </w:rPr>
        <w:t>投保人和保险人可以协商变更合同内容。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szCs w:val="21"/>
        </w:rPr>
      </w:pPr>
      <w:r>
        <w:rPr>
          <w:rFonts w:hint="eastAsia"/>
          <w:szCs w:val="21"/>
        </w:rPr>
        <w:t>变更保险合同的，应当由保险人在保险单或者其他保险凭证上批注或附贴批单，或者投保人和保险人订立变更的书面协议。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bCs/>
          <w:szCs w:val="21"/>
        </w:rPr>
      </w:pPr>
      <w:r>
        <w:rPr>
          <w:rFonts w:hint="eastAsia"/>
          <w:b/>
          <w:szCs w:val="21"/>
        </w:rPr>
        <w:t xml:space="preserve">第三十六条 </w:t>
      </w:r>
      <w:r>
        <w:rPr>
          <w:rFonts w:hint="eastAsia"/>
          <w:szCs w:val="21"/>
        </w:rPr>
        <w:t>投保人可随时书面申请解除本保险合同，</w:t>
      </w:r>
      <w:r>
        <w:rPr>
          <w:rFonts w:hint="eastAsia"/>
          <w:b/>
          <w:bCs/>
          <w:szCs w:val="21"/>
        </w:rPr>
        <w:t>本保险合同自保险人收到投保人的书面申请之日的二十四时起终止。保险责任开始前，投保人要求解除合同的，保险人扣除</w:t>
      </w:r>
      <w:r>
        <w:rPr>
          <w:b/>
          <w:bCs/>
          <w:szCs w:val="21"/>
        </w:rPr>
        <w:t>3%</w:t>
      </w:r>
      <w:r>
        <w:rPr>
          <w:rFonts w:hint="eastAsia"/>
          <w:b/>
          <w:bCs/>
          <w:szCs w:val="21"/>
        </w:rPr>
        <w:t>手续费后，剩余部分的保险费退还投保人；保险责任开始后，投保人要求解除合同的，对保险责任开始之日起至合同解除之日止期间的保险费，按短期费率计收，剩余部分退还投保人。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14"/>
          <w:rFonts w:ascii=".." w:hAnsi=".."/>
        </w:rPr>
      </w:pPr>
      <w:r>
        <w:rPr>
          <w:rFonts w:hint="eastAsia"/>
          <w:b/>
          <w:szCs w:val="21"/>
        </w:rPr>
        <w:t xml:space="preserve">第三十七条 </w:t>
      </w:r>
      <w:r>
        <w:rPr>
          <w:rStyle w:val="14"/>
          <w:rFonts w:hint="eastAsia" w:ascii=".." w:hAnsi=".."/>
        </w:rPr>
        <w:t>发生保险事故且保险人已承担赔偿责任的，自保险人赔偿之日起三十日内，投保人可以解除合同；除合同另有约定外，保险人也可以解除合同，但应当提前十五日通知投保人。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14"/>
          <w:rFonts w:ascii=".." w:hAnsi=".."/>
          <w:b/>
          <w:bCs/>
        </w:rPr>
      </w:pPr>
      <w:r>
        <w:rPr>
          <w:rFonts w:hint="eastAsia" w:ascii=".." w:hAnsi=".."/>
          <w:b/>
          <w:bCs/>
        </w:rPr>
        <w:t>保险合同依据前款规定</w:t>
      </w:r>
      <w:r>
        <w:rPr>
          <w:rStyle w:val="14"/>
          <w:rFonts w:hint="eastAsia" w:ascii=".." w:hAnsi=".."/>
          <w:b/>
          <w:bCs/>
        </w:rPr>
        <w:t>解除的，保险人应当将累计责任限额扣除累计已赔偿金额后剩余部分的保险费，按照合同约定扣除自保险责任开始之日起至合同解除之日止应收的部分后，退还投保人。</w:t>
      </w:r>
    </w:p>
    <w:p>
      <w:pPr>
        <w:adjustRightInd w:val="0"/>
        <w:snapToGrid w:val="0"/>
        <w:spacing w:after="156" w:afterLines="50"/>
        <w:ind w:firstLine="413" w:firstLineChars="196"/>
        <w:jc w:val="left"/>
        <w:rPr>
          <w:rFonts w:ascii="宋体" w:hAnsi="宋体"/>
          <w:b/>
          <w:szCs w:val="21"/>
        </w:rPr>
      </w:pPr>
      <w:r>
        <w:rPr>
          <w:rFonts w:hint="eastAsia" w:ascii="宋体" w:hAnsi="宋体"/>
          <w:b/>
          <w:szCs w:val="21"/>
        </w:rPr>
        <w:t>附表</w:t>
      </w:r>
      <w:r>
        <w:rPr>
          <w:rFonts w:ascii="宋体" w:hAnsi="宋体"/>
          <w:b/>
          <w:szCs w:val="21"/>
        </w:rPr>
        <w:t>：</w:t>
      </w:r>
      <w:r>
        <w:rPr>
          <w:rFonts w:hint="eastAsia" w:ascii="宋体" w:hAnsi="宋体"/>
          <w:b/>
          <w:szCs w:val="21"/>
        </w:rPr>
        <w:t>短期费率表</w:t>
      </w:r>
    </w:p>
    <w:tbl>
      <w:tblPr>
        <w:tblStyle w:val="9"/>
        <w:tblW w:w="8398" w:type="dxa"/>
        <w:jc w:val="center"/>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Layout w:type="fixed"/>
        <w:tblCellMar>
          <w:top w:w="0" w:type="dxa"/>
          <w:left w:w="0" w:type="dxa"/>
          <w:bottom w:w="0" w:type="dxa"/>
          <w:right w:w="0" w:type="dxa"/>
        </w:tblCellMar>
      </w:tblPr>
      <w:tblGrid>
        <w:gridCol w:w="1994"/>
        <w:gridCol w:w="534"/>
        <w:gridCol w:w="534"/>
        <w:gridCol w:w="535"/>
        <w:gridCol w:w="534"/>
        <w:gridCol w:w="533"/>
        <w:gridCol w:w="534"/>
        <w:gridCol w:w="533"/>
        <w:gridCol w:w="533"/>
        <w:gridCol w:w="534"/>
        <w:gridCol w:w="533"/>
        <w:gridCol w:w="533"/>
        <w:gridCol w:w="534"/>
      </w:tblGrid>
      <w:tr>
        <w:tblPrEx>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CellMar>
            <w:top w:w="0" w:type="dxa"/>
            <w:left w:w="0" w:type="dxa"/>
            <w:bottom w:w="0" w:type="dxa"/>
            <w:right w:w="0" w:type="dxa"/>
          </w:tblCellMar>
        </w:tblPrEx>
        <w:trPr>
          <w:cantSplit/>
          <w:trHeight w:val="435" w:hRule="atLeast"/>
          <w:jc w:val="center"/>
        </w:trPr>
        <w:tc>
          <w:tcPr>
            <w:tcW w:w="1994"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保险期间（月）</w:t>
            </w:r>
          </w:p>
        </w:tc>
        <w:tc>
          <w:tcPr>
            <w:tcW w:w="534"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1</w:t>
            </w:r>
          </w:p>
        </w:tc>
        <w:tc>
          <w:tcPr>
            <w:tcW w:w="534"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2</w:t>
            </w:r>
          </w:p>
        </w:tc>
        <w:tc>
          <w:tcPr>
            <w:tcW w:w="535"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3</w:t>
            </w:r>
          </w:p>
        </w:tc>
        <w:tc>
          <w:tcPr>
            <w:tcW w:w="534"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4</w:t>
            </w:r>
          </w:p>
        </w:tc>
        <w:tc>
          <w:tcPr>
            <w:tcW w:w="53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5</w:t>
            </w:r>
          </w:p>
        </w:tc>
        <w:tc>
          <w:tcPr>
            <w:tcW w:w="534"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6</w:t>
            </w:r>
          </w:p>
        </w:tc>
        <w:tc>
          <w:tcPr>
            <w:tcW w:w="53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7</w:t>
            </w:r>
          </w:p>
        </w:tc>
        <w:tc>
          <w:tcPr>
            <w:tcW w:w="53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8</w:t>
            </w:r>
          </w:p>
        </w:tc>
        <w:tc>
          <w:tcPr>
            <w:tcW w:w="534"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9</w:t>
            </w:r>
          </w:p>
        </w:tc>
        <w:tc>
          <w:tcPr>
            <w:tcW w:w="53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10</w:t>
            </w:r>
          </w:p>
        </w:tc>
        <w:tc>
          <w:tcPr>
            <w:tcW w:w="53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11</w:t>
            </w:r>
          </w:p>
        </w:tc>
        <w:tc>
          <w:tcPr>
            <w:tcW w:w="534"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CellMar>
            <w:top w:w="0" w:type="dxa"/>
            <w:left w:w="0" w:type="dxa"/>
            <w:bottom w:w="0" w:type="dxa"/>
            <w:right w:w="0" w:type="dxa"/>
          </w:tblCellMar>
        </w:tblPrEx>
        <w:trPr>
          <w:cantSplit/>
          <w:trHeight w:val="435" w:hRule="atLeast"/>
          <w:jc w:val="center"/>
        </w:trPr>
        <w:tc>
          <w:tcPr>
            <w:tcW w:w="199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年保费的百分比（％）</w:t>
            </w:r>
          </w:p>
        </w:tc>
        <w:tc>
          <w:tcPr>
            <w:tcW w:w="5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10</w:t>
            </w:r>
          </w:p>
        </w:tc>
        <w:tc>
          <w:tcPr>
            <w:tcW w:w="5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20</w:t>
            </w:r>
          </w:p>
        </w:tc>
        <w:tc>
          <w:tcPr>
            <w:tcW w:w="53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30</w:t>
            </w:r>
          </w:p>
        </w:tc>
        <w:tc>
          <w:tcPr>
            <w:tcW w:w="5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40</w:t>
            </w:r>
          </w:p>
        </w:tc>
        <w:tc>
          <w:tcPr>
            <w:tcW w:w="53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50</w:t>
            </w:r>
          </w:p>
        </w:tc>
        <w:tc>
          <w:tcPr>
            <w:tcW w:w="5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60</w:t>
            </w:r>
          </w:p>
        </w:tc>
        <w:tc>
          <w:tcPr>
            <w:tcW w:w="53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70</w:t>
            </w:r>
          </w:p>
        </w:tc>
        <w:tc>
          <w:tcPr>
            <w:tcW w:w="53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80</w:t>
            </w:r>
          </w:p>
        </w:tc>
        <w:tc>
          <w:tcPr>
            <w:tcW w:w="5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85</w:t>
            </w:r>
          </w:p>
        </w:tc>
        <w:tc>
          <w:tcPr>
            <w:tcW w:w="53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90</w:t>
            </w:r>
          </w:p>
        </w:tc>
        <w:tc>
          <w:tcPr>
            <w:tcW w:w="53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95</w:t>
            </w:r>
          </w:p>
        </w:tc>
        <w:tc>
          <w:tcPr>
            <w:tcW w:w="5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Cs w:val="21"/>
              </w:rPr>
            </w:pPr>
            <w:r>
              <w:rPr>
                <w:rFonts w:hint="eastAsia" w:ascii="宋体" w:hAnsi="宋体" w:eastAsia="宋体" w:cs="宋体"/>
                <w:szCs w:val="21"/>
              </w:rPr>
              <w:t>100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14"/>
          <w:rFonts w:hint="eastAsia" w:ascii=".." w:hAnsi=".."/>
        </w:rPr>
      </w:pPr>
      <w:r>
        <w:rPr>
          <w:rStyle w:val="14"/>
          <w:rFonts w:hint="eastAsia" w:ascii=".." w:hAnsi=".."/>
        </w:rPr>
        <w:t>（注：保险期间已经过月数不足一个月的按一个月计算）。</w:t>
      </w:r>
    </w:p>
    <w:p>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宋体" w:hAnsi="宋体"/>
          <w:b/>
          <w:szCs w:val="21"/>
        </w:rPr>
      </w:pPr>
      <w:r>
        <w:rPr>
          <w:rFonts w:hint="eastAsia" w:ascii="宋体" w:hAnsi="宋体"/>
          <w:b/>
          <w:szCs w:val="21"/>
        </w:rPr>
        <w:t>释义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Cs/>
          <w:szCs w:val="21"/>
        </w:rPr>
      </w:pPr>
      <w:r>
        <w:rPr>
          <w:rFonts w:hint="eastAsia"/>
          <w:b/>
          <w:szCs w:val="21"/>
        </w:rPr>
        <w:t>第三十八条 本保险合同涉及下列术语时，适用下列释义：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Cs/>
          <w:szCs w:val="21"/>
        </w:rPr>
      </w:pPr>
      <w:r>
        <w:rPr>
          <w:rFonts w:hint="eastAsia" w:ascii="宋体" w:hAnsi="宋体"/>
          <w:bCs/>
          <w:szCs w:val="21"/>
        </w:rPr>
        <w:t>1、食品：</w:t>
      </w:r>
      <w:r>
        <w:rPr>
          <w:rFonts w:ascii="宋体" w:hAnsi="宋体"/>
          <w:bCs/>
          <w:szCs w:val="21"/>
        </w:rPr>
        <w:t>指各种供人食用或者饮用的成品和原料以及按照传统既是食品又是药品的物品，</w:t>
      </w:r>
      <w:r>
        <w:rPr>
          <w:rFonts w:ascii="宋体" w:hAnsi="宋体"/>
          <w:b/>
          <w:szCs w:val="21"/>
        </w:rPr>
        <w:t>但是不包括以治疗为目的的物品</w:t>
      </w:r>
      <w:r>
        <w:rPr>
          <w:rFonts w:ascii="宋体" w:hAnsi="宋体"/>
          <w:bCs/>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Cs/>
          <w:szCs w:val="21"/>
        </w:rPr>
      </w:pPr>
      <w:r>
        <w:rPr>
          <w:rFonts w:hint="eastAsia" w:ascii="宋体" w:hAnsi="宋体"/>
          <w:bCs/>
          <w:szCs w:val="21"/>
        </w:rPr>
        <w:t>2、食源性疾病：</w:t>
      </w:r>
      <w:r>
        <w:rPr>
          <w:rFonts w:ascii="宋体" w:hAnsi="宋体"/>
          <w:bCs/>
          <w:szCs w:val="21"/>
        </w:rPr>
        <w:t>指通过摄食而进入人体的有毒有害物质(包括生物性病原体)等致病因子所造成的疾病。一般可分为感染性和中毒性</w:t>
      </w:r>
      <w:r>
        <w:rPr>
          <w:rFonts w:hint="eastAsia" w:ascii="宋体" w:hAnsi="宋体"/>
          <w:bCs/>
          <w:szCs w:val="21"/>
        </w:rPr>
        <w:t>,</w:t>
      </w:r>
      <w:r>
        <w:rPr>
          <w:rFonts w:ascii="宋体" w:hAnsi="宋体"/>
          <w:bCs/>
          <w:szCs w:val="21"/>
        </w:rPr>
        <w:t>包括常见的食物中毒、肠道传染病、人畜共患传染病、寄生虫病以及化学性有毒有害物质所引起的疾病。</w:t>
      </w:r>
      <w:r>
        <w:rPr>
          <w:rFonts w:ascii="宋体" w:hAnsi="宋体"/>
          <w:b/>
          <w:szCs w:val="21"/>
        </w:rPr>
        <w:t>不包括与饮食有关的慢性病、代谢病，如糖尿病、高血压等</w:t>
      </w:r>
      <w:r>
        <w:rPr>
          <w:rFonts w:hint="eastAsia" w:ascii="宋体" w:hAnsi="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napToGrid w:val="0"/>
          <w:kern w:val="0"/>
          <w:szCs w:val="21"/>
        </w:rPr>
      </w:pPr>
      <w:r>
        <w:rPr>
          <w:rFonts w:hint="eastAsia" w:ascii="宋体" w:hAnsi="宋体"/>
          <w:snapToGrid w:val="0"/>
          <w:kern w:val="0"/>
          <w:szCs w:val="21"/>
        </w:rPr>
        <w:t>3、追溯期：指从保险单载明的追溯日起至保险期间起始日止的期间。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Cs/>
          <w:szCs w:val="21"/>
        </w:rPr>
      </w:pPr>
      <w:r>
        <w:rPr>
          <w:rFonts w:hint="eastAsia" w:ascii="宋体" w:hAnsi="宋体"/>
          <w:bCs/>
          <w:szCs w:val="21"/>
        </w:rPr>
        <w:t>4、故意行为：指明知道其行为会导致他人或自身的伤害或损失，仍希望或放任该行为发生的行为。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Cs/>
          <w:szCs w:val="21"/>
        </w:rPr>
      </w:pPr>
      <w:r>
        <w:rPr>
          <w:rFonts w:hint="eastAsia" w:ascii="宋体" w:hAnsi="宋体"/>
          <w:bCs/>
          <w:szCs w:val="21"/>
        </w:rPr>
        <w:t>5、食品添加剂：</w:t>
      </w:r>
      <w:r>
        <w:rPr>
          <w:rFonts w:ascii="宋体" w:hAnsi="宋体"/>
          <w:bCs/>
          <w:szCs w:val="21"/>
        </w:rPr>
        <w:t>指为改善食品品质和色、香、味，以及为防腐和加工工艺的需要而加入食品中的化学合成或者天然物质。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bCs/>
          <w:szCs w:val="21"/>
        </w:rPr>
      </w:pPr>
      <w:r>
        <w:rPr>
          <w:rFonts w:hint="eastAsia" w:ascii="宋体" w:hAnsi="宋体"/>
          <w:bCs/>
          <w:szCs w:val="21"/>
        </w:rPr>
        <w:t>6、营养强化剂：</w:t>
      </w:r>
      <w:r>
        <w:rPr>
          <w:rFonts w:ascii="宋体" w:hAnsi="宋体"/>
          <w:bCs/>
          <w:szCs w:val="21"/>
        </w:rPr>
        <w:t>指为增强营养成分而加入食品中的天然的或者人工合成的属于天然营养素范围的食品添加剂。</w:t>
      </w: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p>
    <w:p>
      <w:pPr>
        <w:adjustRightInd w:val="0"/>
        <w:snapToGrid w:val="0"/>
        <w:spacing w:after="156" w:afterLines="50"/>
        <w:jc w:val="left"/>
        <w:rPr>
          <w:rFonts w:ascii="宋体" w:hAnsi="宋体"/>
          <w:b/>
          <w:szCs w:val="21"/>
        </w:rPr>
      </w:pPr>
    </w:p>
    <w:sectPr>
      <w:footerReference r:id="rId3" w:type="default"/>
      <w:pgSz w:w="11906" w:h="16838"/>
      <w:pgMar w:top="1440" w:right="1800" w:bottom="1440" w:left="1800" w:header="851"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696"/>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xOTg0ZTg2NjA3ZGU0MTY2MmU0Yjk5YzMyNzRlOGMifQ=="/>
  </w:docVars>
  <w:rsids>
    <w:rsidRoot w:val="00D4493F"/>
    <w:rsid w:val="00001AEE"/>
    <w:rsid w:val="0000540F"/>
    <w:rsid w:val="0000672A"/>
    <w:rsid w:val="00011075"/>
    <w:rsid w:val="00020746"/>
    <w:rsid w:val="000219AF"/>
    <w:rsid w:val="00022BC3"/>
    <w:rsid w:val="000254B5"/>
    <w:rsid w:val="00025F37"/>
    <w:rsid w:val="00030CEE"/>
    <w:rsid w:val="00035437"/>
    <w:rsid w:val="00035DEF"/>
    <w:rsid w:val="00042A48"/>
    <w:rsid w:val="0004447C"/>
    <w:rsid w:val="00044B9D"/>
    <w:rsid w:val="00050255"/>
    <w:rsid w:val="00053719"/>
    <w:rsid w:val="000544FA"/>
    <w:rsid w:val="00056240"/>
    <w:rsid w:val="00056DEA"/>
    <w:rsid w:val="000625CC"/>
    <w:rsid w:val="00062B76"/>
    <w:rsid w:val="00063457"/>
    <w:rsid w:val="000668C1"/>
    <w:rsid w:val="0007091F"/>
    <w:rsid w:val="00077792"/>
    <w:rsid w:val="0008114E"/>
    <w:rsid w:val="00083C3D"/>
    <w:rsid w:val="00086EAA"/>
    <w:rsid w:val="0009131D"/>
    <w:rsid w:val="00092D23"/>
    <w:rsid w:val="00094741"/>
    <w:rsid w:val="000A40AF"/>
    <w:rsid w:val="000A461D"/>
    <w:rsid w:val="000A56D7"/>
    <w:rsid w:val="000B4C32"/>
    <w:rsid w:val="000B5145"/>
    <w:rsid w:val="000C12B7"/>
    <w:rsid w:val="000C39BA"/>
    <w:rsid w:val="000C43DC"/>
    <w:rsid w:val="000C4FA5"/>
    <w:rsid w:val="000D1E72"/>
    <w:rsid w:val="000D4580"/>
    <w:rsid w:val="000E1F03"/>
    <w:rsid w:val="000E564B"/>
    <w:rsid w:val="000E6D17"/>
    <w:rsid w:val="000E7F42"/>
    <w:rsid w:val="000F1C48"/>
    <w:rsid w:val="000F20D9"/>
    <w:rsid w:val="000F6B1E"/>
    <w:rsid w:val="000F6CA8"/>
    <w:rsid w:val="0010339E"/>
    <w:rsid w:val="0010425C"/>
    <w:rsid w:val="001075CE"/>
    <w:rsid w:val="0011441A"/>
    <w:rsid w:val="00115CB6"/>
    <w:rsid w:val="00117F5C"/>
    <w:rsid w:val="00120DC0"/>
    <w:rsid w:val="00126182"/>
    <w:rsid w:val="00126957"/>
    <w:rsid w:val="001329D6"/>
    <w:rsid w:val="00133194"/>
    <w:rsid w:val="00134093"/>
    <w:rsid w:val="0014183E"/>
    <w:rsid w:val="001427C8"/>
    <w:rsid w:val="00143578"/>
    <w:rsid w:val="00151FF0"/>
    <w:rsid w:val="00153DC2"/>
    <w:rsid w:val="00155ED1"/>
    <w:rsid w:val="00166D1C"/>
    <w:rsid w:val="00174838"/>
    <w:rsid w:val="001754C5"/>
    <w:rsid w:val="00177F3C"/>
    <w:rsid w:val="00180D7D"/>
    <w:rsid w:val="00185A89"/>
    <w:rsid w:val="001860D6"/>
    <w:rsid w:val="00195ABC"/>
    <w:rsid w:val="001A0ABF"/>
    <w:rsid w:val="001A48D6"/>
    <w:rsid w:val="001A7DB7"/>
    <w:rsid w:val="001B16C8"/>
    <w:rsid w:val="001B2E31"/>
    <w:rsid w:val="001B5726"/>
    <w:rsid w:val="001B6B24"/>
    <w:rsid w:val="001B7C0F"/>
    <w:rsid w:val="001C0EF8"/>
    <w:rsid w:val="001C409C"/>
    <w:rsid w:val="001C40F4"/>
    <w:rsid w:val="001C66E1"/>
    <w:rsid w:val="001C72B8"/>
    <w:rsid w:val="001C7B97"/>
    <w:rsid w:val="001D1025"/>
    <w:rsid w:val="001D1A87"/>
    <w:rsid w:val="001D26F8"/>
    <w:rsid w:val="001D40AC"/>
    <w:rsid w:val="001D4879"/>
    <w:rsid w:val="001D7B85"/>
    <w:rsid w:val="001E5B01"/>
    <w:rsid w:val="001E7326"/>
    <w:rsid w:val="001E7391"/>
    <w:rsid w:val="001F0790"/>
    <w:rsid w:val="001F4AF4"/>
    <w:rsid w:val="00200890"/>
    <w:rsid w:val="0020147A"/>
    <w:rsid w:val="00203DD5"/>
    <w:rsid w:val="00211B19"/>
    <w:rsid w:val="002123CF"/>
    <w:rsid w:val="00213199"/>
    <w:rsid w:val="0021398E"/>
    <w:rsid w:val="00213A80"/>
    <w:rsid w:val="00216AE1"/>
    <w:rsid w:val="00217953"/>
    <w:rsid w:val="00221A37"/>
    <w:rsid w:val="00221B7E"/>
    <w:rsid w:val="00221C69"/>
    <w:rsid w:val="002236BB"/>
    <w:rsid w:val="00227822"/>
    <w:rsid w:val="00230323"/>
    <w:rsid w:val="00241C32"/>
    <w:rsid w:val="002431D7"/>
    <w:rsid w:val="00244726"/>
    <w:rsid w:val="00245A4D"/>
    <w:rsid w:val="0024774B"/>
    <w:rsid w:val="002534A2"/>
    <w:rsid w:val="00257F4B"/>
    <w:rsid w:val="002619EA"/>
    <w:rsid w:val="00261DB6"/>
    <w:rsid w:val="00262990"/>
    <w:rsid w:val="00263BD5"/>
    <w:rsid w:val="00266308"/>
    <w:rsid w:val="002739C6"/>
    <w:rsid w:val="00275DD6"/>
    <w:rsid w:val="00276B85"/>
    <w:rsid w:val="00282FA1"/>
    <w:rsid w:val="0028406D"/>
    <w:rsid w:val="00284AF9"/>
    <w:rsid w:val="0028611C"/>
    <w:rsid w:val="00290746"/>
    <w:rsid w:val="0029292F"/>
    <w:rsid w:val="002975D8"/>
    <w:rsid w:val="00297A36"/>
    <w:rsid w:val="002A2988"/>
    <w:rsid w:val="002A3840"/>
    <w:rsid w:val="002A58EA"/>
    <w:rsid w:val="002A6B35"/>
    <w:rsid w:val="002B5C56"/>
    <w:rsid w:val="002B7070"/>
    <w:rsid w:val="002C0857"/>
    <w:rsid w:val="002C0974"/>
    <w:rsid w:val="002C12ED"/>
    <w:rsid w:val="002E087B"/>
    <w:rsid w:val="002E1A97"/>
    <w:rsid w:val="002E3D92"/>
    <w:rsid w:val="002F1A2E"/>
    <w:rsid w:val="002F215D"/>
    <w:rsid w:val="002F38CF"/>
    <w:rsid w:val="002F41CB"/>
    <w:rsid w:val="002F4A3E"/>
    <w:rsid w:val="003024E1"/>
    <w:rsid w:val="0030617D"/>
    <w:rsid w:val="00312D6F"/>
    <w:rsid w:val="00314722"/>
    <w:rsid w:val="003200C2"/>
    <w:rsid w:val="00321BBF"/>
    <w:rsid w:val="00322133"/>
    <w:rsid w:val="00326F23"/>
    <w:rsid w:val="0033336D"/>
    <w:rsid w:val="0033575E"/>
    <w:rsid w:val="003428CF"/>
    <w:rsid w:val="0034720E"/>
    <w:rsid w:val="003477D2"/>
    <w:rsid w:val="00350114"/>
    <w:rsid w:val="00357C3B"/>
    <w:rsid w:val="00363450"/>
    <w:rsid w:val="00363A5B"/>
    <w:rsid w:val="00364458"/>
    <w:rsid w:val="00364D0E"/>
    <w:rsid w:val="00370F3F"/>
    <w:rsid w:val="00371617"/>
    <w:rsid w:val="00373F3E"/>
    <w:rsid w:val="00380C0D"/>
    <w:rsid w:val="0038148D"/>
    <w:rsid w:val="00383117"/>
    <w:rsid w:val="003867E9"/>
    <w:rsid w:val="00390CAA"/>
    <w:rsid w:val="00395A51"/>
    <w:rsid w:val="00396A5E"/>
    <w:rsid w:val="003A1196"/>
    <w:rsid w:val="003A6A9F"/>
    <w:rsid w:val="003A7548"/>
    <w:rsid w:val="003B11C7"/>
    <w:rsid w:val="003B361F"/>
    <w:rsid w:val="003B3AEB"/>
    <w:rsid w:val="003C07D0"/>
    <w:rsid w:val="003C4A05"/>
    <w:rsid w:val="003C562D"/>
    <w:rsid w:val="003C6B20"/>
    <w:rsid w:val="003D40E9"/>
    <w:rsid w:val="003D5C37"/>
    <w:rsid w:val="003E43AA"/>
    <w:rsid w:val="003E5134"/>
    <w:rsid w:val="003E76C2"/>
    <w:rsid w:val="003F0E58"/>
    <w:rsid w:val="003F120F"/>
    <w:rsid w:val="003F6B77"/>
    <w:rsid w:val="003F79DC"/>
    <w:rsid w:val="00400348"/>
    <w:rsid w:val="0040110D"/>
    <w:rsid w:val="00405327"/>
    <w:rsid w:val="004161AC"/>
    <w:rsid w:val="004173A9"/>
    <w:rsid w:val="00417C63"/>
    <w:rsid w:val="004200C4"/>
    <w:rsid w:val="004209AB"/>
    <w:rsid w:val="00421964"/>
    <w:rsid w:val="00422BD2"/>
    <w:rsid w:val="0042404A"/>
    <w:rsid w:val="00424618"/>
    <w:rsid w:val="00442A69"/>
    <w:rsid w:val="00443393"/>
    <w:rsid w:val="00444949"/>
    <w:rsid w:val="00447E0C"/>
    <w:rsid w:val="0045167F"/>
    <w:rsid w:val="00455D52"/>
    <w:rsid w:val="004653AB"/>
    <w:rsid w:val="0046746D"/>
    <w:rsid w:val="004757CA"/>
    <w:rsid w:val="00475B48"/>
    <w:rsid w:val="00476F98"/>
    <w:rsid w:val="00483D58"/>
    <w:rsid w:val="00484741"/>
    <w:rsid w:val="00485CEF"/>
    <w:rsid w:val="00486743"/>
    <w:rsid w:val="00490831"/>
    <w:rsid w:val="00491814"/>
    <w:rsid w:val="00494BB7"/>
    <w:rsid w:val="004A472A"/>
    <w:rsid w:val="004A6B36"/>
    <w:rsid w:val="004B01D8"/>
    <w:rsid w:val="004B1D47"/>
    <w:rsid w:val="004B240D"/>
    <w:rsid w:val="004B5712"/>
    <w:rsid w:val="004B6F32"/>
    <w:rsid w:val="004B74FA"/>
    <w:rsid w:val="004B7855"/>
    <w:rsid w:val="004C3EB6"/>
    <w:rsid w:val="004D7694"/>
    <w:rsid w:val="004E12F6"/>
    <w:rsid w:val="004E1B99"/>
    <w:rsid w:val="004E306C"/>
    <w:rsid w:val="004E7407"/>
    <w:rsid w:val="004F16E8"/>
    <w:rsid w:val="004F2DD8"/>
    <w:rsid w:val="0050073A"/>
    <w:rsid w:val="00501B53"/>
    <w:rsid w:val="005036A3"/>
    <w:rsid w:val="00506E41"/>
    <w:rsid w:val="00506F93"/>
    <w:rsid w:val="00510A74"/>
    <w:rsid w:val="005179F2"/>
    <w:rsid w:val="0052137C"/>
    <w:rsid w:val="005254EE"/>
    <w:rsid w:val="00527056"/>
    <w:rsid w:val="00527482"/>
    <w:rsid w:val="00527DD3"/>
    <w:rsid w:val="005316E6"/>
    <w:rsid w:val="00532060"/>
    <w:rsid w:val="00534DC6"/>
    <w:rsid w:val="0054280E"/>
    <w:rsid w:val="00550DEF"/>
    <w:rsid w:val="00552E12"/>
    <w:rsid w:val="0055563D"/>
    <w:rsid w:val="00555768"/>
    <w:rsid w:val="005610E3"/>
    <w:rsid w:val="005741A6"/>
    <w:rsid w:val="005766A1"/>
    <w:rsid w:val="00581048"/>
    <w:rsid w:val="00594901"/>
    <w:rsid w:val="00596C59"/>
    <w:rsid w:val="005975DF"/>
    <w:rsid w:val="005A6268"/>
    <w:rsid w:val="005B4549"/>
    <w:rsid w:val="005B642D"/>
    <w:rsid w:val="005B6480"/>
    <w:rsid w:val="005C26B2"/>
    <w:rsid w:val="005C2A23"/>
    <w:rsid w:val="005C5CB0"/>
    <w:rsid w:val="005C608E"/>
    <w:rsid w:val="005E14AB"/>
    <w:rsid w:val="005E1940"/>
    <w:rsid w:val="005E284C"/>
    <w:rsid w:val="005E2ECD"/>
    <w:rsid w:val="005E5E2C"/>
    <w:rsid w:val="005F354D"/>
    <w:rsid w:val="005F369F"/>
    <w:rsid w:val="0060731E"/>
    <w:rsid w:val="006075AF"/>
    <w:rsid w:val="00617EE4"/>
    <w:rsid w:val="00617FB5"/>
    <w:rsid w:val="00622F5C"/>
    <w:rsid w:val="00622F88"/>
    <w:rsid w:val="0062402F"/>
    <w:rsid w:val="00627B62"/>
    <w:rsid w:val="00630C05"/>
    <w:rsid w:val="0063128C"/>
    <w:rsid w:val="006440DC"/>
    <w:rsid w:val="0064577A"/>
    <w:rsid w:val="00645AF0"/>
    <w:rsid w:val="00650A52"/>
    <w:rsid w:val="006521F9"/>
    <w:rsid w:val="00653060"/>
    <w:rsid w:val="00654802"/>
    <w:rsid w:val="00655428"/>
    <w:rsid w:val="006560BA"/>
    <w:rsid w:val="00657D57"/>
    <w:rsid w:val="00660938"/>
    <w:rsid w:val="00662D4C"/>
    <w:rsid w:val="0066426F"/>
    <w:rsid w:val="00667BB1"/>
    <w:rsid w:val="00670213"/>
    <w:rsid w:val="006718C6"/>
    <w:rsid w:val="0067402C"/>
    <w:rsid w:val="00675380"/>
    <w:rsid w:val="0068189B"/>
    <w:rsid w:val="00683957"/>
    <w:rsid w:val="00687891"/>
    <w:rsid w:val="00690046"/>
    <w:rsid w:val="0069094F"/>
    <w:rsid w:val="0069299C"/>
    <w:rsid w:val="00692B21"/>
    <w:rsid w:val="00695D5F"/>
    <w:rsid w:val="0069764A"/>
    <w:rsid w:val="006A00CF"/>
    <w:rsid w:val="006A0123"/>
    <w:rsid w:val="006A53E8"/>
    <w:rsid w:val="006A6A1D"/>
    <w:rsid w:val="006A6E06"/>
    <w:rsid w:val="006B29BD"/>
    <w:rsid w:val="006B5885"/>
    <w:rsid w:val="006B5A7A"/>
    <w:rsid w:val="006B5F43"/>
    <w:rsid w:val="006B6CE8"/>
    <w:rsid w:val="006C085C"/>
    <w:rsid w:val="006C0F46"/>
    <w:rsid w:val="006C6DE0"/>
    <w:rsid w:val="006D061A"/>
    <w:rsid w:val="006E4CF4"/>
    <w:rsid w:val="006E5FD5"/>
    <w:rsid w:val="006E7C80"/>
    <w:rsid w:val="006F1DF0"/>
    <w:rsid w:val="006F2EAE"/>
    <w:rsid w:val="0070002E"/>
    <w:rsid w:val="00703189"/>
    <w:rsid w:val="00706AEF"/>
    <w:rsid w:val="00706BD0"/>
    <w:rsid w:val="00713AEA"/>
    <w:rsid w:val="007158C5"/>
    <w:rsid w:val="00717491"/>
    <w:rsid w:val="007175C2"/>
    <w:rsid w:val="00721740"/>
    <w:rsid w:val="007228E2"/>
    <w:rsid w:val="0072551A"/>
    <w:rsid w:val="00727784"/>
    <w:rsid w:val="007303BD"/>
    <w:rsid w:val="0073153A"/>
    <w:rsid w:val="00731E52"/>
    <w:rsid w:val="00744C2E"/>
    <w:rsid w:val="0074532C"/>
    <w:rsid w:val="00747B47"/>
    <w:rsid w:val="00750756"/>
    <w:rsid w:val="00753FFB"/>
    <w:rsid w:val="00755054"/>
    <w:rsid w:val="00755513"/>
    <w:rsid w:val="00756184"/>
    <w:rsid w:val="0076070C"/>
    <w:rsid w:val="007629A4"/>
    <w:rsid w:val="007633C7"/>
    <w:rsid w:val="007643A3"/>
    <w:rsid w:val="0076566F"/>
    <w:rsid w:val="00766D85"/>
    <w:rsid w:val="007676CD"/>
    <w:rsid w:val="00767ACD"/>
    <w:rsid w:val="00767F6A"/>
    <w:rsid w:val="00780CDB"/>
    <w:rsid w:val="00781E01"/>
    <w:rsid w:val="00782C8D"/>
    <w:rsid w:val="0078570C"/>
    <w:rsid w:val="007861F8"/>
    <w:rsid w:val="00786E49"/>
    <w:rsid w:val="00787AC4"/>
    <w:rsid w:val="00790CCA"/>
    <w:rsid w:val="007922F4"/>
    <w:rsid w:val="00793738"/>
    <w:rsid w:val="007A0CFF"/>
    <w:rsid w:val="007A20A1"/>
    <w:rsid w:val="007A4708"/>
    <w:rsid w:val="007A4EEA"/>
    <w:rsid w:val="007A62F7"/>
    <w:rsid w:val="007B228D"/>
    <w:rsid w:val="007B41C2"/>
    <w:rsid w:val="007C0809"/>
    <w:rsid w:val="007D2757"/>
    <w:rsid w:val="007D4994"/>
    <w:rsid w:val="007D55C2"/>
    <w:rsid w:val="007D648F"/>
    <w:rsid w:val="007D746C"/>
    <w:rsid w:val="007E0882"/>
    <w:rsid w:val="007E3687"/>
    <w:rsid w:val="007E6D0C"/>
    <w:rsid w:val="007E6D49"/>
    <w:rsid w:val="007F1301"/>
    <w:rsid w:val="007F19EC"/>
    <w:rsid w:val="007F77F2"/>
    <w:rsid w:val="00800802"/>
    <w:rsid w:val="00800D9E"/>
    <w:rsid w:val="00804092"/>
    <w:rsid w:val="00806E79"/>
    <w:rsid w:val="0080735A"/>
    <w:rsid w:val="00810737"/>
    <w:rsid w:val="008126F5"/>
    <w:rsid w:val="00812AE3"/>
    <w:rsid w:val="00814448"/>
    <w:rsid w:val="00815760"/>
    <w:rsid w:val="00817168"/>
    <w:rsid w:val="00817C8F"/>
    <w:rsid w:val="008252DE"/>
    <w:rsid w:val="00825928"/>
    <w:rsid w:val="00827548"/>
    <w:rsid w:val="00830F05"/>
    <w:rsid w:val="00835FAF"/>
    <w:rsid w:val="00836695"/>
    <w:rsid w:val="00841DAB"/>
    <w:rsid w:val="00842489"/>
    <w:rsid w:val="00842DDA"/>
    <w:rsid w:val="008450C9"/>
    <w:rsid w:val="0084550B"/>
    <w:rsid w:val="0084619D"/>
    <w:rsid w:val="00862DC6"/>
    <w:rsid w:val="0086362B"/>
    <w:rsid w:val="00870027"/>
    <w:rsid w:val="00876AED"/>
    <w:rsid w:val="00883D41"/>
    <w:rsid w:val="00884282"/>
    <w:rsid w:val="00884C24"/>
    <w:rsid w:val="00885AC8"/>
    <w:rsid w:val="00892941"/>
    <w:rsid w:val="00892D5D"/>
    <w:rsid w:val="008A0601"/>
    <w:rsid w:val="008B0DCC"/>
    <w:rsid w:val="008B2C8B"/>
    <w:rsid w:val="008B7078"/>
    <w:rsid w:val="008C4AE8"/>
    <w:rsid w:val="008C5706"/>
    <w:rsid w:val="008C60AD"/>
    <w:rsid w:val="008C6F83"/>
    <w:rsid w:val="008C7ED2"/>
    <w:rsid w:val="008D0023"/>
    <w:rsid w:val="008D58F1"/>
    <w:rsid w:val="008D6248"/>
    <w:rsid w:val="008E45B4"/>
    <w:rsid w:val="008E56AA"/>
    <w:rsid w:val="008E624C"/>
    <w:rsid w:val="008E7D38"/>
    <w:rsid w:val="008F0243"/>
    <w:rsid w:val="008F2EDC"/>
    <w:rsid w:val="008F6FEC"/>
    <w:rsid w:val="0091798E"/>
    <w:rsid w:val="00917D0B"/>
    <w:rsid w:val="00923AE0"/>
    <w:rsid w:val="009276D6"/>
    <w:rsid w:val="009301D2"/>
    <w:rsid w:val="009407BF"/>
    <w:rsid w:val="00943558"/>
    <w:rsid w:val="00943F01"/>
    <w:rsid w:val="00945780"/>
    <w:rsid w:val="009572F5"/>
    <w:rsid w:val="0095734A"/>
    <w:rsid w:val="0096163A"/>
    <w:rsid w:val="00961B5B"/>
    <w:rsid w:val="00962F9D"/>
    <w:rsid w:val="00971FC9"/>
    <w:rsid w:val="0097418B"/>
    <w:rsid w:val="0097552B"/>
    <w:rsid w:val="009815AD"/>
    <w:rsid w:val="00986759"/>
    <w:rsid w:val="0099221C"/>
    <w:rsid w:val="0099594C"/>
    <w:rsid w:val="009A0589"/>
    <w:rsid w:val="009A1427"/>
    <w:rsid w:val="009A24AA"/>
    <w:rsid w:val="009A7550"/>
    <w:rsid w:val="009B0420"/>
    <w:rsid w:val="009B2515"/>
    <w:rsid w:val="009B41D1"/>
    <w:rsid w:val="009B6143"/>
    <w:rsid w:val="009B6BF2"/>
    <w:rsid w:val="009C605F"/>
    <w:rsid w:val="009D1565"/>
    <w:rsid w:val="009D2F1B"/>
    <w:rsid w:val="009D53BC"/>
    <w:rsid w:val="009E1BFA"/>
    <w:rsid w:val="009E3227"/>
    <w:rsid w:val="009E3F53"/>
    <w:rsid w:val="009E6F8B"/>
    <w:rsid w:val="009F307C"/>
    <w:rsid w:val="009F6A08"/>
    <w:rsid w:val="009F6A9C"/>
    <w:rsid w:val="009F7AE0"/>
    <w:rsid w:val="009F7C4C"/>
    <w:rsid w:val="00A000DA"/>
    <w:rsid w:val="00A025E5"/>
    <w:rsid w:val="00A02989"/>
    <w:rsid w:val="00A05860"/>
    <w:rsid w:val="00A05FB8"/>
    <w:rsid w:val="00A0779D"/>
    <w:rsid w:val="00A148CF"/>
    <w:rsid w:val="00A170AD"/>
    <w:rsid w:val="00A179DF"/>
    <w:rsid w:val="00A22C7D"/>
    <w:rsid w:val="00A2388E"/>
    <w:rsid w:val="00A25BD7"/>
    <w:rsid w:val="00A33687"/>
    <w:rsid w:val="00A33AA0"/>
    <w:rsid w:val="00A350B4"/>
    <w:rsid w:val="00A354E3"/>
    <w:rsid w:val="00A402C8"/>
    <w:rsid w:val="00A444FD"/>
    <w:rsid w:val="00A44600"/>
    <w:rsid w:val="00A44EA5"/>
    <w:rsid w:val="00A6054F"/>
    <w:rsid w:val="00A64B47"/>
    <w:rsid w:val="00A675B1"/>
    <w:rsid w:val="00A71A2E"/>
    <w:rsid w:val="00A730F4"/>
    <w:rsid w:val="00A73B2E"/>
    <w:rsid w:val="00A7497B"/>
    <w:rsid w:val="00A75FDC"/>
    <w:rsid w:val="00A92EB0"/>
    <w:rsid w:val="00A941AB"/>
    <w:rsid w:val="00AA0FED"/>
    <w:rsid w:val="00AA3A74"/>
    <w:rsid w:val="00AB08F3"/>
    <w:rsid w:val="00AB1E66"/>
    <w:rsid w:val="00AB31E8"/>
    <w:rsid w:val="00AB32A8"/>
    <w:rsid w:val="00AB50FD"/>
    <w:rsid w:val="00AC0008"/>
    <w:rsid w:val="00AC55B8"/>
    <w:rsid w:val="00AC6C9B"/>
    <w:rsid w:val="00AC6F3E"/>
    <w:rsid w:val="00AD04DC"/>
    <w:rsid w:val="00AE2EE6"/>
    <w:rsid w:val="00AE3D46"/>
    <w:rsid w:val="00AF2C0D"/>
    <w:rsid w:val="00AF2EBA"/>
    <w:rsid w:val="00AF340E"/>
    <w:rsid w:val="00AF35DA"/>
    <w:rsid w:val="00AF3C5F"/>
    <w:rsid w:val="00B042E0"/>
    <w:rsid w:val="00B1277B"/>
    <w:rsid w:val="00B20C26"/>
    <w:rsid w:val="00B253BB"/>
    <w:rsid w:val="00B310D3"/>
    <w:rsid w:val="00B325A1"/>
    <w:rsid w:val="00B32DE5"/>
    <w:rsid w:val="00B354BE"/>
    <w:rsid w:val="00B41FD8"/>
    <w:rsid w:val="00B42AE9"/>
    <w:rsid w:val="00B47D60"/>
    <w:rsid w:val="00B50764"/>
    <w:rsid w:val="00B54AA3"/>
    <w:rsid w:val="00B54B72"/>
    <w:rsid w:val="00B55451"/>
    <w:rsid w:val="00B555B8"/>
    <w:rsid w:val="00B613C7"/>
    <w:rsid w:val="00B6241D"/>
    <w:rsid w:val="00B626D0"/>
    <w:rsid w:val="00B62DF2"/>
    <w:rsid w:val="00B670EC"/>
    <w:rsid w:val="00B704DA"/>
    <w:rsid w:val="00B7100D"/>
    <w:rsid w:val="00B7171C"/>
    <w:rsid w:val="00B72E46"/>
    <w:rsid w:val="00B76605"/>
    <w:rsid w:val="00B85A84"/>
    <w:rsid w:val="00B86631"/>
    <w:rsid w:val="00B867F4"/>
    <w:rsid w:val="00B869F2"/>
    <w:rsid w:val="00B93043"/>
    <w:rsid w:val="00B938C6"/>
    <w:rsid w:val="00B94119"/>
    <w:rsid w:val="00B946F4"/>
    <w:rsid w:val="00B953CD"/>
    <w:rsid w:val="00B95F84"/>
    <w:rsid w:val="00BA39B8"/>
    <w:rsid w:val="00BA5EC2"/>
    <w:rsid w:val="00BB135A"/>
    <w:rsid w:val="00BB26DB"/>
    <w:rsid w:val="00BB50C3"/>
    <w:rsid w:val="00BB5DBE"/>
    <w:rsid w:val="00BB7321"/>
    <w:rsid w:val="00BB7FE6"/>
    <w:rsid w:val="00BD1E3D"/>
    <w:rsid w:val="00BD3514"/>
    <w:rsid w:val="00BD53CA"/>
    <w:rsid w:val="00BE105C"/>
    <w:rsid w:val="00BE543E"/>
    <w:rsid w:val="00BE656A"/>
    <w:rsid w:val="00BF5F1C"/>
    <w:rsid w:val="00BF708B"/>
    <w:rsid w:val="00C0069B"/>
    <w:rsid w:val="00C00FF5"/>
    <w:rsid w:val="00C04DCB"/>
    <w:rsid w:val="00C124FD"/>
    <w:rsid w:val="00C129B5"/>
    <w:rsid w:val="00C15339"/>
    <w:rsid w:val="00C154C5"/>
    <w:rsid w:val="00C24815"/>
    <w:rsid w:val="00C252AA"/>
    <w:rsid w:val="00C25927"/>
    <w:rsid w:val="00C25F39"/>
    <w:rsid w:val="00C26563"/>
    <w:rsid w:val="00C301AD"/>
    <w:rsid w:val="00C32E2E"/>
    <w:rsid w:val="00C40D9F"/>
    <w:rsid w:val="00C41938"/>
    <w:rsid w:val="00C54C4A"/>
    <w:rsid w:val="00C561F7"/>
    <w:rsid w:val="00C56624"/>
    <w:rsid w:val="00C60B09"/>
    <w:rsid w:val="00C63DF4"/>
    <w:rsid w:val="00C70092"/>
    <w:rsid w:val="00C701FF"/>
    <w:rsid w:val="00C75960"/>
    <w:rsid w:val="00C7708E"/>
    <w:rsid w:val="00C943D8"/>
    <w:rsid w:val="00C967A6"/>
    <w:rsid w:val="00C96889"/>
    <w:rsid w:val="00CA21F0"/>
    <w:rsid w:val="00CA2B39"/>
    <w:rsid w:val="00CA6D9A"/>
    <w:rsid w:val="00CB0D71"/>
    <w:rsid w:val="00CB1143"/>
    <w:rsid w:val="00CB3923"/>
    <w:rsid w:val="00CC02EF"/>
    <w:rsid w:val="00CC369E"/>
    <w:rsid w:val="00CD400C"/>
    <w:rsid w:val="00CE00FB"/>
    <w:rsid w:val="00CE2996"/>
    <w:rsid w:val="00CF4EE7"/>
    <w:rsid w:val="00CF5061"/>
    <w:rsid w:val="00CF73E1"/>
    <w:rsid w:val="00D054E3"/>
    <w:rsid w:val="00D06086"/>
    <w:rsid w:val="00D24F5D"/>
    <w:rsid w:val="00D31C5E"/>
    <w:rsid w:val="00D34FF7"/>
    <w:rsid w:val="00D35FE1"/>
    <w:rsid w:val="00D40F73"/>
    <w:rsid w:val="00D44238"/>
    <w:rsid w:val="00D4493F"/>
    <w:rsid w:val="00D44B35"/>
    <w:rsid w:val="00D4541A"/>
    <w:rsid w:val="00D45489"/>
    <w:rsid w:val="00D50C2D"/>
    <w:rsid w:val="00D5359B"/>
    <w:rsid w:val="00D5581E"/>
    <w:rsid w:val="00D55ABE"/>
    <w:rsid w:val="00D55F8F"/>
    <w:rsid w:val="00D56705"/>
    <w:rsid w:val="00D579FE"/>
    <w:rsid w:val="00D608ED"/>
    <w:rsid w:val="00D63DE1"/>
    <w:rsid w:val="00D6461B"/>
    <w:rsid w:val="00D6527A"/>
    <w:rsid w:val="00D657A1"/>
    <w:rsid w:val="00D6729B"/>
    <w:rsid w:val="00D80E6B"/>
    <w:rsid w:val="00D82257"/>
    <w:rsid w:val="00D8507D"/>
    <w:rsid w:val="00D90267"/>
    <w:rsid w:val="00D92505"/>
    <w:rsid w:val="00D92C26"/>
    <w:rsid w:val="00DA1D4C"/>
    <w:rsid w:val="00DA3BA2"/>
    <w:rsid w:val="00DA58D6"/>
    <w:rsid w:val="00DB4269"/>
    <w:rsid w:val="00DB733D"/>
    <w:rsid w:val="00DC0283"/>
    <w:rsid w:val="00DC3D1D"/>
    <w:rsid w:val="00DC4E8C"/>
    <w:rsid w:val="00DD2D7F"/>
    <w:rsid w:val="00DD546D"/>
    <w:rsid w:val="00DD79A9"/>
    <w:rsid w:val="00DE2309"/>
    <w:rsid w:val="00DE2C54"/>
    <w:rsid w:val="00DE632A"/>
    <w:rsid w:val="00DE7AB1"/>
    <w:rsid w:val="00DF35B8"/>
    <w:rsid w:val="00DF5D7A"/>
    <w:rsid w:val="00DF7A42"/>
    <w:rsid w:val="00DF7C37"/>
    <w:rsid w:val="00E00BA7"/>
    <w:rsid w:val="00E0236A"/>
    <w:rsid w:val="00E05479"/>
    <w:rsid w:val="00E06DB6"/>
    <w:rsid w:val="00E16762"/>
    <w:rsid w:val="00E16FB1"/>
    <w:rsid w:val="00E27905"/>
    <w:rsid w:val="00E27C71"/>
    <w:rsid w:val="00E372C7"/>
    <w:rsid w:val="00E418A0"/>
    <w:rsid w:val="00E426A1"/>
    <w:rsid w:val="00E52656"/>
    <w:rsid w:val="00E53D1C"/>
    <w:rsid w:val="00E54837"/>
    <w:rsid w:val="00E56124"/>
    <w:rsid w:val="00E56718"/>
    <w:rsid w:val="00E612CB"/>
    <w:rsid w:val="00E615B6"/>
    <w:rsid w:val="00E61ACF"/>
    <w:rsid w:val="00E64902"/>
    <w:rsid w:val="00E6734B"/>
    <w:rsid w:val="00E703D8"/>
    <w:rsid w:val="00E731F6"/>
    <w:rsid w:val="00E73DAE"/>
    <w:rsid w:val="00E75F38"/>
    <w:rsid w:val="00E76CA2"/>
    <w:rsid w:val="00E92EFB"/>
    <w:rsid w:val="00E96CD7"/>
    <w:rsid w:val="00EA09CE"/>
    <w:rsid w:val="00EA553F"/>
    <w:rsid w:val="00EB4870"/>
    <w:rsid w:val="00EB622B"/>
    <w:rsid w:val="00EC24FF"/>
    <w:rsid w:val="00EC388D"/>
    <w:rsid w:val="00EC4253"/>
    <w:rsid w:val="00EC4E3C"/>
    <w:rsid w:val="00EC5AFA"/>
    <w:rsid w:val="00ED1E34"/>
    <w:rsid w:val="00ED6E31"/>
    <w:rsid w:val="00EE1DEA"/>
    <w:rsid w:val="00EE3B2F"/>
    <w:rsid w:val="00EE52CC"/>
    <w:rsid w:val="00EE53DA"/>
    <w:rsid w:val="00EF32E0"/>
    <w:rsid w:val="00EF6002"/>
    <w:rsid w:val="00F0321C"/>
    <w:rsid w:val="00F03C2B"/>
    <w:rsid w:val="00F04967"/>
    <w:rsid w:val="00F06D3E"/>
    <w:rsid w:val="00F07E16"/>
    <w:rsid w:val="00F11A41"/>
    <w:rsid w:val="00F216EE"/>
    <w:rsid w:val="00F228CA"/>
    <w:rsid w:val="00F31EFB"/>
    <w:rsid w:val="00F33201"/>
    <w:rsid w:val="00F33584"/>
    <w:rsid w:val="00F3660F"/>
    <w:rsid w:val="00F42E4B"/>
    <w:rsid w:val="00F43E0D"/>
    <w:rsid w:val="00F44E50"/>
    <w:rsid w:val="00F52BDB"/>
    <w:rsid w:val="00F530DD"/>
    <w:rsid w:val="00F5693B"/>
    <w:rsid w:val="00F60FF1"/>
    <w:rsid w:val="00F63243"/>
    <w:rsid w:val="00F648FF"/>
    <w:rsid w:val="00F65E76"/>
    <w:rsid w:val="00F67D8C"/>
    <w:rsid w:val="00F67ECB"/>
    <w:rsid w:val="00F70B84"/>
    <w:rsid w:val="00F7418E"/>
    <w:rsid w:val="00F76203"/>
    <w:rsid w:val="00F801A7"/>
    <w:rsid w:val="00F80B16"/>
    <w:rsid w:val="00F867B9"/>
    <w:rsid w:val="00F86E65"/>
    <w:rsid w:val="00F91D9E"/>
    <w:rsid w:val="00F92A74"/>
    <w:rsid w:val="00F9461D"/>
    <w:rsid w:val="00FA0BFA"/>
    <w:rsid w:val="00FA19B2"/>
    <w:rsid w:val="00FB0C87"/>
    <w:rsid w:val="00FB1F93"/>
    <w:rsid w:val="00FB27DA"/>
    <w:rsid w:val="00FB2EE9"/>
    <w:rsid w:val="00FC0495"/>
    <w:rsid w:val="00FC2769"/>
    <w:rsid w:val="00FC3BC5"/>
    <w:rsid w:val="00FC64E5"/>
    <w:rsid w:val="00FD0EAE"/>
    <w:rsid w:val="00FD12E9"/>
    <w:rsid w:val="00FD28CA"/>
    <w:rsid w:val="00FD42FB"/>
    <w:rsid w:val="00FD5960"/>
    <w:rsid w:val="00FD7373"/>
    <w:rsid w:val="00FE1F5A"/>
    <w:rsid w:val="00FE3182"/>
    <w:rsid w:val="00FE4479"/>
    <w:rsid w:val="00FE5F2B"/>
    <w:rsid w:val="00FF0B1D"/>
    <w:rsid w:val="00FF32EE"/>
    <w:rsid w:val="00FF3B01"/>
    <w:rsid w:val="00FF4295"/>
    <w:rsid w:val="00FF641D"/>
    <w:rsid w:val="00FF6CEF"/>
    <w:rsid w:val="09C055AF"/>
    <w:rsid w:val="0EBA466A"/>
    <w:rsid w:val="0ECE329B"/>
    <w:rsid w:val="10846077"/>
    <w:rsid w:val="142F79EE"/>
    <w:rsid w:val="14D61575"/>
    <w:rsid w:val="18B6705E"/>
    <w:rsid w:val="26176E7E"/>
    <w:rsid w:val="28506677"/>
    <w:rsid w:val="2B606BD1"/>
    <w:rsid w:val="2F662C24"/>
    <w:rsid w:val="39DA62F4"/>
    <w:rsid w:val="3D5642D8"/>
    <w:rsid w:val="41AB024C"/>
    <w:rsid w:val="4D6F4BD7"/>
    <w:rsid w:val="53EC5CAF"/>
    <w:rsid w:val="54D518C2"/>
    <w:rsid w:val="58CD4FF7"/>
    <w:rsid w:val="59A34F36"/>
    <w:rsid w:val="5F5323BF"/>
    <w:rsid w:val="60213E7A"/>
    <w:rsid w:val="70291255"/>
    <w:rsid w:val="717E1EF5"/>
    <w:rsid w:val="774E632B"/>
    <w:rsid w:val="7E867872"/>
    <w:rsid w:val="7F4B7ED3"/>
    <w:rsid w:val="7F4D0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annotation text"/>
    <w:basedOn w:val="1"/>
    <w:semiHidden/>
    <w:qFormat/>
    <w:uiPriority w:val="0"/>
    <w:pPr>
      <w:jc w:val="left"/>
    </w:pPr>
  </w:style>
  <w:style w:type="paragraph" w:styleId="4">
    <w:name w:val="Body Text"/>
    <w:basedOn w:val="1"/>
    <w:autoRedefine/>
    <w:qFormat/>
    <w:uiPriority w:val="0"/>
    <w:pPr>
      <w:spacing w:after="120"/>
    </w:pPr>
  </w:style>
  <w:style w:type="paragraph" w:styleId="5">
    <w:name w:val="Balloon Text"/>
    <w:basedOn w:val="1"/>
    <w:semiHidden/>
    <w:qFormat/>
    <w:uiPriority w:val="0"/>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autoRedefine/>
    <w:semiHidden/>
    <w:qFormat/>
    <w:uiPriority w:val="0"/>
    <w:rPr>
      <w:b/>
      <w:bCs/>
    </w:rPr>
  </w:style>
  <w:style w:type="character" w:styleId="11">
    <w:name w:val="page number"/>
    <w:basedOn w:val="10"/>
    <w:autoRedefine/>
    <w:qFormat/>
    <w:uiPriority w:val="0"/>
  </w:style>
  <w:style w:type="character" w:styleId="12">
    <w:name w:val="annotation reference"/>
    <w:basedOn w:val="10"/>
    <w:autoRedefine/>
    <w:semiHidden/>
    <w:qFormat/>
    <w:uiPriority w:val="0"/>
    <w:rPr>
      <w:sz w:val="21"/>
      <w:szCs w:val="21"/>
    </w:rPr>
  </w:style>
  <w:style w:type="paragraph" w:customStyle="1" w:styleId="13">
    <w:name w:val="Char"/>
    <w:basedOn w:val="2"/>
    <w:autoRedefine/>
    <w:qFormat/>
    <w:uiPriority w:val="0"/>
    <w:pPr>
      <w:adjustRightInd w:val="0"/>
      <w:snapToGrid w:val="0"/>
      <w:spacing w:line="360" w:lineRule="auto"/>
    </w:pPr>
    <w:rPr>
      <w:rFonts w:ascii="Tahoma" w:hAnsi="Tahoma"/>
      <w:sz w:val="24"/>
    </w:rPr>
  </w:style>
  <w:style w:type="character" w:customStyle="1" w:styleId="14">
    <w:name w:val="apple-style-span"/>
    <w:basedOn w:val="10"/>
    <w:autoRedefine/>
    <w:qFormat/>
    <w:uiPriority w:val="0"/>
  </w:style>
  <w:style w:type="character" w:customStyle="1" w:styleId="15">
    <w:name w:val="apple-converted-space"/>
    <w:basedOn w:val="10"/>
    <w:autoRedefine/>
    <w:qFormat/>
    <w:uiPriority w:val="0"/>
  </w:style>
  <w:style w:type="character" w:customStyle="1" w:styleId="16">
    <w:name w:val="页脚 字符"/>
    <w:basedOn w:val="10"/>
    <w:link w:val="6"/>
    <w:autoRedefine/>
    <w:qFormat/>
    <w:uiPriority w:val="99"/>
    <w:rPr>
      <w:kern w:val="2"/>
      <w:sz w:val="18"/>
      <w:szCs w:val="18"/>
    </w:rPr>
  </w:style>
  <w:style w:type="paragraph" w:customStyle="1" w:styleId="17">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paic-group</Company>
  <Pages>8</Pages>
  <Words>6391</Words>
  <Characters>6413</Characters>
  <Lines>47</Lines>
  <Paragraphs>13</Paragraphs>
  <TotalTime>39</TotalTime>
  <ScaleCrop>false</ScaleCrop>
  <LinksUpToDate>false</LinksUpToDate>
  <CharactersWithSpaces>6483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2016-11-10T08:39:00Z</dcterms:created>
  <dc:creator>焦利康</dc:creator>
  <cp:lastModifiedBy>Zixuan Shen</cp:lastModifiedBy>
  <cp:lastPrinted>2008-03-03T01:23:00Z</cp:lastPrinted>
  <dcterms:modified xsi:type="dcterms:W3CDTF">2024-03-06T08:43:46Z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AF322A9C51274704B819E6CBE5ECD6B8</vt:lpwstr>
  </property>
</Properties>
</file>