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F184" w14:textId="77777777" w:rsidR="006C04B6" w:rsidRDefault="00877F87">
      <w:pPr>
        <w:autoSpaceDE w:val="0"/>
        <w:autoSpaceDN w:val="0"/>
        <w:adjustRightInd w:val="0"/>
        <w:snapToGrid w:val="0"/>
        <w:spacing w:line="580" w:lineRule="exact"/>
        <w:jc w:val="center"/>
        <w:rPr>
          <w:rFonts w:asciiTheme="minorEastAsia" w:eastAsiaTheme="minorEastAsia" w:hAnsiTheme="minorEastAsia"/>
          <w:b/>
          <w:bCs/>
          <w:kern w:val="0"/>
          <w:sz w:val="28"/>
          <w:szCs w:val="36"/>
        </w:rPr>
      </w:pPr>
      <w:r>
        <w:rPr>
          <w:rFonts w:asciiTheme="minorEastAsia" w:eastAsiaTheme="minorEastAsia" w:hAnsiTheme="minorEastAsia" w:hint="eastAsia"/>
          <w:b/>
          <w:bCs/>
          <w:kern w:val="0"/>
          <w:sz w:val="28"/>
          <w:szCs w:val="36"/>
        </w:rPr>
        <w:t>华农财产保险股份有限公司</w:t>
      </w:r>
    </w:p>
    <w:p w14:paraId="5C6A3CF4" w14:textId="7BD977E9" w:rsidR="006C04B6" w:rsidRDefault="00877F87">
      <w:pPr>
        <w:autoSpaceDE w:val="0"/>
        <w:autoSpaceDN w:val="0"/>
        <w:adjustRightInd w:val="0"/>
        <w:snapToGrid w:val="0"/>
        <w:spacing w:line="580" w:lineRule="exact"/>
        <w:jc w:val="center"/>
        <w:rPr>
          <w:rFonts w:asciiTheme="minorEastAsia" w:eastAsiaTheme="minorEastAsia" w:hAnsiTheme="minorEastAsia"/>
          <w:b/>
          <w:bCs/>
          <w:kern w:val="0"/>
          <w:sz w:val="28"/>
          <w:szCs w:val="36"/>
        </w:rPr>
      </w:pPr>
      <w:bookmarkStart w:id="0" w:name="OLE_LINK1"/>
      <w:r>
        <w:rPr>
          <w:rFonts w:asciiTheme="minorEastAsia" w:eastAsiaTheme="minorEastAsia" w:hAnsiTheme="minorEastAsia" w:hint="eastAsia"/>
          <w:b/>
          <w:bCs/>
          <w:kern w:val="0"/>
          <w:sz w:val="28"/>
          <w:szCs w:val="36"/>
        </w:rPr>
        <w:t>特种设备第三者责任保险</w:t>
      </w:r>
      <w:bookmarkEnd w:id="0"/>
      <w:r>
        <w:rPr>
          <w:rFonts w:asciiTheme="minorEastAsia" w:eastAsiaTheme="minorEastAsia" w:hAnsiTheme="minorEastAsia" w:hint="eastAsia"/>
          <w:b/>
          <w:bCs/>
          <w:kern w:val="0"/>
          <w:sz w:val="28"/>
          <w:szCs w:val="36"/>
        </w:rPr>
        <w:t>条款（20</w:t>
      </w:r>
      <w:r>
        <w:rPr>
          <w:rFonts w:asciiTheme="minorEastAsia" w:eastAsiaTheme="minorEastAsia" w:hAnsiTheme="minorEastAsia"/>
          <w:b/>
          <w:bCs/>
          <w:kern w:val="0"/>
          <w:sz w:val="28"/>
          <w:szCs w:val="36"/>
        </w:rPr>
        <w:t>21</w:t>
      </w:r>
      <w:r>
        <w:rPr>
          <w:rFonts w:asciiTheme="minorEastAsia" w:eastAsiaTheme="minorEastAsia" w:hAnsiTheme="minorEastAsia" w:hint="eastAsia"/>
          <w:b/>
          <w:bCs/>
          <w:kern w:val="0"/>
          <w:sz w:val="28"/>
          <w:szCs w:val="36"/>
        </w:rPr>
        <w:t>版）</w:t>
      </w:r>
    </w:p>
    <w:p w14:paraId="722D9662" w14:textId="66ECAD6A" w:rsidR="00CC4389" w:rsidRPr="004B63B5" w:rsidRDefault="004B63B5">
      <w:pPr>
        <w:adjustRightInd w:val="0"/>
        <w:snapToGrid w:val="0"/>
        <w:spacing w:beforeLines="50" w:before="156"/>
        <w:jc w:val="center"/>
        <w:rPr>
          <w:rFonts w:asciiTheme="minorEastAsia" w:eastAsiaTheme="minorEastAsia" w:hAnsiTheme="minorEastAsia"/>
          <w:b/>
          <w:bCs/>
          <w:kern w:val="0"/>
          <w:sz w:val="28"/>
          <w:szCs w:val="36"/>
        </w:rPr>
      </w:pPr>
      <w:r w:rsidRPr="004B63B5">
        <w:rPr>
          <w:rFonts w:asciiTheme="minorEastAsia" w:eastAsiaTheme="minorEastAsia" w:hAnsiTheme="minorEastAsia" w:hint="eastAsia"/>
          <w:b/>
          <w:bCs/>
          <w:kern w:val="0"/>
          <w:sz w:val="28"/>
          <w:szCs w:val="36"/>
        </w:rPr>
        <w:t>注册编号：</w:t>
      </w:r>
      <w:r w:rsidRPr="004B63B5">
        <w:rPr>
          <w:rFonts w:asciiTheme="minorEastAsia" w:eastAsiaTheme="minorEastAsia" w:hAnsiTheme="minorEastAsia"/>
          <w:b/>
          <w:bCs/>
          <w:kern w:val="0"/>
          <w:sz w:val="28"/>
          <w:szCs w:val="36"/>
        </w:rPr>
        <w:t>C00010130912021121012523</w:t>
      </w:r>
    </w:p>
    <w:p w14:paraId="7DF15023" w14:textId="77777777" w:rsidR="004B63B5" w:rsidRPr="004B63B5" w:rsidRDefault="004B63B5" w:rsidP="004B63B5">
      <w:pPr>
        <w:adjustRightInd w:val="0"/>
        <w:snapToGrid w:val="0"/>
        <w:spacing w:beforeLines="50" w:before="156"/>
        <w:rPr>
          <w:rFonts w:ascii="宋体" w:hAnsi="宋体" w:hint="eastAsia"/>
          <w:b/>
          <w:bCs/>
          <w:szCs w:val="21"/>
        </w:rPr>
      </w:pPr>
    </w:p>
    <w:p w14:paraId="14305699" w14:textId="4749B83B"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总  则</w:t>
      </w:r>
    </w:p>
    <w:p w14:paraId="1D76F40A"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第一条</w:t>
      </w:r>
      <w:r>
        <w:rPr>
          <w:rFonts w:ascii="宋体" w:hAnsi="宋体" w:hint="eastAsia"/>
          <w:szCs w:val="21"/>
        </w:rPr>
        <w:t xml:space="preserve">  本保险合同由保险条款、投保单、保险单、保险凭证以及批单组成。凡涉及本保险合同的约定，均应采用书面形式。</w:t>
      </w:r>
    </w:p>
    <w:p w14:paraId="777CEFE8"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凡获得国家特种设备安全监督管理部门批准，取得《特种设备使用登记证》，并按照安全技术规范要求定期进行特种设备检验的特种设备使用单位，均可作为本保险合同的投保人</w:t>
      </w:r>
      <w:r>
        <w:rPr>
          <w:rFonts w:ascii="宋体" w:hAnsi="宋体"/>
          <w:szCs w:val="21"/>
        </w:rPr>
        <w:t>和</w:t>
      </w:r>
      <w:r>
        <w:rPr>
          <w:rFonts w:ascii="宋体" w:hAnsi="宋体" w:hint="eastAsia"/>
          <w:szCs w:val="21"/>
        </w:rPr>
        <w:t>被保险人。</w:t>
      </w:r>
    </w:p>
    <w:p w14:paraId="2CCCCE21" w14:textId="5FE6E442" w:rsidR="00194E14" w:rsidRDefault="00194E14">
      <w:pPr>
        <w:snapToGrid w:val="0"/>
        <w:spacing w:beforeLines="50" w:before="156"/>
        <w:ind w:firstLineChars="200" w:firstLine="422"/>
        <w:rPr>
          <w:rFonts w:ascii="宋体" w:hAnsi="宋体"/>
          <w:snapToGrid w:val="0"/>
          <w:kern w:val="0"/>
          <w:szCs w:val="21"/>
        </w:rPr>
      </w:pPr>
      <w:r w:rsidRPr="00BE0BBB">
        <w:rPr>
          <w:rFonts w:ascii="宋体" w:hAnsi="宋体" w:hint="eastAsia"/>
          <w:b/>
          <w:bCs/>
          <w:snapToGrid w:val="0"/>
          <w:kern w:val="0"/>
          <w:szCs w:val="21"/>
        </w:rPr>
        <w:t>第二条</w:t>
      </w:r>
      <w:r>
        <w:rPr>
          <w:rFonts w:ascii="宋体" w:hAnsi="宋体" w:hint="eastAsia"/>
          <w:snapToGrid w:val="0"/>
          <w:kern w:val="0"/>
          <w:szCs w:val="21"/>
        </w:rPr>
        <w:t xml:space="preserve"> 本保险合同中的“特种设备”是指</w:t>
      </w:r>
      <w:r>
        <w:rPr>
          <w:rFonts w:hint="eastAsia"/>
        </w:rPr>
        <w:t>对人身和财产安全有较大危险性的锅炉、压力容器（含气瓶）、压力管道、电梯、起重机械、客运索道、大型游乐设施、场（厂）内专用机动车辆，以及法律、行政法规规定适用《特种设备安全法》的其他特种设备，前述各类“特种设备”的类别以国家特种设备安全监督管理部门公布的《特种设备目录》为准。</w:t>
      </w:r>
    </w:p>
    <w:p w14:paraId="136DE223" w14:textId="77777777" w:rsidR="006C04B6" w:rsidRDefault="006C04B6">
      <w:pPr>
        <w:adjustRightInd w:val="0"/>
        <w:snapToGrid w:val="0"/>
        <w:spacing w:beforeLines="50" w:before="156"/>
        <w:jc w:val="center"/>
        <w:rPr>
          <w:rFonts w:ascii="宋体" w:hAnsi="宋体"/>
          <w:b/>
          <w:bCs/>
          <w:szCs w:val="21"/>
        </w:rPr>
      </w:pPr>
    </w:p>
    <w:p w14:paraId="79891195"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保险责任</w:t>
      </w:r>
    </w:p>
    <w:p w14:paraId="1A747C2A"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第三条</w:t>
      </w:r>
      <w:r>
        <w:rPr>
          <w:rFonts w:ascii="宋体" w:hAnsi="宋体" w:hint="eastAsia"/>
          <w:szCs w:val="21"/>
        </w:rPr>
        <w:t xml:space="preserve"> </w:t>
      </w:r>
      <w:r>
        <w:rPr>
          <w:rFonts w:ascii="宋体" w:hAnsi="宋体"/>
          <w:szCs w:val="21"/>
        </w:rPr>
        <w:t xml:space="preserve"> </w:t>
      </w:r>
      <w:r>
        <w:rPr>
          <w:rFonts w:ascii="宋体" w:hAnsi="宋体" w:hint="eastAsia"/>
          <w:szCs w:val="21"/>
        </w:rPr>
        <w:t>在保险期间内，</w:t>
      </w:r>
      <w:r>
        <w:rPr>
          <w:rFonts w:ascii="宋体" w:hAnsi="宋体"/>
          <w:snapToGrid w:val="0"/>
          <w:kern w:val="0"/>
          <w:szCs w:val="21"/>
        </w:rPr>
        <w:t>保险单</w:t>
      </w:r>
      <w:r>
        <w:rPr>
          <w:rFonts w:ascii="宋体" w:hAnsi="宋体" w:hint="eastAsia"/>
          <w:snapToGrid w:val="0"/>
          <w:kern w:val="0"/>
          <w:szCs w:val="21"/>
        </w:rPr>
        <w:t>载</w:t>
      </w:r>
      <w:r>
        <w:rPr>
          <w:rFonts w:ascii="宋体" w:hAnsi="宋体"/>
          <w:snapToGrid w:val="0"/>
          <w:kern w:val="0"/>
          <w:szCs w:val="21"/>
        </w:rPr>
        <w:t>明的特种设备（以下简称</w:t>
      </w:r>
      <w:r>
        <w:rPr>
          <w:rFonts w:ascii="宋体" w:hAnsi="宋体" w:hint="eastAsia"/>
          <w:snapToGrid w:val="0"/>
          <w:kern w:val="0"/>
          <w:szCs w:val="21"/>
        </w:rPr>
        <w:t>“</w:t>
      </w:r>
      <w:r>
        <w:rPr>
          <w:rFonts w:ascii="宋体" w:hAnsi="宋体"/>
          <w:snapToGrid w:val="0"/>
          <w:kern w:val="0"/>
          <w:szCs w:val="21"/>
        </w:rPr>
        <w:t>特种设备</w:t>
      </w:r>
      <w:r>
        <w:rPr>
          <w:rFonts w:ascii="宋体" w:hAnsi="宋体" w:hint="eastAsia"/>
          <w:snapToGrid w:val="0"/>
          <w:kern w:val="0"/>
          <w:szCs w:val="21"/>
        </w:rPr>
        <w:t>”</w:t>
      </w:r>
      <w:r>
        <w:rPr>
          <w:rFonts w:ascii="宋体" w:hAnsi="宋体"/>
          <w:snapToGrid w:val="0"/>
          <w:kern w:val="0"/>
          <w:szCs w:val="21"/>
        </w:rPr>
        <w:t>）在使用过程中发生意外</w:t>
      </w:r>
      <w:r>
        <w:rPr>
          <w:rFonts w:ascii="宋体" w:hAnsi="宋体" w:hint="eastAsia"/>
          <w:szCs w:val="21"/>
        </w:rPr>
        <w:t>事故，造成</w:t>
      </w:r>
      <w:r>
        <w:rPr>
          <w:rFonts w:ascii="宋体" w:hAnsi="宋体"/>
          <w:snapToGrid w:val="0"/>
          <w:kern w:val="0"/>
          <w:szCs w:val="21"/>
        </w:rPr>
        <w:t>第三者的</w:t>
      </w:r>
      <w:r>
        <w:rPr>
          <w:rFonts w:ascii="宋体" w:hAnsi="宋体" w:hint="eastAsia"/>
          <w:szCs w:val="21"/>
        </w:rPr>
        <w:t>人身伤亡和财产损失，依照中华人民共和国法律（</w:t>
      </w:r>
      <w:r w:rsidRPr="003A2D48">
        <w:rPr>
          <w:rFonts w:ascii="宋体" w:hAnsi="宋体" w:hint="eastAsia"/>
          <w:b/>
          <w:bCs/>
          <w:szCs w:val="21"/>
        </w:rPr>
        <w:t>不包括港澳台地区法律</w:t>
      </w:r>
      <w:r>
        <w:rPr>
          <w:rFonts w:ascii="宋体" w:hAnsi="宋体" w:hint="eastAsia"/>
          <w:szCs w:val="21"/>
        </w:rPr>
        <w:t>）应由被保险人承担的经济赔偿责任，保险人按照本保险合同约定负责赔偿。</w:t>
      </w:r>
    </w:p>
    <w:p w14:paraId="01CC14A1" w14:textId="1A2F6122"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第四条</w:t>
      </w:r>
      <w:r>
        <w:rPr>
          <w:rFonts w:ascii="宋体" w:hAnsi="宋体" w:hint="eastAsia"/>
          <w:szCs w:val="21"/>
        </w:rPr>
        <w:t xml:space="preserve">  保险事故发生后，被保险人因保险事故而被提起仲裁或者诉讼的，对应由被保险人支付的仲裁或诉讼费用以及事先经保险人书面同意支付的其它必要且合理的费用（以下简称“法律费用”），保险人按照本保险合同约定也负责赔偿。</w:t>
      </w:r>
    </w:p>
    <w:p w14:paraId="0D400EE7" w14:textId="77777777" w:rsidR="006C04B6" w:rsidRDefault="006C04B6">
      <w:pPr>
        <w:adjustRightInd w:val="0"/>
        <w:snapToGrid w:val="0"/>
        <w:spacing w:beforeLines="50" w:before="156"/>
        <w:jc w:val="center"/>
        <w:rPr>
          <w:rFonts w:ascii="宋体" w:hAnsi="宋体"/>
          <w:b/>
          <w:bCs/>
          <w:szCs w:val="21"/>
        </w:rPr>
      </w:pPr>
    </w:p>
    <w:p w14:paraId="6D88600D"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责任免除</w:t>
      </w:r>
    </w:p>
    <w:p w14:paraId="23D9C308"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 xml:space="preserve">第五条  </w:t>
      </w:r>
      <w:r>
        <w:rPr>
          <w:rFonts w:ascii="宋体" w:hAnsi="宋体"/>
          <w:b/>
          <w:szCs w:val="21"/>
        </w:rPr>
        <w:t>出现下列任一情形时，保险人不负责赔偿</w:t>
      </w:r>
      <w:r>
        <w:rPr>
          <w:rFonts w:ascii="宋体" w:hAnsi="宋体" w:hint="eastAsia"/>
          <w:b/>
          <w:szCs w:val="21"/>
        </w:rPr>
        <w:t>：</w:t>
      </w:r>
    </w:p>
    <w:p w14:paraId="741BDF3F" w14:textId="77777777" w:rsidR="006C04B6" w:rsidRDefault="00877F87">
      <w:pPr>
        <w:snapToGrid w:val="0"/>
        <w:spacing w:beforeLines="50" w:before="156"/>
        <w:ind w:firstLineChars="200" w:firstLine="422"/>
        <w:rPr>
          <w:rFonts w:ascii="宋体" w:hAnsi="宋体"/>
          <w:b/>
          <w:snapToGrid w:val="0"/>
          <w:kern w:val="0"/>
          <w:szCs w:val="21"/>
        </w:rPr>
      </w:pPr>
      <w:r>
        <w:rPr>
          <w:rFonts w:ascii="宋体" w:hAnsi="宋体"/>
          <w:b/>
          <w:snapToGrid w:val="0"/>
          <w:kern w:val="0"/>
          <w:szCs w:val="21"/>
        </w:rPr>
        <w:t>（</w:t>
      </w:r>
      <w:r>
        <w:rPr>
          <w:rFonts w:ascii="宋体" w:hAnsi="宋体" w:hint="eastAsia"/>
          <w:b/>
          <w:snapToGrid w:val="0"/>
          <w:kern w:val="0"/>
          <w:szCs w:val="21"/>
        </w:rPr>
        <w:t>一</w:t>
      </w:r>
      <w:r>
        <w:rPr>
          <w:rFonts w:ascii="宋体" w:hAnsi="宋体"/>
          <w:b/>
          <w:snapToGrid w:val="0"/>
          <w:kern w:val="0"/>
          <w:szCs w:val="21"/>
        </w:rPr>
        <w:t>）特种设备未</w:t>
      </w:r>
      <w:r>
        <w:rPr>
          <w:rFonts w:ascii="宋体" w:hAnsi="宋体" w:hint="eastAsia"/>
          <w:b/>
          <w:snapToGrid w:val="0"/>
          <w:kern w:val="0"/>
          <w:szCs w:val="21"/>
        </w:rPr>
        <w:t>按规定向</w:t>
      </w:r>
      <w:r>
        <w:rPr>
          <w:rFonts w:ascii="宋体" w:hAnsi="宋体"/>
          <w:b/>
          <w:snapToGrid w:val="0"/>
          <w:kern w:val="0"/>
          <w:szCs w:val="21"/>
        </w:rPr>
        <w:t>政府相关部门</w:t>
      </w:r>
      <w:r>
        <w:rPr>
          <w:rFonts w:ascii="宋体" w:hAnsi="宋体" w:hint="eastAsia"/>
          <w:b/>
          <w:snapToGrid w:val="0"/>
          <w:kern w:val="0"/>
          <w:szCs w:val="21"/>
        </w:rPr>
        <w:t>登记或登记已注销</w:t>
      </w:r>
      <w:r>
        <w:rPr>
          <w:rFonts w:ascii="宋体" w:hAnsi="宋体"/>
          <w:b/>
          <w:snapToGrid w:val="0"/>
          <w:kern w:val="0"/>
          <w:szCs w:val="21"/>
        </w:rPr>
        <w:t>；</w:t>
      </w:r>
    </w:p>
    <w:p w14:paraId="6C506FD1" w14:textId="77777777" w:rsidR="006C04B6" w:rsidRDefault="00877F87">
      <w:pPr>
        <w:snapToGrid w:val="0"/>
        <w:spacing w:beforeLines="50" w:before="156"/>
        <w:ind w:firstLineChars="200" w:firstLine="422"/>
        <w:rPr>
          <w:rFonts w:ascii="宋体" w:hAnsi="宋体"/>
          <w:b/>
          <w:snapToGrid w:val="0"/>
          <w:kern w:val="0"/>
          <w:szCs w:val="21"/>
        </w:rPr>
      </w:pPr>
      <w:r>
        <w:rPr>
          <w:rFonts w:ascii="宋体" w:hAnsi="宋体"/>
          <w:b/>
          <w:snapToGrid w:val="0"/>
          <w:kern w:val="0"/>
          <w:szCs w:val="21"/>
        </w:rPr>
        <w:t>（</w:t>
      </w:r>
      <w:r>
        <w:rPr>
          <w:rFonts w:ascii="宋体" w:hAnsi="宋体" w:hint="eastAsia"/>
          <w:b/>
          <w:snapToGrid w:val="0"/>
          <w:kern w:val="0"/>
          <w:szCs w:val="21"/>
        </w:rPr>
        <w:t>二</w:t>
      </w:r>
      <w:r>
        <w:rPr>
          <w:rFonts w:ascii="宋体" w:hAnsi="宋体"/>
          <w:b/>
          <w:snapToGrid w:val="0"/>
          <w:kern w:val="0"/>
          <w:szCs w:val="21"/>
        </w:rPr>
        <w:t>）被保险人未根据政府相关部门的规定定期申请对特种设备进行检验或检验不合格；</w:t>
      </w:r>
    </w:p>
    <w:p w14:paraId="64DE8F8C" w14:textId="77777777" w:rsidR="006C04B6" w:rsidRDefault="00877F87">
      <w:pPr>
        <w:snapToGrid w:val="0"/>
        <w:spacing w:beforeLines="50" w:before="156"/>
        <w:ind w:firstLineChars="200" w:firstLine="422"/>
        <w:rPr>
          <w:rFonts w:ascii="宋体" w:hAnsi="宋体"/>
          <w:b/>
          <w:snapToGrid w:val="0"/>
          <w:kern w:val="0"/>
          <w:szCs w:val="21"/>
        </w:rPr>
      </w:pPr>
      <w:r>
        <w:rPr>
          <w:rFonts w:ascii="宋体" w:hAnsi="宋体"/>
          <w:b/>
          <w:snapToGrid w:val="0"/>
          <w:kern w:val="0"/>
          <w:szCs w:val="21"/>
        </w:rPr>
        <w:t>（</w:t>
      </w:r>
      <w:r>
        <w:rPr>
          <w:rFonts w:ascii="宋体" w:hAnsi="宋体" w:hint="eastAsia"/>
          <w:b/>
          <w:snapToGrid w:val="0"/>
          <w:kern w:val="0"/>
          <w:szCs w:val="21"/>
        </w:rPr>
        <w:t>三</w:t>
      </w:r>
      <w:r>
        <w:rPr>
          <w:rFonts w:ascii="宋体" w:hAnsi="宋体"/>
          <w:b/>
          <w:snapToGrid w:val="0"/>
          <w:kern w:val="0"/>
          <w:szCs w:val="21"/>
        </w:rPr>
        <w:t>）按政府相关部门规定，特种设备的操作人员必须取得相应资格证或上岗证才能上岗操作的，操作人员无相应有效资格证或上岗证；</w:t>
      </w:r>
    </w:p>
    <w:p w14:paraId="4935D9FB" w14:textId="77777777" w:rsidR="006C04B6" w:rsidRDefault="00877F87">
      <w:pPr>
        <w:snapToGrid w:val="0"/>
        <w:spacing w:beforeLines="50" w:before="156"/>
        <w:ind w:firstLineChars="200" w:firstLine="422"/>
        <w:rPr>
          <w:rFonts w:ascii="宋体" w:hAnsi="宋体"/>
          <w:b/>
          <w:snapToGrid w:val="0"/>
          <w:kern w:val="0"/>
          <w:szCs w:val="21"/>
        </w:rPr>
      </w:pPr>
      <w:r>
        <w:rPr>
          <w:rFonts w:ascii="宋体" w:hAnsi="宋体"/>
          <w:b/>
          <w:snapToGrid w:val="0"/>
          <w:kern w:val="0"/>
          <w:szCs w:val="21"/>
        </w:rPr>
        <w:t>（</w:t>
      </w:r>
      <w:r>
        <w:rPr>
          <w:rFonts w:ascii="宋体" w:hAnsi="宋体" w:hint="eastAsia"/>
          <w:b/>
          <w:snapToGrid w:val="0"/>
          <w:kern w:val="0"/>
          <w:szCs w:val="21"/>
        </w:rPr>
        <w:t>四</w:t>
      </w:r>
      <w:r>
        <w:rPr>
          <w:rFonts w:ascii="宋体" w:hAnsi="宋体"/>
          <w:b/>
          <w:snapToGrid w:val="0"/>
          <w:kern w:val="0"/>
          <w:szCs w:val="21"/>
        </w:rPr>
        <w:t>）特种设备经相关部门检验已经确认报废，或发现有严重缺陷，限期整改但尚未改正；</w:t>
      </w:r>
    </w:p>
    <w:p w14:paraId="31F85025" w14:textId="77777777" w:rsidR="006C04B6" w:rsidRDefault="00877F87">
      <w:pPr>
        <w:adjustRightInd w:val="0"/>
        <w:snapToGrid w:val="0"/>
        <w:spacing w:beforeLines="50" w:before="156"/>
        <w:ind w:firstLineChars="200" w:firstLine="422"/>
        <w:rPr>
          <w:rFonts w:ascii="宋体" w:hAnsi="宋体"/>
          <w:snapToGrid w:val="0"/>
          <w:kern w:val="0"/>
          <w:szCs w:val="21"/>
        </w:rPr>
      </w:pPr>
      <w:r>
        <w:rPr>
          <w:rFonts w:ascii="宋体" w:hAnsi="宋体"/>
          <w:b/>
          <w:snapToGrid w:val="0"/>
          <w:kern w:val="0"/>
          <w:szCs w:val="21"/>
        </w:rPr>
        <w:t>（</w:t>
      </w:r>
      <w:r>
        <w:rPr>
          <w:rFonts w:ascii="宋体" w:hAnsi="宋体" w:hint="eastAsia"/>
          <w:b/>
          <w:snapToGrid w:val="0"/>
          <w:kern w:val="0"/>
          <w:szCs w:val="21"/>
        </w:rPr>
        <w:t>五</w:t>
      </w:r>
      <w:r>
        <w:rPr>
          <w:rFonts w:ascii="宋体" w:hAnsi="宋体"/>
          <w:b/>
          <w:snapToGrid w:val="0"/>
          <w:kern w:val="0"/>
          <w:szCs w:val="21"/>
        </w:rPr>
        <w:t>）特种设备在公路、城市街道和胡同（里巷），以及公共广场、公共停车场行驶</w:t>
      </w:r>
      <w:r>
        <w:rPr>
          <w:rFonts w:ascii="宋体" w:hAnsi="宋体" w:hint="eastAsia"/>
          <w:b/>
          <w:snapToGrid w:val="0"/>
          <w:kern w:val="0"/>
          <w:szCs w:val="21"/>
        </w:rPr>
        <w:t>或运输过程中发生意外事故。</w:t>
      </w:r>
    </w:p>
    <w:p w14:paraId="1E276CBE"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 xml:space="preserve">第六条  </w:t>
      </w:r>
      <w:r>
        <w:rPr>
          <w:rFonts w:ascii="宋体" w:hAnsi="宋体" w:hint="eastAsia"/>
          <w:b/>
          <w:szCs w:val="21"/>
        </w:rPr>
        <w:t>下列原因造成的损失、费用和责任，保险人不负责赔偿：</w:t>
      </w:r>
    </w:p>
    <w:p w14:paraId="69836B92"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（一）投保人、被保险人及其代表的故意行为或重大过失；</w:t>
      </w:r>
    </w:p>
    <w:p w14:paraId="71C2A2DE"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lastRenderedPageBreak/>
        <w:t>（二）战争、敌对行动、军事行为、武装冲突、罢工、骚乱、暴动、恐怖活动；</w:t>
      </w:r>
    </w:p>
    <w:p w14:paraId="52EF0EE4"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（三）核辐射、核爆炸、核污染及其他放射性污染；</w:t>
      </w:r>
    </w:p>
    <w:p w14:paraId="381B1E90"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（四）大气污染、土地污染、水污染及其他各种污染；</w:t>
      </w:r>
    </w:p>
    <w:p w14:paraId="03705D12"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szCs w:val="21"/>
        </w:rPr>
        <w:t>（五）行政行为或司法行为；</w:t>
      </w:r>
    </w:p>
    <w:p w14:paraId="08AF3E74" w14:textId="26AE0CF3" w:rsidR="006C04B6" w:rsidRDefault="00877F87">
      <w:pPr>
        <w:snapToGrid w:val="0"/>
        <w:spacing w:beforeLines="50" w:before="156"/>
        <w:ind w:firstLineChars="200" w:firstLine="422"/>
        <w:rPr>
          <w:rFonts w:ascii="宋体" w:hAnsi="宋体"/>
          <w:b/>
          <w:snapToGrid w:val="0"/>
          <w:kern w:val="0"/>
          <w:szCs w:val="21"/>
        </w:rPr>
      </w:pPr>
      <w:r>
        <w:rPr>
          <w:rFonts w:ascii="宋体" w:hAnsi="宋体" w:hint="eastAsia"/>
          <w:b/>
          <w:snapToGrid w:val="0"/>
          <w:kern w:val="0"/>
          <w:szCs w:val="21"/>
        </w:rPr>
        <w:t>（六）</w:t>
      </w:r>
      <w:r>
        <w:rPr>
          <w:rFonts w:hint="eastAsia"/>
          <w:b/>
          <w:szCs w:val="21"/>
        </w:rPr>
        <w:t>地震、火山爆发、海啸、雷击、洪水、暴雨、台风、龙卷风、暴风、雪灾、雹灾、冰凌、泥石流、崖崩、地崩、突发性滑坡、地面突然下陷等自然灾害；</w:t>
      </w:r>
    </w:p>
    <w:p w14:paraId="45FBA37C" w14:textId="77777777" w:rsidR="006C04B6" w:rsidRDefault="00877F87">
      <w:pPr>
        <w:snapToGrid w:val="0"/>
        <w:spacing w:beforeLines="50" w:before="156"/>
        <w:ind w:firstLineChars="200" w:firstLine="422"/>
        <w:rPr>
          <w:rFonts w:ascii="宋体" w:hAnsi="宋体"/>
          <w:b/>
          <w:snapToGrid w:val="0"/>
          <w:kern w:val="0"/>
          <w:szCs w:val="21"/>
        </w:rPr>
      </w:pPr>
      <w:r>
        <w:rPr>
          <w:rFonts w:ascii="宋体" w:hAnsi="宋体" w:hint="eastAsia"/>
          <w:b/>
          <w:snapToGrid w:val="0"/>
          <w:kern w:val="0"/>
          <w:szCs w:val="21"/>
        </w:rPr>
        <w:t>（七）</w:t>
      </w:r>
      <w:r>
        <w:rPr>
          <w:rFonts w:ascii="宋体" w:hAnsi="宋体"/>
          <w:b/>
          <w:snapToGrid w:val="0"/>
          <w:kern w:val="0"/>
          <w:szCs w:val="21"/>
        </w:rPr>
        <w:t>盗窃、抢劫、抢夺</w:t>
      </w:r>
      <w:r>
        <w:rPr>
          <w:rFonts w:ascii="宋体" w:hAnsi="宋体" w:hint="eastAsia"/>
          <w:b/>
          <w:snapToGrid w:val="0"/>
          <w:kern w:val="0"/>
          <w:szCs w:val="21"/>
        </w:rPr>
        <w:t>。</w:t>
      </w:r>
    </w:p>
    <w:p w14:paraId="61BBA07D"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 xml:space="preserve">第七条  </w:t>
      </w:r>
      <w:r>
        <w:rPr>
          <w:rFonts w:ascii="宋体" w:hAnsi="宋体" w:hint="eastAsia"/>
          <w:b/>
          <w:szCs w:val="21"/>
        </w:rPr>
        <w:t>下列损失、费用和责任，保险人不负责赔偿：</w:t>
      </w:r>
    </w:p>
    <w:p w14:paraId="7608D072"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（一）被保险人或其雇员的人身伤亡及其所有或管理的财产的损失；</w:t>
      </w:r>
    </w:p>
    <w:p w14:paraId="4B319AFA"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（二）被保险人应该承担的合同责任，但无合同存在时</w:t>
      </w:r>
      <w:proofErr w:type="gramStart"/>
      <w:r>
        <w:rPr>
          <w:rFonts w:ascii="宋体" w:hAnsi="宋体" w:hint="eastAsia"/>
          <w:b/>
          <w:szCs w:val="21"/>
        </w:rPr>
        <w:t>仍然应</w:t>
      </w:r>
      <w:proofErr w:type="gramEnd"/>
      <w:r>
        <w:rPr>
          <w:rFonts w:ascii="宋体" w:hAnsi="宋体" w:hint="eastAsia"/>
          <w:b/>
          <w:szCs w:val="21"/>
        </w:rPr>
        <w:t>由被保险人承担的经济赔偿责任不在此限；</w:t>
      </w:r>
    </w:p>
    <w:p w14:paraId="49134282"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 xml:space="preserve">（三）罚款、罚金及惩罚性赔偿； </w:t>
      </w:r>
    </w:p>
    <w:p w14:paraId="02EB5F54"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（四）精神损害赔偿；</w:t>
      </w:r>
    </w:p>
    <w:p w14:paraId="1AB4D4C9"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（五）间接损失；</w:t>
      </w:r>
    </w:p>
    <w:p w14:paraId="2653F080"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（六）</w:t>
      </w:r>
      <w:r>
        <w:rPr>
          <w:rFonts w:ascii="宋体" w:hAnsi="宋体" w:hint="eastAsia"/>
          <w:b/>
          <w:snapToGrid w:val="0"/>
          <w:spacing w:val="-6"/>
          <w:kern w:val="0"/>
          <w:szCs w:val="21"/>
        </w:rPr>
        <w:t>投保人、被保险人在投保之前已经知道或可以合理预见的索赔情况；</w:t>
      </w:r>
    </w:p>
    <w:p w14:paraId="7D3E21EF"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（七）本保险合同中载明的免赔额。</w:t>
      </w:r>
    </w:p>
    <w:p w14:paraId="53A8B9F2" w14:textId="77777777" w:rsidR="006C04B6" w:rsidRDefault="00877F87">
      <w:pPr>
        <w:adjustRightInd w:val="0"/>
        <w:snapToGrid w:val="0"/>
        <w:spacing w:beforeLines="50" w:before="156"/>
        <w:ind w:firstLineChars="200" w:firstLine="422"/>
        <w:rPr>
          <w:rFonts w:ascii="宋体" w:hAnsi="宋体"/>
          <w:b/>
          <w:szCs w:val="21"/>
          <w:u w:val="single"/>
        </w:rPr>
      </w:pPr>
      <w:r>
        <w:rPr>
          <w:rFonts w:ascii="宋体" w:hAnsi="宋体" w:hint="eastAsia"/>
          <w:b/>
          <w:bCs/>
          <w:szCs w:val="21"/>
        </w:rPr>
        <w:t xml:space="preserve">第八条  </w:t>
      </w:r>
      <w:r>
        <w:rPr>
          <w:rFonts w:ascii="宋体" w:hAnsi="宋体" w:hint="eastAsia"/>
          <w:b/>
          <w:szCs w:val="21"/>
        </w:rPr>
        <w:t>其他不属于本保险合同所列示责任范围内的损失、费用和责任，保险人不负责赔偿。</w:t>
      </w:r>
    </w:p>
    <w:p w14:paraId="0AF256F4" w14:textId="77777777" w:rsidR="006C04B6" w:rsidRDefault="006C04B6">
      <w:pPr>
        <w:adjustRightInd w:val="0"/>
        <w:snapToGrid w:val="0"/>
        <w:spacing w:beforeLines="50" w:before="156"/>
        <w:ind w:firstLineChars="200" w:firstLine="422"/>
        <w:jc w:val="center"/>
        <w:rPr>
          <w:rFonts w:ascii="宋体" w:hAnsi="宋体"/>
          <w:b/>
          <w:bCs/>
          <w:szCs w:val="21"/>
        </w:rPr>
      </w:pPr>
    </w:p>
    <w:p w14:paraId="0DFE808C" w14:textId="7E339792" w:rsidR="006C04B6" w:rsidRDefault="00877F87" w:rsidP="0028750D">
      <w:pPr>
        <w:adjustRightInd w:val="0"/>
        <w:snapToGrid w:val="0"/>
        <w:spacing w:beforeLines="50" w:before="156"/>
        <w:jc w:val="center"/>
        <w:rPr>
          <w:rFonts w:ascii="宋体" w:hAnsi="宋体"/>
          <w:b/>
          <w:bCs/>
          <w:szCs w:val="21"/>
        </w:rPr>
      </w:pPr>
      <w:r>
        <w:rPr>
          <w:rFonts w:ascii="宋体" w:hAnsi="宋体" w:hint="eastAsia"/>
          <w:b/>
          <w:bCs/>
          <w:szCs w:val="21"/>
        </w:rPr>
        <w:t>责任限额与免赔额</w:t>
      </w:r>
    </w:p>
    <w:p w14:paraId="77962D48" w14:textId="15DB4D5A"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第九条</w:t>
      </w:r>
      <w:r>
        <w:rPr>
          <w:rFonts w:ascii="宋体" w:hAnsi="宋体" w:hint="eastAsia"/>
          <w:szCs w:val="21"/>
        </w:rPr>
        <w:t xml:space="preserve">  责任限额包括每次事故每人责任限额</w:t>
      </w:r>
      <w:r w:rsidR="0077040E">
        <w:rPr>
          <w:rFonts w:ascii="宋体" w:hAnsi="宋体" w:hint="eastAsia"/>
          <w:szCs w:val="21"/>
        </w:rPr>
        <w:t>、</w:t>
      </w:r>
      <w:r>
        <w:rPr>
          <w:rFonts w:ascii="宋体" w:hAnsi="宋体" w:hint="eastAsia"/>
          <w:szCs w:val="21"/>
        </w:rPr>
        <w:t>每次事故</w:t>
      </w:r>
      <w:r>
        <w:rPr>
          <w:rFonts w:ascii="宋体" w:hAnsi="宋体" w:hint="eastAsia"/>
          <w:bCs/>
          <w:szCs w:val="21"/>
        </w:rPr>
        <w:t>责任限额</w:t>
      </w:r>
      <w:r>
        <w:rPr>
          <w:rFonts w:ascii="宋体" w:hAnsi="宋体" w:hint="eastAsia"/>
          <w:szCs w:val="21"/>
        </w:rPr>
        <w:t>、累计责任限额，由投保人与保险人协商确定，并在保险合同中载明。</w:t>
      </w:r>
    </w:p>
    <w:p w14:paraId="57542CB9"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第十条</w:t>
      </w:r>
      <w:r>
        <w:rPr>
          <w:rFonts w:ascii="宋体" w:hAnsi="宋体" w:hint="eastAsia"/>
          <w:szCs w:val="21"/>
        </w:rPr>
        <w:t xml:space="preserve">  </w:t>
      </w:r>
      <w:r>
        <w:rPr>
          <w:rFonts w:ascii="宋体" w:hAnsi="宋体" w:hint="eastAsia"/>
          <w:b/>
          <w:szCs w:val="21"/>
        </w:rPr>
        <w:t>每次事故免赔额由投保人与保险人在签订保险合同时协商确定，并在保险合同中载明。</w:t>
      </w:r>
    </w:p>
    <w:p w14:paraId="5344A1ED" w14:textId="77777777" w:rsidR="006C04B6" w:rsidRDefault="006C04B6">
      <w:pPr>
        <w:adjustRightInd w:val="0"/>
        <w:snapToGrid w:val="0"/>
        <w:spacing w:beforeLines="50" w:before="156"/>
        <w:jc w:val="center"/>
        <w:rPr>
          <w:rFonts w:ascii="宋体" w:hAnsi="宋体"/>
          <w:b/>
          <w:bCs/>
          <w:szCs w:val="21"/>
        </w:rPr>
      </w:pPr>
    </w:p>
    <w:p w14:paraId="0B04F072"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保险期间</w:t>
      </w:r>
    </w:p>
    <w:p w14:paraId="5788F5BE"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 xml:space="preserve">第十一条  </w:t>
      </w:r>
      <w:r>
        <w:rPr>
          <w:rFonts w:ascii="宋体" w:hAnsi="宋体" w:hint="eastAsia"/>
          <w:szCs w:val="21"/>
        </w:rPr>
        <w:t>除另有约定外，保险期间为一年，以保险单载明的起讫时间为准。</w:t>
      </w:r>
    </w:p>
    <w:p w14:paraId="3C4859EF" w14:textId="77777777" w:rsidR="006C04B6" w:rsidRDefault="006C04B6">
      <w:pPr>
        <w:adjustRightInd w:val="0"/>
        <w:snapToGrid w:val="0"/>
        <w:spacing w:beforeLines="50" w:before="156"/>
        <w:jc w:val="center"/>
        <w:rPr>
          <w:rFonts w:ascii="宋体" w:hAnsi="宋体"/>
          <w:b/>
          <w:bCs/>
          <w:szCs w:val="21"/>
        </w:rPr>
      </w:pPr>
    </w:p>
    <w:p w14:paraId="3EAEEC7B"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保险人义务</w:t>
      </w:r>
    </w:p>
    <w:p w14:paraId="57B30F89" w14:textId="77777777" w:rsidR="006C04B6" w:rsidRDefault="00877F87">
      <w:pPr>
        <w:adjustRightInd w:val="0"/>
        <w:snapToGrid w:val="0"/>
        <w:spacing w:beforeLines="50" w:before="156"/>
        <w:ind w:firstLineChars="200" w:firstLine="422"/>
        <w:rPr>
          <w:rFonts w:ascii="宋体" w:hAnsi="宋体"/>
          <w:b/>
          <w:bCs/>
          <w:szCs w:val="21"/>
        </w:rPr>
      </w:pPr>
      <w:r>
        <w:rPr>
          <w:rFonts w:ascii="宋体" w:hAnsi="宋体" w:hint="eastAsia"/>
          <w:b/>
          <w:bCs/>
          <w:szCs w:val="21"/>
        </w:rPr>
        <w:t xml:space="preserve">第十二条  </w:t>
      </w:r>
      <w:r>
        <w:rPr>
          <w:rFonts w:ascii="宋体" w:hAnsi="宋体" w:hint="eastAsia"/>
          <w:szCs w:val="21"/>
        </w:rPr>
        <w:t>本保险合同成立后，保险人应当及时向投保人签发保险单或其他保险凭证。</w:t>
      </w:r>
    </w:p>
    <w:p w14:paraId="0B67E758" w14:textId="77777777" w:rsidR="006C04B6" w:rsidRDefault="00877F87">
      <w:pPr>
        <w:adjustRightInd w:val="0"/>
        <w:snapToGrid w:val="0"/>
        <w:spacing w:beforeLines="50" w:before="156"/>
        <w:ind w:firstLineChars="200" w:firstLine="422"/>
        <w:rPr>
          <w:rStyle w:val="apple-style-span"/>
          <w:rFonts w:ascii="宋体" w:hAnsi="宋体"/>
          <w:color w:val="000000"/>
          <w:szCs w:val="21"/>
        </w:rPr>
      </w:pPr>
      <w:r>
        <w:rPr>
          <w:rFonts w:ascii="宋体" w:hAnsi="宋体" w:hint="eastAsia"/>
          <w:b/>
          <w:bCs/>
          <w:szCs w:val="21"/>
        </w:rPr>
        <w:t xml:space="preserve">第十三条  </w:t>
      </w:r>
      <w:r>
        <w:rPr>
          <w:rStyle w:val="apple-style-span"/>
          <w:rFonts w:ascii="宋体" w:hAnsi="宋体" w:hint="eastAsia"/>
          <w:color w:val="000000"/>
          <w:szCs w:val="21"/>
        </w:rPr>
        <w:t>保险人按照</w:t>
      </w:r>
      <w:r>
        <w:rPr>
          <w:rFonts w:ascii="宋体" w:hAnsi="宋体" w:hint="eastAsia"/>
          <w:szCs w:val="21"/>
        </w:rPr>
        <w:t>第二十三条</w:t>
      </w:r>
      <w:r>
        <w:rPr>
          <w:rStyle w:val="apple-style-span"/>
          <w:rFonts w:ascii="宋体" w:hAnsi="宋体" w:hint="eastAsia"/>
          <w:color w:val="000000"/>
          <w:szCs w:val="21"/>
        </w:rPr>
        <w:t>的约定，认为被保险人提供的有关索赔的证明和资料不完整的，应当及时一次性通知投保人、被保险人补充提供。</w:t>
      </w:r>
    </w:p>
    <w:p w14:paraId="2C22D604" w14:textId="331ACAF1" w:rsidR="006C04B6" w:rsidRDefault="00877F87">
      <w:pPr>
        <w:ind w:firstLineChars="200" w:firstLine="422"/>
        <w:rPr>
          <w:rStyle w:val="apple-style-span"/>
          <w:rFonts w:ascii="宋体" w:hAnsi="宋体"/>
          <w:szCs w:val="21"/>
        </w:rPr>
      </w:pPr>
      <w:r>
        <w:rPr>
          <w:rFonts w:ascii="宋体" w:hAnsi="宋体" w:hint="eastAsia"/>
          <w:b/>
          <w:bCs/>
          <w:szCs w:val="21"/>
        </w:rPr>
        <w:t xml:space="preserve">第十四条  </w:t>
      </w:r>
      <w:r>
        <w:rPr>
          <w:rStyle w:val="apple-style-span"/>
          <w:rFonts w:ascii="宋体" w:hAnsi="宋体"/>
          <w:szCs w:val="21"/>
        </w:rPr>
        <w:t>保险人收到被保险人的赔偿保险金的请求后，应当及时</w:t>
      </w:r>
      <w:proofErr w:type="gramStart"/>
      <w:r>
        <w:rPr>
          <w:rStyle w:val="apple-style-span"/>
          <w:rFonts w:ascii="宋体" w:hAnsi="宋体"/>
          <w:szCs w:val="21"/>
        </w:rPr>
        <w:t>作出</w:t>
      </w:r>
      <w:proofErr w:type="gramEnd"/>
      <w:r>
        <w:rPr>
          <w:rStyle w:val="apple-style-span"/>
          <w:rFonts w:ascii="宋体" w:hAnsi="宋体"/>
          <w:szCs w:val="21"/>
        </w:rPr>
        <w:t>核定</w:t>
      </w:r>
      <w:r>
        <w:rPr>
          <w:rStyle w:val="apple-style-span"/>
          <w:rFonts w:ascii="宋体" w:hAnsi="宋体" w:hint="eastAsia"/>
          <w:szCs w:val="21"/>
        </w:rPr>
        <w:t>；</w:t>
      </w:r>
      <w:r>
        <w:rPr>
          <w:rStyle w:val="apple-style-span"/>
          <w:rFonts w:ascii="宋体" w:hAnsi="宋体"/>
          <w:szCs w:val="21"/>
        </w:rPr>
        <w:t>情形复杂的，应当在三十日内</w:t>
      </w:r>
      <w:proofErr w:type="gramStart"/>
      <w:r>
        <w:rPr>
          <w:rStyle w:val="apple-style-span"/>
          <w:rFonts w:ascii="宋体" w:hAnsi="宋体"/>
          <w:szCs w:val="21"/>
        </w:rPr>
        <w:t>作出</w:t>
      </w:r>
      <w:proofErr w:type="gramEnd"/>
      <w:r>
        <w:rPr>
          <w:rStyle w:val="apple-style-span"/>
          <w:rFonts w:ascii="宋体" w:hAnsi="宋体"/>
          <w:szCs w:val="21"/>
        </w:rPr>
        <w:t>核定，但合同另有约定的除外。</w:t>
      </w:r>
    </w:p>
    <w:p w14:paraId="4F791006" w14:textId="03966D15" w:rsidR="006C04B6" w:rsidRDefault="00877F87">
      <w:pPr>
        <w:ind w:firstLineChars="100" w:firstLine="210"/>
        <w:rPr>
          <w:rStyle w:val="apple-style-span"/>
          <w:rFonts w:ascii="宋体" w:hAnsi="宋体"/>
          <w:szCs w:val="21"/>
        </w:rPr>
      </w:pPr>
      <w:r>
        <w:rPr>
          <w:rStyle w:val="apple-style-span"/>
          <w:rFonts w:ascii="宋体" w:hAnsi="宋体"/>
          <w:szCs w:val="21"/>
        </w:rPr>
        <w:t xml:space="preserve">  保险人应当将核定结果通知被保险人</w:t>
      </w:r>
      <w:r>
        <w:rPr>
          <w:rStyle w:val="apple-style-span"/>
          <w:rFonts w:ascii="宋体" w:hAnsi="宋体" w:hint="eastAsia"/>
          <w:szCs w:val="21"/>
        </w:rPr>
        <w:t>；</w:t>
      </w:r>
      <w:r>
        <w:rPr>
          <w:rStyle w:val="apple-style-span"/>
          <w:rFonts w:ascii="宋体" w:hAnsi="宋体"/>
          <w:szCs w:val="21"/>
        </w:rPr>
        <w:t>对属于保险责任的，在与被保险人达成赔偿保险金的协议后十日内，履行赔偿保险金义务。保险合同对赔偿保险金的期限有约定的，保险人</w:t>
      </w:r>
      <w:r>
        <w:rPr>
          <w:rStyle w:val="apple-style-span"/>
          <w:rFonts w:ascii="宋体" w:hAnsi="宋体"/>
          <w:szCs w:val="21"/>
        </w:rPr>
        <w:lastRenderedPageBreak/>
        <w:t>应当按照约定履行赔偿保险金义务。保险人依照前款约定</w:t>
      </w:r>
      <w:proofErr w:type="gramStart"/>
      <w:r>
        <w:rPr>
          <w:rStyle w:val="apple-style-span"/>
          <w:rFonts w:ascii="宋体" w:hAnsi="宋体"/>
          <w:szCs w:val="21"/>
        </w:rPr>
        <w:t>作出</w:t>
      </w:r>
      <w:proofErr w:type="gramEnd"/>
      <w:r>
        <w:rPr>
          <w:rStyle w:val="apple-style-span"/>
          <w:rFonts w:ascii="宋体" w:hAnsi="宋体"/>
          <w:szCs w:val="21"/>
        </w:rPr>
        <w:t>核定后，对不属于保险责任的，应当自</w:t>
      </w:r>
      <w:proofErr w:type="gramStart"/>
      <w:r>
        <w:rPr>
          <w:rStyle w:val="apple-style-span"/>
          <w:rFonts w:ascii="宋体" w:hAnsi="宋体"/>
          <w:szCs w:val="21"/>
        </w:rPr>
        <w:t>作出</w:t>
      </w:r>
      <w:proofErr w:type="gramEnd"/>
      <w:r>
        <w:rPr>
          <w:rStyle w:val="apple-style-span"/>
          <w:rFonts w:ascii="宋体" w:hAnsi="宋体"/>
          <w:szCs w:val="21"/>
        </w:rPr>
        <w:t>核定之日起三日内向被保险人发出拒绝</w:t>
      </w:r>
      <w:r w:rsidR="00C144BC">
        <w:rPr>
          <w:rStyle w:val="apple-style-span"/>
          <w:rFonts w:ascii="宋体" w:hAnsi="宋体"/>
          <w:szCs w:val="21"/>
        </w:rPr>
        <w:t>赔偿</w:t>
      </w:r>
      <w:r>
        <w:rPr>
          <w:rStyle w:val="apple-style-span"/>
          <w:rFonts w:ascii="宋体" w:hAnsi="宋体"/>
          <w:szCs w:val="21"/>
        </w:rPr>
        <w:t>保险金通知书，并说明理由。</w:t>
      </w:r>
    </w:p>
    <w:p w14:paraId="72689556"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 xml:space="preserve">第十五条  </w:t>
      </w:r>
      <w:r>
        <w:rPr>
          <w:rStyle w:val="apple-style-span"/>
          <w:rFonts w:ascii="宋体" w:hAnsi="宋体" w:hint="eastAsia"/>
          <w:color w:val="000000"/>
          <w:szCs w:val="21"/>
        </w:rPr>
        <w:t>保险人自收到</w:t>
      </w:r>
      <w:r>
        <w:rPr>
          <w:rFonts w:ascii="宋体" w:hAnsi="宋体" w:hint="eastAsia"/>
          <w:szCs w:val="21"/>
        </w:rPr>
        <w:t>赔偿</w:t>
      </w:r>
      <w:r>
        <w:rPr>
          <w:rStyle w:val="apple-style-span"/>
          <w:rFonts w:ascii="宋体" w:hAnsi="宋体" w:hint="eastAsia"/>
          <w:color w:val="000000"/>
          <w:szCs w:val="21"/>
        </w:rPr>
        <w:t>保险金的请求和有关证明、资料之日起六十日内，对其赔偿保险金的数额不能确定的，应当根据已有证明和资料可以确定的数额先</w:t>
      </w:r>
      <w:proofErr w:type="gramStart"/>
      <w:r>
        <w:rPr>
          <w:rStyle w:val="apple-style-span"/>
          <w:rFonts w:ascii="宋体" w:hAnsi="宋体" w:hint="eastAsia"/>
          <w:color w:val="000000"/>
          <w:szCs w:val="21"/>
        </w:rPr>
        <w:t>予支</w:t>
      </w:r>
      <w:proofErr w:type="gramEnd"/>
      <w:r>
        <w:rPr>
          <w:rStyle w:val="apple-style-span"/>
          <w:rFonts w:ascii="宋体" w:hAnsi="宋体" w:hint="eastAsia"/>
          <w:color w:val="000000"/>
          <w:szCs w:val="21"/>
        </w:rPr>
        <w:t>付；保险人最终确定赔偿的数额后，应当支付相应的差额。</w:t>
      </w:r>
    </w:p>
    <w:p w14:paraId="3135F84F" w14:textId="77777777" w:rsidR="006C04B6" w:rsidRDefault="006C04B6">
      <w:pPr>
        <w:adjustRightInd w:val="0"/>
        <w:snapToGrid w:val="0"/>
        <w:spacing w:beforeLines="50" w:before="156"/>
        <w:jc w:val="center"/>
        <w:rPr>
          <w:rFonts w:ascii="宋体" w:hAnsi="宋体"/>
          <w:b/>
          <w:bCs/>
          <w:szCs w:val="21"/>
        </w:rPr>
      </w:pPr>
    </w:p>
    <w:p w14:paraId="7E83B01C"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投保人、被保险人义务</w:t>
      </w:r>
    </w:p>
    <w:p w14:paraId="1D0811F8"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第十六条</w:t>
      </w:r>
      <w:r>
        <w:rPr>
          <w:rFonts w:ascii="宋体" w:hAnsi="宋体" w:hint="eastAsia"/>
          <w:szCs w:val="21"/>
        </w:rPr>
        <w:t xml:space="preserve">  订立保险合同，保险人就保险标的或者被保险人的有关情况提出询问的，投保人应当如实告知。</w:t>
      </w:r>
    </w:p>
    <w:p w14:paraId="59A60ADE"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投保人故意或者因重大过失未履行前款规定的如实告知义务，足以影响保险人决定是否同意承保或者提高保险费率的，保险人有权解除保险合同。</w:t>
      </w:r>
    </w:p>
    <w:p w14:paraId="51FBD431" w14:textId="3CE3738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前款规定的合同解除权，自保险人知道有解除事由之日起，超过三十日不行使而消灭。</w:t>
      </w:r>
    </w:p>
    <w:p w14:paraId="45084B12"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投保人故意不履行如实告知义务的，保险人对于合同解除前发生的保险事故，不承担赔偿保险金的责任，并不退还保险费。</w:t>
      </w:r>
    </w:p>
    <w:p w14:paraId="6A34C143"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投保人因重大过失未履行如实告知义务，对保险事故的发生有严重影响的，保险人对于合同解除前发生的保险事故，不承担赔偿保险金的责任，但应当退还保险费。</w:t>
      </w:r>
    </w:p>
    <w:p w14:paraId="04E70B5F"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保险人在合同订立时已经知道投保人未如实告知的情况的，保险人不得解除合同；发生保险事故的，保险人应当承担赔偿保险金的责任。</w:t>
      </w:r>
    </w:p>
    <w:p w14:paraId="2EAC01CC" w14:textId="77777777" w:rsidR="006C04B6" w:rsidRDefault="00877F87">
      <w:pPr>
        <w:adjustRightInd w:val="0"/>
        <w:snapToGrid w:val="0"/>
        <w:spacing w:beforeLines="50" w:before="156"/>
        <w:ind w:firstLineChars="200" w:firstLine="422"/>
        <w:rPr>
          <w:rFonts w:ascii="宋体" w:hAnsi="宋体"/>
          <w:szCs w:val="21"/>
        </w:rPr>
      </w:pPr>
      <w:bookmarkStart w:id="1" w:name="OLE_LINK2"/>
      <w:r>
        <w:rPr>
          <w:rFonts w:ascii="宋体" w:hAnsi="宋体" w:hint="eastAsia"/>
          <w:b/>
          <w:bCs/>
          <w:szCs w:val="21"/>
        </w:rPr>
        <w:t>第十七条</w:t>
      </w:r>
      <w:r>
        <w:rPr>
          <w:rFonts w:ascii="宋体" w:hAnsi="宋体" w:hint="eastAsia"/>
          <w:szCs w:val="21"/>
        </w:rPr>
        <w:t xml:space="preserve">  除另有约定外，投保人应当在保险合同成立时交付保险费。</w:t>
      </w:r>
    </w:p>
    <w:p w14:paraId="17CDB120" w14:textId="6805EEFE"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约定一次性交付保险费的，投保人</w:t>
      </w:r>
      <w:r w:rsidR="00AF4A54">
        <w:rPr>
          <w:rFonts w:ascii="宋体" w:hAnsi="宋体" w:hint="eastAsia"/>
          <w:b/>
          <w:szCs w:val="21"/>
        </w:rPr>
        <w:t>未按约定</w:t>
      </w:r>
      <w:r>
        <w:rPr>
          <w:rFonts w:ascii="宋体" w:hAnsi="宋体" w:hint="eastAsia"/>
          <w:b/>
          <w:szCs w:val="21"/>
        </w:rPr>
        <w:t>交付保险费的，</w:t>
      </w:r>
      <w:r w:rsidR="00CA18F1">
        <w:rPr>
          <w:rFonts w:ascii="宋体" w:hAnsi="宋体" w:hint="eastAsia"/>
          <w:b/>
          <w:szCs w:val="21"/>
        </w:rPr>
        <w:t>本</w:t>
      </w:r>
      <w:r>
        <w:rPr>
          <w:rFonts w:ascii="宋体" w:hAnsi="宋体" w:hint="eastAsia"/>
          <w:b/>
          <w:szCs w:val="21"/>
        </w:rPr>
        <w:t>保险合同不生效，保险人对</w:t>
      </w:r>
      <w:r w:rsidR="00CA18F1">
        <w:rPr>
          <w:rFonts w:ascii="宋体" w:hAnsi="宋体" w:hint="eastAsia"/>
          <w:b/>
          <w:szCs w:val="21"/>
        </w:rPr>
        <w:t>本</w:t>
      </w:r>
      <w:r>
        <w:rPr>
          <w:rFonts w:ascii="宋体" w:hAnsi="宋体" w:hint="eastAsia"/>
          <w:b/>
          <w:szCs w:val="21"/>
        </w:rPr>
        <w:t>保险合同生效之前发生的保险事故不承担保险责任。</w:t>
      </w:r>
    </w:p>
    <w:p w14:paraId="4910CD13"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szCs w:val="21"/>
        </w:rPr>
        <w:t>约定分期交付保险费的，保险人按照保险事故发生前保险人实际收取保险费总额与投保人应当交付保险费的比例承担保险责任</w:t>
      </w:r>
      <w:r>
        <w:rPr>
          <w:rFonts w:ascii="宋体" w:hAnsi="宋体" w:hint="eastAsia"/>
          <w:szCs w:val="21"/>
        </w:rPr>
        <w:t>，投保人应当交付保险费是指截至保险事故发生时投保人按约定分期应该缴纳的保费总额。</w:t>
      </w:r>
    </w:p>
    <w:bookmarkEnd w:id="1"/>
    <w:p w14:paraId="24983170"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第十八条</w:t>
      </w:r>
      <w:r>
        <w:rPr>
          <w:rFonts w:ascii="宋体" w:hAnsi="宋体" w:hint="eastAsia"/>
          <w:szCs w:val="21"/>
        </w:rPr>
        <w:t xml:space="preserve">  被保险人应严格遵守国家及政府有关部门的相应法律、法规和规定</w:t>
      </w:r>
      <w:r>
        <w:rPr>
          <w:rFonts w:ascii="宋体" w:hAnsi="宋体" w:hint="eastAsia"/>
          <w:snapToGrid w:val="0"/>
          <w:kern w:val="0"/>
          <w:szCs w:val="21"/>
        </w:rPr>
        <w:t>；</w:t>
      </w:r>
      <w:r>
        <w:rPr>
          <w:rFonts w:ascii="宋体" w:hAnsi="宋体"/>
          <w:snapToGrid w:val="0"/>
          <w:kern w:val="0"/>
          <w:szCs w:val="21"/>
        </w:rPr>
        <w:t>使用符合规定的特种设备，并办理使用登记手续</w:t>
      </w:r>
      <w:r>
        <w:rPr>
          <w:rFonts w:ascii="宋体" w:hAnsi="宋体" w:hint="eastAsia"/>
          <w:snapToGrid w:val="0"/>
          <w:kern w:val="0"/>
          <w:szCs w:val="21"/>
        </w:rPr>
        <w:t>；</w:t>
      </w:r>
      <w:r>
        <w:rPr>
          <w:rFonts w:ascii="宋体" w:hAnsi="宋体"/>
          <w:snapToGrid w:val="0"/>
          <w:kern w:val="0"/>
          <w:szCs w:val="21"/>
        </w:rPr>
        <w:t>选用具有相应资格证、上岗证或经过培训的合格的工作人员操作特种设备</w:t>
      </w:r>
      <w:r>
        <w:rPr>
          <w:rFonts w:ascii="宋体" w:hAnsi="宋体" w:hint="eastAsia"/>
          <w:snapToGrid w:val="0"/>
          <w:kern w:val="0"/>
          <w:szCs w:val="21"/>
        </w:rPr>
        <w:t>；</w:t>
      </w:r>
      <w:r>
        <w:rPr>
          <w:rFonts w:ascii="宋体" w:hAnsi="宋体"/>
          <w:snapToGrid w:val="0"/>
          <w:kern w:val="0"/>
          <w:szCs w:val="21"/>
        </w:rPr>
        <w:t>根据政府相关部门的规定定期申请检验，做好特种设备的维修，及时消除事故隐患。对已经发现的故障应予立即修复，并采取预防措施以防止发生事故。</w:t>
      </w:r>
    </w:p>
    <w:p w14:paraId="7DAD5FDD" w14:textId="77777777" w:rsidR="006C04B6" w:rsidRDefault="00877F87">
      <w:pPr>
        <w:adjustRightInd w:val="0"/>
        <w:snapToGrid w:val="0"/>
        <w:spacing w:beforeLines="50" w:before="156"/>
        <w:ind w:firstLineChars="200" w:firstLine="420"/>
        <w:rPr>
          <w:rFonts w:ascii="宋体" w:hAnsi="宋体"/>
          <w:b/>
          <w:color w:val="FF00FF"/>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r>
        <w:rPr>
          <w:rFonts w:ascii="宋体" w:hAnsi="宋体" w:hint="eastAsia"/>
          <w:b/>
          <w:snapToGrid w:val="0"/>
          <w:kern w:val="0"/>
          <w:szCs w:val="21"/>
        </w:rPr>
        <w:t>但前述检查并不构成保险人对被保险人的任何承诺。</w:t>
      </w:r>
    </w:p>
    <w:p w14:paraId="7F439ABE"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投保人、被保险人未按照约定履行上述安全义务的，保险人有权要求增加保险费或者解除合同。</w:t>
      </w:r>
    </w:p>
    <w:p w14:paraId="5F9455CB"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第十九条</w:t>
      </w:r>
      <w:r>
        <w:rPr>
          <w:rFonts w:ascii="宋体" w:hAnsi="宋体" w:hint="eastAsia"/>
          <w:szCs w:val="21"/>
        </w:rPr>
        <w:t xml:space="preserve">  </w:t>
      </w:r>
      <w:r>
        <w:rPr>
          <w:rFonts w:ascii="宋体" w:hAnsi="宋体" w:hint="eastAsia"/>
          <w:b/>
          <w:szCs w:val="21"/>
        </w:rPr>
        <w:t>在保险合同有效期内，保险标的</w:t>
      </w:r>
      <w:proofErr w:type="gramStart"/>
      <w:r>
        <w:rPr>
          <w:rFonts w:ascii="宋体" w:hAnsi="宋体" w:hint="eastAsia"/>
          <w:b/>
          <w:szCs w:val="21"/>
        </w:rPr>
        <w:t>的</w:t>
      </w:r>
      <w:proofErr w:type="gramEnd"/>
      <w:r>
        <w:rPr>
          <w:rFonts w:ascii="宋体" w:hAnsi="宋体" w:hint="eastAsia"/>
          <w:b/>
          <w:szCs w:val="21"/>
        </w:rPr>
        <w:t>危险程度显著增加的，被保险人应当及时通知保险人，保险人可以根据费率表的规定增加保险费或者解除合同。</w:t>
      </w:r>
    </w:p>
    <w:p w14:paraId="58AC46CE"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被保险人未履行前款约定的通知义务的，因保险标的</w:t>
      </w:r>
      <w:proofErr w:type="gramStart"/>
      <w:r>
        <w:rPr>
          <w:rFonts w:ascii="宋体" w:hAnsi="宋体" w:hint="eastAsia"/>
          <w:b/>
          <w:szCs w:val="21"/>
        </w:rPr>
        <w:t>的</w:t>
      </w:r>
      <w:proofErr w:type="gramEnd"/>
      <w:r>
        <w:rPr>
          <w:rFonts w:ascii="宋体" w:hAnsi="宋体" w:hint="eastAsia"/>
          <w:b/>
          <w:szCs w:val="21"/>
        </w:rPr>
        <w:t>危险程度显著增加而发生的保险事故，保险人不承担赔偿保险金的责任。</w:t>
      </w:r>
    </w:p>
    <w:p w14:paraId="6425228D"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第二十条</w:t>
      </w:r>
      <w:r>
        <w:rPr>
          <w:rFonts w:ascii="宋体" w:hAnsi="宋体" w:hint="eastAsia"/>
          <w:b/>
          <w:szCs w:val="21"/>
        </w:rPr>
        <w:t xml:space="preserve">  知道保险事故发生后，被保险人应该：</w:t>
      </w:r>
    </w:p>
    <w:p w14:paraId="7FAB73A1" w14:textId="59505FD1"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（一）尽力采取必要且合理的措施，防止或减少损失，否则，对因此扩大的损失，保险人不承担赔偿责任；</w:t>
      </w:r>
    </w:p>
    <w:p w14:paraId="6F7FE3B8" w14:textId="77777777" w:rsidR="006C04B6" w:rsidRDefault="00877F87">
      <w:pPr>
        <w:adjustRightInd w:val="0"/>
        <w:snapToGrid w:val="0"/>
        <w:spacing w:beforeLines="50" w:before="156"/>
        <w:ind w:firstLineChars="200" w:firstLine="422"/>
        <w:rPr>
          <w:rStyle w:val="apple-style-span"/>
          <w:rFonts w:ascii="宋体" w:hAnsi="宋体"/>
          <w:color w:val="000000"/>
          <w:szCs w:val="21"/>
        </w:rPr>
      </w:pPr>
      <w:r>
        <w:rPr>
          <w:rFonts w:ascii="宋体" w:hAnsi="宋体" w:hint="eastAsia"/>
          <w:b/>
          <w:szCs w:val="21"/>
        </w:rPr>
        <w:lastRenderedPageBreak/>
        <w:t>（二）</w:t>
      </w:r>
      <w:r>
        <w:rPr>
          <w:rFonts w:ascii="宋体" w:hAnsi="宋体" w:hint="eastAsia"/>
          <w:szCs w:val="21"/>
        </w:rPr>
        <w:t>及时通知保险人，并书面说明事故发生的原因、经过和损失情况；</w:t>
      </w:r>
      <w:r>
        <w:rPr>
          <w:rStyle w:val="apple-style-span"/>
          <w:rFonts w:ascii="宋体" w:hAnsi="宋体"/>
          <w:b/>
          <w:color w:val="000000"/>
          <w:szCs w:val="21"/>
        </w:rPr>
        <w:t>故意或者因重大过失未及时通知，致使保险事故的性质、原因、损失程度等难以确定的，保险人对无法确定的部分，不承担赔偿责任，</w:t>
      </w:r>
      <w:r>
        <w:rPr>
          <w:rStyle w:val="apple-style-span"/>
          <w:rFonts w:ascii="宋体" w:hAnsi="宋体"/>
          <w:color w:val="000000"/>
          <w:szCs w:val="21"/>
        </w:rPr>
        <w:t>但保险人通过其他途径已经及时知道或者应当及时知道保险事故发生的除外</w:t>
      </w:r>
      <w:r>
        <w:rPr>
          <w:rStyle w:val="apple-style-span"/>
          <w:rFonts w:ascii="宋体" w:hAnsi="宋体" w:hint="eastAsia"/>
          <w:color w:val="000000"/>
          <w:szCs w:val="21"/>
        </w:rPr>
        <w:t>；</w:t>
      </w:r>
    </w:p>
    <w:p w14:paraId="184FE9FB"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（三）</w:t>
      </w:r>
      <w:r>
        <w:rPr>
          <w:rFonts w:ascii="宋体" w:hAnsi="宋体" w:hint="eastAsia"/>
          <w:szCs w:val="21"/>
        </w:rPr>
        <w:t>保护事故现场，允许并且协助保险人进行事故调查；</w:t>
      </w:r>
      <w:r>
        <w:rPr>
          <w:rFonts w:ascii="宋体" w:hAnsi="宋体" w:hint="eastAsia"/>
          <w:b/>
          <w:szCs w:val="21"/>
        </w:rPr>
        <w:t>对于拒绝或者妨碍保险人进行事故调查导致无法确定事故原因或核实损失情况的，保险人对无法确定或核实的部分，不承担赔偿责任；</w:t>
      </w:r>
    </w:p>
    <w:p w14:paraId="4CCFF775" w14:textId="77777777" w:rsidR="006C04B6" w:rsidRDefault="00877F87">
      <w:pPr>
        <w:adjustRightInd w:val="0"/>
        <w:snapToGrid w:val="0"/>
        <w:spacing w:beforeLines="50" w:before="156"/>
        <w:ind w:firstLineChars="200" w:firstLine="422"/>
        <w:rPr>
          <w:b/>
          <w:szCs w:val="21"/>
        </w:rPr>
      </w:pPr>
      <w:r>
        <w:rPr>
          <w:rFonts w:hint="eastAsia"/>
          <w:b/>
          <w:szCs w:val="21"/>
        </w:rPr>
        <w:t>（四）涉及违法、犯罪的，应立即向公安部门报案，</w:t>
      </w:r>
      <w:r>
        <w:rPr>
          <w:rFonts w:ascii="宋体" w:hAnsi="宋体" w:hint="eastAsia"/>
          <w:b/>
          <w:szCs w:val="21"/>
        </w:rPr>
        <w:t>否则，对因此扩大的损失，保险人不承担赔偿责任。</w:t>
      </w:r>
    </w:p>
    <w:p w14:paraId="615522F6"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第二十一条</w:t>
      </w:r>
      <w:r>
        <w:rPr>
          <w:rFonts w:ascii="宋体" w:hAnsi="宋体" w:hint="eastAsia"/>
          <w:szCs w:val="21"/>
        </w:rPr>
        <w:t xml:space="preserve">  被保险人收到受害人的损害赔偿请求时，应立即通知保险人。</w:t>
      </w:r>
      <w:r>
        <w:rPr>
          <w:rStyle w:val="apple-style-span"/>
          <w:rFonts w:ascii="宋体" w:hAnsi="宋体" w:hint="eastAsia"/>
          <w:b/>
          <w:szCs w:val="21"/>
        </w:rPr>
        <w:t>未经保险人书面同意，被保险人对受害人及其代理人</w:t>
      </w:r>
      <w:proofErr w:type="gramStart"/>
      <w:r>
        <w:rPr>
          <w:rStyle w:val="apple-style-span"/>
          <w:rFonts w:ascii="宋体" w:hAnsi="宋体" w:hint="eastAsia"/>
          <w:b/>
          <w:szCs w:val="21"/>
        </w:rPr>
        <w:t>作出</w:t>
      </w:r>
      <w:proofErr w:type="gramEnd"/>
      <w:r>
        <w:rPr>
          <w:rStyle w:val="apple-style-span"/>
          <w:rFonts w:ascii="宋体" w:hAnsi="宋体" w:hint="eastAsia"/>
          <w:b/>
          <w:szCs w:val="21"/>
        </w:rPr>
        <w:t>的任何承诺、拒绝、出价、约定、付款或赔偿，保险人不受其约束。对于被保险人自行承诺或支付的赔偿金额，保险人有权重</w:t>
      </w:r>
      <w:r>
        <w:rPr>
          <w:rStyle w:val="apple-style-span"/>
          <w:rFonts w:ascii="宋体" w:hAnsi="宋体" w:hint="eastAsia"/>
          <w:b/>
          <w:color w:val="000000"/>
          <w:szCs w:val="21"/>
        </w:rPr>
        <w:t>新核定，不属于本保险责任范围或超出应赔偿限额的，保险人不承担赔偿责任。在处理索赔过程中，保险人有权自行处理由其承担最终赔偿责任的任何索赔案件，被保险人有义务向保险人提供其所能提供的资料和协助</w:t>
      </w:r>
      <w:r>
        <w:rPr>
          <w:rFonts w:ascii="宋体" w:hAnsi="宋体" w:hint="eastAsia"/>
          <w:b/>
          <w:szCs w:val="21"/>
        </w:rPr>
        <w:t>。</w:t>
      </w:r>
    </w:p>
    <w:p w14:paraId="1A2B20F2"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第二十二条</w:t>
      </w:r>
      <w:r>
        <w:rPr>
          <w:rFonts w:ascii="宋体" w:hAnsi="宋体" w:hint="eastAsia"/>
          <w:szCs w:val="21"/>
        </w:rPr>
        <w:t xml:space="preserve">  被保险人获悉可能发生诉讼、仲裁时，应立即以书面形式通知保险人；接到法院传票或其他法律文书后，应将其副本及时送交保险人。</w:t>
      </w:r>
      <w:r>
        <w:rPr>
          <w:rFonts w:ascii="宋体" w:hAnsi="宋体" w:hint="eastAsia"/>
          <w:b/>
          <w:szCs w:val="21"/>
        </w:rPr>
        <w:t>保险人有权以被保险人的名义处理有关诉讼或仲裁事宜，被保险人应提供有关文件，并给予必要的协助。</w:t>
      </w:r>
    </w:p>
    <w:p w14:paraId="039B94C5"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对因未及时提供上述通知或必要协助导致扩大的损失，保险人不承担赔偿责任。</w:t>
      </w:r>
    </w:p>
    <w:p w14:paraId="02A70D88" w14:textId="77777777" w:rsidR="006C04B6" w:rsidRDefault="00877F87">
      <w:pPr>
        <w:adjustRightInd w:val="0"/>
        <w:snapToGrid w:val="0"/>
        <w:spacing w:beforeLines="50" w:before="156"/>
        <w:ind w:firstLineChars="200" w:firstLine="422"/>
        <w:rPr>
          <w:rFonts w:ascii="宋体" w:hAnsi="宋体"/>
          <w:color w:val="008000"/>
          <w:szCs w:val="21"/>
        </w:rPr>
      </w:pPr>
      <w:r>
        <w:rPr>
          <w:rFonts w:ascii="宋体" w:hAnsi="宋体" w:hint="eastAsia"/>
          <w:b/>
          <w:bCs/>
          <w:szCs w:val="21"/>
        </w:rPr>
        <w:t>第二十三条</w:t>
      </w:r>
      <w:r>
        <w:rPr>
          <w:rFonts w:ascii="宋体" w:hAnsi="宋体" w:hint="eastAsia"/>
          <w:szCs w:val="21"/>
        </w:rPr>
        <w:t xml:space="preserve">  被保险人请求赔偿时，应向保险人提供下列证明和资料：</w:t>
      </w:r>
    </w:p>
    <w:p w14:paraId="5DBEC437"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（一）保险单正本；</w:t>
      </w:r>
    </w:p>
    <w:p w14:paraId="7A7A5975"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（二）被保险人或其代表填具的索赔申请书；</w:t>
      </w:r>
    </w:p>
    <w:p w14:paraId="42C6C86D"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（三）受害人或其代理人向被保险人提出索赔的相关材料；</w:t>
      </w:r>
    </w:p>
    <w:p w14:paraId="5F03DF3A" w14:textId="77777777" w:rsidR="006C04B6" w:rsidRDefault="00877F87">
      <w:pPr>
        <w:snapToGrid w:val="0"/>
        <w:spacing w:beforeLines="50" w:before="156"/>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四</w:t>
      </w:r>
      <w:r>
        <w:rPr>
          <w:rFonts w:ascii="宋体" w:hAnsi="宋体"/>
          <w:snapToGrid w:val="0"/>
          <w:kern w:val="0"/>
          <w:szCs w:val="21"/>
        </w:rPr>
        <w:t>）政府相关部门颁发的特种设备使用许可证</w:t>
      </w:r>
      <w:r>
        <w:rPr>
          <w:rFonts w:ascii="宋体" w:hAnsi="宋体" w:hint="eastAsia"/>
          <w:snapToGrid w:val="0"/>
          <w:kern w:val="0"/>
          <w:szCs w:val="21"/>
        </w:rPr>
        <w:t>、</w:t>
      </w:r>
      <w:r>
        <w:rPr>
          <w:rFonts w:ascii="宋体" w:hAnsi="宋体"/>
          <w:snapToGrid w:val="0"/>
          <w:kern w:val="0"/>
          <w:szCs w:val="21"/>
        </w:rPr>
        <w:t>特种设备操作人员的资格证或上岗证；</w:t>
      </w:r>
    </w:p>
    <w:p w14:paraId="3297A7E9"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五）造成受害人人身伤害的，应包括：受害人的病历、诊断证明、医疗费等医疗原始单据；受害人的人身伤害程度证明：受害人伤残的，应当提供具备相关法律法规要求的伤残鉴定资格的医疗机构出具的伤残程度证明；受害人死亡的，公安机关或医疗机构出具的死亡证明书；</w:t>
      </w:r>
    </w:p>
    <w:p w14:paraId="7F116870"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（六）造成受害人财产损失的，应包括：损失清单、费用单据及相关支付凭证；</w:t>
      </w:r>
    </w:p>
    <w:p w14:paraId="59E085E0"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（七）被保险人与受害人所签订的赔偿协议书或和解书；经判决或仲裁的，应提供判决文书或仲裁裁决文书；</w:t>
      </w:r>
    </w:p>
    <w:p w14:paraId="157CBF84"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（八）投保人、被保险人所能提供的与确认保险事故的性质、原因、损失程度等有关的其他证明和资料。</w:t>
      </w:r>
    </w:p>
    <w:p w14:paraId="6DCBD5F6"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被保险人未履行前款约定的索赔材料提供义务，导致保险人无法核实损失情况的，保险人对无法核实部分不承担赔偿责任。</w:t>
      </w:r>
    </w:p>
    <w:p w14:paraId="3FDC223F" w14:textId="77777777" w:rsidR="006C04B6" w:rsidRDefault="006C04B6">
      <w:pPr>
        <w:adjustRightInd w:val="0"/>
        <w:snapToGrid w:val="0"/>
        <w:spacing w:beforeLines="50" w:before="156"/>
        <w:jc w:val="center"/>
        <w:rPr>
          <w:rFonts w:ascii="宋体" w:hAnsi="宋体"/>
          <w:b/>
          <w:bCs/>
          <w:szCs w:val="21"/>
        </w:rPr>
      </w:pPr>
    </w:p>
    <w:p w14:paraId="7B1AA9AB"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赔偿处理</w:t>
      </w:r>
    </w:p>
    <w:p w14:paraId="48EBFCB5"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第二十四条</w:t>
      </w:r>
      <w:r>
        <w:rPr>
          <w:rFonts w:ascii="宋体" w:hAnsi="宋体" w:hint="eastAsia"/>
          <w:szCs w:val="21"/>
        </w:rPr>
        <w:t xml:space="preserve">  保险人的赔偿以下列方式之一确定的被保险人的赔偿责任为基础：</w:t>
      </w:r>
    </w:p>
    <w:p w14:paraId="204A81B3" w14:textId="7B78B428"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（一）被保险人和向其提出损害赔偿请求的受害人协商并经保险人</w:t>
      </w:r>
      <w:r w:rsidR="00AF4A54">
        <w:rPr>
          <w:rFonts w:ascii="宋体" w:hAnsi="宋体" w:hint="eastAsia"/>
          <w:szCs w:val="21"/>
        </w:rPr>
        <w:t>认可</w:t>
      </w:r>
      <w:r>
        <w:rPr>
          <w:rFonts w:ascii="宋体" w:hAnsi="宋体" w:hint="eastAsia"/>
          <w:szCs w:val="21"/>
        </w:rPr>
        <w:t>；</w:t>
      </w:r>
    </w:p>
    <w:p w14:paraId="655E709D"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lastRenderedPageBreak/>
        <w:t>（二）仲裁机构裁决；</w:t>
      </w:r>
    </w:p>
    <w:p w14:paraId="731326E6"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（三）人民法院判决；</w:t>
      </w:r>
    </w:p>
    <w:p w14:paraId="40C84D06"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（四）保险人认可的其它方式。</w:t>
      </w:r>
    </w:p>
    <w:p w14:paraId="5F3FC89A"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bCs/>
          <w:szCs w:val="21"/>
        </w:rPr>
        <w:t xml:space="preserve">第二十五条  </w:t>
      </w:r>
      <w:r>
        <w:rPr>
          <w:rFonts w:ascii="宋体" w:hAnsi="宋体" w:hint="eastAsia"/>
          <w:b/>
          <w:szCs w:val="21"/>
        </w:rPr>
        <w:t>被保险人给第三者造成损害，被保险人未向该第三者赔偿的，保险人不负责向被保险人赔偿保险金。</w:t>
      </w:r>
    </w:p>
    <w:p w14:paraId="2CFFAB97"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 xml:space="preserve">第二十六条  </w:t>
      </w:r>
      <w:r>
        <w:rPr>
          <w:rFonts w:ascii="宋体" w:hAnsi="宋体" w:hint="eastAsia"/>
          <w:szCs w:val="21"/>
        </w:rPr>
        <w:t>发生保险责任范围内的损失，保险人按以下方式计算赔偿：</w:t>
      </w:r>
    </w:p>
    <w:p w14:paraId="67668C0E" w14:textId="311A13C5"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（一）对于每次事故造成的损失，保险人在每次事故责任限额内计算赔偿，</w:t>
      </w:r>
      <w:r>
        <w:rPr>
          <w:rFonts w:ascii="宋体" w:hAnsi="宋体" w:hint="eastAsia"/>
          <w:b/>
          <w:szCs w:val="21"/>
        </w:rPr>
        <w:t>其中对每人的赔偿金额不得超过每次事故每人责任限额，对每次事故承担的法律费用的赔偿金额不超过每次事故责任限额的</w:t>
      </w:r>
      <w:r>
        <w:rPr>
          <w:rFonts w:ascii="宋体" w:hAnsi="宋体"/>
          <w:b/>
          <w:szCs w:val="21"/>
        </w:rPr>
        <w:t>10%，</w:t>
      </w:r>
      <w:r>
        <w:rPr>
          <w:rFonts w:ascii="宋体" w:hAnsi="宋体" w:hint="eastAsia"/>
          <w:szCs w:val="21"/>
        </w:rPr>
        <w:t>但</w:t>
      </w:r>
      <w:r w:rsidR="00AF4A54">
        <w:rPr>
          <w:rFonts w:ascii="宋体" w:hAnsi="宋体" w:hint="eastAsia"/>
          <w:szCs w:val="21"/>
        </w:rPr>
        <w:t>本保险</w:t>
      </w:r>
      <w:r>
        <w:rPr>
          <w:rFonts w:ascii="宋体" w:hAnsi="宋体" w:hint="eastAsia"/>
          <w:szCs w:val="21"/>
        </w:rPr>
        <w:t>合同另有约定的除外。</w:t>
      </w:r>
    </w:p>
    <w:p w14:paraId="6417EADF"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由同一原因引起的一个或一系列针对被保险人的索赔将被视作为一次事故，第一个索赔提出的日期将被视为该系列索赔提出日期。</w:t>
      </w:r>
    </w:p>
    <w:p w14:paraId="049A5B89" w14:textId="77777777"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（二）在依据本条第（一）</w:t>
      </w:r>
      <w:proofErr w:type="gramStart"/>
      <w:r>
        <w:rPr>
          <w:rFonts w:ascii="宋体" w:hAnsi="宋体" w:hint="eastAsia"/>
          <w:szCs w:val="21"/>
        </w:rPr>
        <w:t>项计算</w:t>
      </w:r>
      <w:proofErr w:type="gramEnd"/>
      <w:r>
        <w:rPr>
          <w:rFonts w:ascii="宋体" w:hAnsi="宋体" w:hint="eastAsia"/>
          <w:szCs w:val="21"/>
        </w:rPr>
        <w:t>的基础上，</w:t>
      </w:r>
      <w:r>
        <w:rPr>
          <w:rFonts w:ascii="宋体" w:hAnsi="宋体" w:hint="eastAsia"/>
          <w:b/>
          <w:szCs w:val="21"/>
        </w:rPr>
        <w:t>保险人在扣除每次事故免赔额后进行赔偿；</w:t>
      </w:r>
    </w:p>
    <w:p w14:paraId="30B6472D" w14:textId="50753F10" w:rsidR="006C04B6" w:rsidRDefault="00877F87">
      <w:pPr>
        <w:adjustRightInd w:val="0"/>
        <w:snapToGrid w:val="0"/>
        <w:spacing w:beforeLines="50" w:before="156"/>
        <w:ind w:firstLineChars="200" w:firstLine="420"/>
        <w:rPr>
          <w:rFonts w:ascii="宋体" w:hAnsi="宋体"/>
          <w:szCs w:val="21"/>
        </w:rPr>
      </w:pPr>
      <w:r>
        <w:rPr>
          <w:rFonts w:ascii="宋体" w:hAnsi="宋体" w:hint="eastAsia"/>
          <w:szCs w:val="21"/>
        </w:rPr>
        <w:t>（三）在保险期间内，</w:t>
      </w:r>
      <w:r>
        <w:rPr>
          <w:rFonts w:ascii="宋体" w:hAnsi="宋体" w:hint="eastAsia"/>
          <w:b/>
          <w:szCs w:val="21"/>
        </w:rPr>
        <w:t>保险人对多次事故承担的本条款第三、四条规定的赔偿金额之和累计不超过累计责任限额。</w:t>
      </w:r>
    </w:p>
    <w:p w14:paraId="5BD549DC" w14:textId="6F87133E"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第二十七条</w:t>
      </w:r>
      <w:r>
        <w:rPr>
          <w:rFonts w:ascii="宋体" w:hAnsi="宋体" w:hint="eastAsia"/>
          <w:szCs w:val="21"/>
        </w:rPr>
        <w:t xml:space="preserve">  发生保险事故时，</w:t>
      </w:r>
      <w:r>
        <w:rPr>
          <w:rFonts w:ascii="宋体" w:hAnsi="宋体" w:hint="eastAsia"/>
          <w:b/>
          <w:szCs w:val="21"/>
        </w:rPr>
        <w:t>如果被保险人的损失在有相同保障的其他保险项下也能够获得赔偿，则本保险人按照本保险合同的责任限额与其他保险合同及本保险合同的责任限额总和的比例承担赔偿责任。</w:t>
      </w:r>
    </w:p>
    <w:p w14:paraId="207F65D3"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szCs w:val="21"/>
        </w:rPr>
        <w:t>其他保险人应承担的赔偿金额，本保险人不负责垫付。若被保险人未如实告知导致保险人多支付赔偿金的，保险人有权向被保险人追回多支付的部分。</w:t>
      </w:r>
    </w:p>
    <w:p w14:paraId="52720E84"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 xml:space="preserve">第二十八条  </w:t>
      </w:r>
      <w:r>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7CA3C700" w14:textId="77777777" w:rsidR="006C04B6" w:rsidRDefault="00877F87">
      <w:pPr>
        <w:adjustRightInd w:val="0"/>
        <w:snapToGrid w:val="0"/>
        <w:spacing w:beforeLines="50" w:before="156"/>
        <w:ind w:firstLineChars="200" w:firstLine="422"/>
        <w:rPr>
          <w:rFonts w:ascii="宋体" w:hAnsi="宋体"/>
          <w:b/>
          <w:szCs w:val="21"/>
        </w:rPr>
      </w:pPr>
      <w:r>
        <w:rPr>
          <w:rFonts w:ascii="宋体" w:hAnsi="宋体" w:hint="eastAsia"/>
          <w:b/>
          <w:szCs w:val="21"/>
        </w:rPr>
        <w:t>被保险人已经从有关责任方取得赔偿的，保险人赔偿保险金时，可以相应扣减被保险人已从有关责任方取得的赔偿金额。</w:t>
      </w:r>
    </w:p>
    <w:p w14:paraId="32163E2A"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1A5BB225" w14:textId="77777777" w:rsidR="006C04B6" w:rsidRDefault="00877F87">
      <w:pPr>
        <w:adjustRightInd w:val="0"/>
        <w:snapToGrid w:val="0"/>
        <w:spacing w:beforeLines="50" w:before="156"/>
        <w:ind w:firstLineChars="200" w:firstLine="422"/>
        <w:rPr>
          <w:rFonts w:ascii="宋体" w:hAnsi="宋体"/>
          <w:snapToGrid w:val="0"/>
          <w:kern w:val="0"/>
          <w:szCs w:val="21"/>
        </w:rPr>
      </w:pPr>
      <w:r>
        <w:rPr>
          <w:rFonts w:ascii="宋体" w:hAnsi="宋体" w:hint="eastAsia"/>
          <w:b/>
          <w:snapToGrid w:val="0"/>
          <w:kern w:val="0"/>
          <w:szCs w:val="21"/>
        </w:rPr>
        <w:t>第二十九条</w:t>
      </w:r>
      <w:r>
        <w:rPr>
          <w:rFonts w:ascii="宋体" w:hAnsi="宋体"/>
          <w:b/>
          <w:snapToGrid w:val="0"/>
          <w:kern w:val="0"/>
          <w:szCs w:val="21"/>
        </w:rPr>
        <w:t xml:space="preserve">  保险人受理报案、进行现场查勘、核损定价、参与案件诉讼、向被保险人提供建议等行为，均不构成保险人对赔偿责任的承诺。</w:t>
      </w:r>
    </w:p>
    <w:p w14:paraId="4ACDE399" w14:textId="36D42F98" w:rsidR="006C04B6" w:rsidRDefault="00877F87">
      <w:pPr>
        <w:adjustRightInd w:val="0"/>
        <w:snapToGrid w:val="0"/>
        <w:spacing w:beforeLines="50" w:before="156"/>
        <w:ind w:firstLineChars="200" w:firstLine="422"/>
        <w:rPr>
          <w:rFonts w:ascii="宋体" w:hAnsi="宋体"/>
          <w:szCs w:val="21"/>
        </w:rPr>
      </w:pPr>
      <w:r>
        <w:rPr>
          <w:rFonts w:ascii="宋体" w:hAnsi="宋体" w:hint="eastAsia"/>
          <w:b/>
          <w:szCs w:val="21"/>
        </w:rPr>
        <w:t xml:space="preserve">第三十条  </w:t>
      </w:r>
      <w:r>
        <w:rPr>
          <w:rStyle w:val="apple-style-span"/>
          <w:rFonts w:ascii="宋体" w:hAnsi="宋体"/>
          <w:color w:val="000000"/>
          <w:szCs w:val="21"/>
        </w:rPr>
        <w:t>被保险人向保险人请求赔偿</w:t>
      </w:r>
      <w:r>
        <w:rPr>
          <w:rStyle w:val="apple-style-span"/>
          <w:rFonts w:ascii="宋体" w:hAnsi="宋体" w:hint="eastAsia"/>
          <w:color w:val="000000"/>
          <w:szCs w:val="21"/>
        </w:rPr>
        <w:t>保险金</w:t>
      </w:r>
      <w:r>
        <w:rPr>
          <w:rStyle w:val="apple-style-span"/>
          <w:rFonts w:ascii="宋体" w:hAnsi="宋体"/>
          <w:color w:val="000000"/>
          <w:szCs w:val="21"/>
        </w:rPr>
        <w:t>的诉讼时效期间</w:t>
      </w:r>
      <w:r>
        <w:rPr>
          <w:rFonts w:ascii="宋体" w:hAnsi="宋体" w:hint="eastAsia"/>
          <w:szCs w:val="21"/>
        </w:rPr>
        <w:t>依据中华人民共和国法律（为本保险合同之目的，</w:t>
      </w:r>
      <w:r>
        <w:rPr>
          <w:rFonts w:ascii="宋体" w:hAnsi="宋体" w:hint="eastAsia"/>
          <w:b/>
          <w:bCs/>
          <w:szCs w:val="21"/>
        </w:rPr>
        <w:t>不包括香港、澳门、台湾地区的法律</w:t>
      </w:r>
      <w:r>
        <w:rPr>
          <w:rFonts w:ascii="宋体" w:hAnsi="宋体" w:hint="eastAsia"/>
          <w:szCs w:val="21"/>
        </w:rPr>
        <w:t>）相关法律规定确定</w:t>
      </w:r>
      <w:r>
        <w:rPr>
          <w:rStyle w:val="apple-style-span"/>
          <w:rFonts w:ascii="宋体" w:hAnsi="宋体"/>
          <w:color w:val="000000"/>
          <w:szCs w:val="21"/>
        </w:rPr>
        <w:t>。</w:t>
      </w:r>
    </w:p>
    <w:p w14:paraId="57A13A39" w14:textId="77777777" w:rsidR="006C04B6" w:rsidRDefault="006C04B6">
      <w:pPr>
        <w:adjustRightInd w:val="0"/>
        <w:snapToGrid w:val="0"/>
        <w:spacing w:beforeLines="50" w:before="156"/>
        <w:jc w:val="center"/>
        <w:rPr>
          <w:rFonts w:ascii="宋体" w:hAnsi="宋体"/>
          <w:b/>
          <w:bCs/>
          <w:szCs w:val="21"/>
        </w:rPr>
      </w:pPr>
    </w:p>
    <w:p w14:paraId="5F438E26"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争议处理和法律适用</w:t>
      </w:r>
    </w:p>
    <w:p w14:paraId="3DB121CB"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第三十一条</w:t>
      </w:r>
      <w:r>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因履行本保险合同发生的争议，由当事人协商解决。协商不成的，提交保险单载明的仲裁机构仲裁；保险单未载明仲裁机构且争议发生后未达成仲裁协议的，依法向中华人民共和国（</w:t>
      </w:r>
      <w:r w:rsidRPr="003A2D48">
        <w:rPr>
          <w:rFonts w:ascii="宋体" w:hAnsi="宋体" w:hint="eastAsia"/>
          <w:b/>
          <w:bCs/>
          <w:szCs w:val="21"/>
        </w:rPr>
        <w:t>不包括港澳台地区</w:t>
      </w:r>
      <w:r>
        <w:rPr>
          <w:rFonts w:ascii="宋体" w:hAnsi="宋体" w:hint="eastAsia"/>
          <w:szCs w:val="21"/>
        </w:rPr>
        <w:t>）人民法院起诉。</w:t>
      </w:r>
    </w:p>
    <w:p w14:paraId="4F6A485B" w14:textId="77777777" w:rsidR="006C04B6" w:rsidRDefault="00877F87">
      <w:pPr>
        <w:adjustRightInd w:val="0"/>
        <w:snapToGrid w:val="0"/>
        <w:spacing w:beforeLines="50" w:before="156"/>
        <w:ind w:firstLineChars="200" w:firstLine="422"/>
        <w:rPr>
          <w:rFonts w:ascii="宋体" w:hAnsi="宋体"/>
          <w:szCs w:val="21"/>
        </w:rPr>
      </w:pPr>
      <w:r>
        <w:rPr>
          <w:rFonts w:ascii="宋体" w:hAnsi="宋体" w:hint="eastAsia"/>
          <w:b/>
          <w:bCs/>
          <w:szCs w:val="21"/>
        </w:rPr>
        <w:t xml:space="preserve">第三十二条 </w:t>
      </w:r>
      <w:r>
        <w:rPr>
          <w:rFonts w:ascii="宋体" w:hAnsi="宋体" w:hint="eastAsia"/>
          <w:szCs w:val="21"/>
        </w:rPr>
        <w:t xml:space="preserve"> 本保险合同的争议处理适用中华人民共和国法律（</w:t>
      </w:r>
      <w:r w:rsidRPr="003A2D48">
        <w:rPr>
          <w:rFonts w:ascii="宋体" w:hAnsi="宋体" w:hint="eastAsia"/>
          <w:b/>
          <w:bCs/>
          <w:szCs w:val="21"/>
        </w:rPr>
        <w:t>不包括港澳台地区法律</w:t>
      </w:r>
      <w:r>
        <w:rPr>
          <w:rFonts w:ascii="宋体" w:hAnsi="宋体" w:hint="eastAsia"/>
          <w:szCs w:val="21"/>
        </w:rPr>
        <w:t>）。</w:t>
      </w:r>
    </w:p>
    <w:p w14:paraId="3B669C35" w14:textId="77777777" w:rsidR="006C04B6" w:rsidRDefault="006C04B6">
      <w:pPr>
        <w:adjustRightInd w:val="0"/>
        <w:snapToGrid w:val="0"/>
        <w:spacing w:beforeLines="50" w:before="156"/>
        <w:jc w:val="center"/>
        <w:rPr>
          <w:rFonts w:ascii="宋体" w:hAnsi="宋体"/>
          <w:b/>
          <w:bCs/>
          <w:szCs w:val="21"/>
        </w:rPr>
      </w:pPr>
    </w:p>
    <w:p w14:paraId="6A836C3A"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其他事项</w:t>
      </w:r>
    </w:p>
    <w:p w14:paraId="4EDBD824" w14:textId="77777777" w:rsidR="006C04B6" w:rsidRDefault="00877F87">
      <w:pPr>
        <w:snapToGrid w:val="0"/>
        <w:spacing w:beforeLines="50" w:before="156"/>
        <w:ind w:firstLineChars="200" w:firstLine="422"/>
        <w:rPr>
          <w:szCs w:val="21"/>
        </w:rPr>
      </w:pPr>
      <w:r>
        <w:rPr>
          <w:rFonts w:ascii="宋体" w:hAnsi="宋体" w:hint="eastAsia"/>
          <w:b/>
          <w:szCs w:val="21"/>
        </w:rPr>
        <w:t xml:space="preserve">第三十三条  </w:t>
      </w:r>
      <w:r>
        <w:rPr>
          <w:rFonts w:hint="eastAsia"/>
          <w:szCs w:val="21"/>
        </w:rPr>
        <w:t>投保人和保险人可以协商变更合同内容。</w:t>
      </w:r>
    </w:p>
    <w:p w14:paraId="62FFCC92" w14:textId="77777777" w:rsidR="006C04B6" w:rsidRDefault="00877F87">
      <w:pPr>
        <w:adjustRightInd w:val="0"/>
        <w:snapToGrid w:val="0"/>
        <w:spacing w:beforeLines="50" w:before="156"/>
        <w:ind w:firstLineChars="200" w:firstLine="420"/>
        <w:rPr>
          <w:szCs w:val="21"/>
        </w:rPr>
      </w:pPr>
      <w:r>
        <w:rPr>
          <w:rFonts w:hint="eastAsia"/>
          <w:szCs w:val="21"/>
        </w:rPr>
        <w:t>变更保险合同的，应当由保险人在保险单或者其他保险凭证上批注或附贴批单，或者投保人和保险人订立变更的书面协议。</w:t>
      </w:r>
    </w:p>
    <w:p w14:paraId="0A57E1AC" w14:textId="77777777" w:rsidR="006C04B6" w:rsidRPr="003A2D48" w:rsidRDefault="00877F87">
      <w:pPr>
        <w:adjustRightInd w:val="0"/>
        <w:snapToGrid w:val="0"/>
        <w:spacing w:beforeLines="50" w:before="156"/>
        <w:ind w:firstLineChars="200" w:firstLine="422"/>
        <w:rPr>
          <w:b/>
          <w:bCs/>
          <w:szCs w:val="21"/>
        </w:rPr>
      </w:pPr>
      <w:r>
        <w:rPr>
          <w:rFonts w:hint="eastAsia"/>
          <w:b/>
          <w:szCs w:val="21"/>
        </w:rPr>
        <w:t>第三十四条</w:t>
      </w:r>
      <w:r>
        <w:rPr>
          <w:rFonts w:hint="eastAsia"/>
          <w:b/>
          <w:szCs w:val="21"/>
        </w:rPr>
        <w:t xml:space="preserve">  </w:t>
      </w:r>
      <w:r>
        <w:rPr>
          <w:rFonts w:hint="eastAsia"/>
          <w:szCs w:val="21"/>
        </w:rPr>
        <w:t>投保人可随时书面申请解除本保险合同，本保险合同自保险人收到投保人的书面申请之日的二十四时起终止。保险责任开始前，投保人要求解除合同的</w:t>
      </w:r>
      <w:r>
        <w:rPr>
          <w:rFonts w:hint="eastAsia"/>
          <w:b/>
          <w:szCs w:val="21"/>
        </w:rPr>
        <w:t>，保险人扣除</w:t>
      </w:r>
      <w:r>
        <w:rPr>
          <w:b/>
          <w:szCs w:val="21"/>
        </w:rPr>
        <w:t>3%</w:t>
      </w:r>
      <w:r>
        <w:rPr>
          <w:rFonts w:hint="eastAsia"/>
          <w:b/>
          <w:szCs w:val="21"/>
        </w:rPr>
        <w:t>手续费后</w:t>
      </w:r>
      <w:r>
        <w:rPr>
          <w:rFonts w:hint="eastAsia"/>
          <w:szCs w:val="21"/>
        </w:rPr>
        <w:t>，剩余部分的保险费退还投保人；</w:t>
      </w:r>
      <w:r w:rsidRPr="003A2D48">
        <w:rPr>
          <w:rFonts w:hint="eastAsia"/>
          <w:b/>
          <w:bCs/>
          <w:szCs w:val="21"/>
        </w:rPr>
        <w:t>保险责任开始后，投保人要求解除合同的，对保险责任开始之日起至合同解除之日止期间的保险费，按短期费率计收，剩余部分退还投保人。</w:t>
      </w:r>
    </w:p>
    <w:p w14:paraId="687934C9" w14:textId="77777777" w:rsidR="006C04B6" w:rsidRPr="003A2D48" w:rsidRDefault="00877F87">
      <w:pPr>
        <w:adjustRightInd w:val="0"/>
        <w:snapToGrid w:val="0"/>
        <w:spacing w:beforeLines="50" w:before="156"/>
        <w:ind w:firstLineChars="200" w:firstLine="420"/>
        <w:rPr>
          <w:b/>
          <w:bCs/>
          <w:szCs w:val="21"/>
        </w:rPr>
      </w:pPr>
      <w:r>
        <w:rPr>
          <w:rFonts w:hint="eastAsia"/>
          <w:szCs w:val="21"/>
        </w:rPr>
        <w:t>保险人亦可解除本保险合同。保险责任开始前，保险人要求解除合同的，</w:t>
      </w:r>
      <w:r>
        <w:rPr>
          <w:rFonts w:hint="eastAsia"/>
          <w:szCs w:val="20"/>
        </w:rPr>
        <w:t>不得向投保人收取手续费并应退还已收取的保险费；</w:t>
      </w:r>
      <w:r w:rsidRPr="003A2D48">
        <w:rPr>
          <w:rFonts w:hint="eastAsia"/>
          <w:b/>
          <w:bCs/>
          <w:szCs w:val="20"/>
        </w:rPr>
        <w:t>保险责任开始后，保险人可</w:t>
      </w:r>
      <w:r w:rsidRPr="003A2D48">
        <w:rPr>
          <w:rFonts w:hint="eastAsia"/>
          <w:b/>
          <w:bCs/>
          <w:szCs w:val="21"/>
        </w:rPr>
        <w:t>提前十五天通知投保人解除合同，对保险责任开始之日起至合同解除之日止期间的保险费，按日比例计收，剩余部分退还投保人。</w:t>
      </w:r>
    </w:p>
    <w:p w14:paraId="0CEAF0CB" w14:textId="77777777" w:rsidR="006C04B6" w:rsidRDefault="00877F87">
      <w:pPr>
        <w:adjustRightInd w:val="0"/>
        <w:snapToGrid w:val="0"/>
        <w:spacing w:beforeLines="50" w:before="156"/>
        <w:ind w:firstLineChars="200" w:firstLine="422"/>
        <w:rPr>
          <w:rStyle w:val="apple-style-span"/>
          <w:rFonts w:ascii=".." w:hAnsi=".."/>
          <w:color w:val="000000"/>
        </w:rPr>
      </w:pPr>
      <w:r>
        <w:rPr>
          <w:rFonts w:hint="eastAsia"/>
          <w:b/>
          <w:szCs w:val="21"/>
        </w:rPr>
        <w:t>第三十五条</w:t>
      </w:r>
      <w:r>
        <w:rPr>
          <w:rFonts w:hint="eastAsia"/>
          <w:b/>
          <w:szCs w:val="21"/>
        </w:rPr>
        <w:t xml:space="preserve">  </w:t>
      </w:r>
      <w:r>
        <w:rPr>
          <w:rStyle w:val="apple-style-span"/>
          <w:rFonts w:ascii=".." w:hAnsi=".." w:hint="eastAsia"/>
          <w:color w:val="000000"/>
        </w:rPr>
        <w:t>发生保险事故且保险人已承担赔偿责任的，自保险人赔偿之日起三十日内，投保人可以解除合同；除合同另有约定外，保险人也可以解除合同，但应当提前十五日通知投保人。</w:t>
      </w:r>
    </w:p>
    <w:p w14:paraId="2C245332" w14:textId="0532A633" w:rsidR="006C04B6" w:rsidRPr="003A2D48" w:rsidRDefault="00877F87" w:rsidP="003A2D48">
      <w:pPr>
        <w:adjustRightInd w:val="0"/>
        <w:snapToGrid w:val="0"/>
        <w:spacing w:beforeLines="50" w:before="156"/>
        <w:ind w:firstLineChars="200" w:firstLine="422"/>
        <w:rPr>
          <w:rStyle w:val="apple-style-span"/>
          <w:rFonts w:ascii=".." w:hAnsi=".."/>
          <w:b/>
          <w:bCs/>
          <w:color w:val="000000"/>
        </w:rPr>
      </w:pPr>
      <w:r w:rsidRPr="003A2D48">
        <w:rPr>
          <w:rFonts w:ascii=".." w:hAnsi=".." w:hint="eastAsia"/>
          <w:b/>
          <w:bCs/>
          <w:color w:val="000000"/>
        </w:rPr>
        <w:t>保险合同依据前款规定</w:t>
      </w:r>
      <w:r w:rsidRPr="003A2D48">
        <w:rPr>
          <w:rStyle w:val="apple-style-span"/>
          <w:rFonts w:ascii=".." w:hAnsi=".." w:hint="eastAsia"/>
          <w:b/>
          <w:bCs/>
          <w:color w:val="000000"/>
        </w:rPr>
        <w:t>解除的，保险人应当将累计责任限额扣除累计已赔偿金额后剩余部分的保险费，按照合同约定扣除自保险责任开始之日起至合同解除之日止应收的部分后，退还投保人。</w:t>
      </w:r>
    </w:p>
    <w:p w14:paraId="08986887" w14:textId="77777777" w:rsidR="006C04B6" w:rsidRDefault="006C04B6">
      <w:pPr>
        <w:adjustRightInd w:val="0"/>
        <w:snapToGrid w:val="0"/>
        <w:spacing w:beforeLines="50" w:before="156"/>
        <w:ind w:firstLineChars="200" w:firstLine="422"/>
        <w:rPr>
          <w:rStyle w:val="apple-style-span"/>
          <w:rFonts w:ascii=".." w:hAnsi=".."/>
          <w:b/>
          <w:color w:val="000000"/>
        </w:rPr>
      </w:pPr>
    </w:p>
    <w:p w14:paraId="59EEC1D5" w14:textId="77777777" w:rsidR="006C04B6" w:rsidRDefault="00877F87" w:rsidP="0028750D">
      <w:pPr>
        <w:adjustRightInd w:val="0"/>
        <w:snapToGrid w:val="0"/>
        <w:spacing w:beforeLines="50" w:before="156"/>
        <w:jc w:val="center"/>
        <w:rPr>
          <w:rStyle w:val="apple-style-span"/>
          <w:rFonts w:ascii=".." w:hAnsi=".."/>
          <w:color w:val="000000"/>
        </w:rPr>
      </w:pPr>
      <w:r>
        <w:rPr>
          <w:rStyle w:val="apple-style-span"/>
          <w:rFonts w:ascii=".." w:hAnsi=".." w:hint="eastAsia"/>
          <w:b/>
          <w:color w:val="000000"/>
        </w:rPr>
        <w:t>释义</w:t>
      </w:r>
    </w:p>
    <w:p w14:paraId="378EEA76" w14:textId="77777777" w:rsidR="006C04B6" w:rsidRDefault="00877F87">
      <w:pPr>
        <w:snapToGrid w:val="0"/>
        <w:spacing w:afterLines="50" w:after="156" w:line="360" w:lineRule="auto"/>
        <w:ind w:firstLineChars="200" w:firstLine="422"/>
        <w:rPr>
          <w:rStyle w:val="apple-style-span"/>
          <w:rFonts w:ascii="宋体" w:hAnsi="宋体"/>
          <w:b/>
          <w:bCs/>
          <w:kern w:val="0"/>
          <w:szCs w:val="21"/>
        </w:rPr>
      </w:pPr>
      <w:r>
        <w:rPr>
          <w:rFonts w:ascii="宋体" w:hAnsi="宋体" w:hint="eastAsia"/>
          <w:b/>
          <w:bCs/>
          <w:kern w:val="0"/>
          <w:szCs w:val="21"/>
        </w:rPr>
        <w:t>第三十六条  本保险合同涉及下列术语时，适用下列释义：</w:t>
      </w:r>
    </w:p>
    <w:p w14:paraId="00C581CB"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【锅炉】是指利用各种燃料、</w:t>
      </w:r>
      <w:proofErr w:type="gramStart"/>
      <w:r>
        <w:rPr>
          <w:rStyle w:val="apple-style-span"/>
          <w:rFonts w:ascii=".." w:hAnsi=".." w:hint="eastAsia"/>
          <w:color w:val="000000"/>
        </w:rPr>
        <w:t>电或者</w:t>
      </w:r>
      <w:proofErr w:type="gramEnd"/>
      <w:r>
        <w:rPr>
          <w:rStyle w:val="apple-style-span"/>
          <w:rFonts w:ascii=".." w:hAnsi=".." w:hint="eastAsia"/>
          <w:color w:val="000000"/>
        </w:rPr>
        <w:t>其他能源，将所盛装的液体加热到一定的参数，并对外输出热能的设备，其范围规定为容积大于或者等于</w:t>
      </w:r>
      <w:r>
        <w:rPr>
          <w:rStyle w:val="apple-style-span"/>
          <w:rFonts w:ascii=".." w:hAnsi=".." w:hint="eastAsia"/>
          <w:color w:val="000000"/>
        </w:rPr>
        <w:t>30L</w:t>
      </w:r>
      <w:r>
        <w:rPr>
          <w:rStyle w:val="apple-style-span"/>
          <w:rFonts w:ascii=".." w:hAnsi=".." w:hint="eastAsia"/>
          <w:color w:val="000000"/>
        </w:rPr>
        <w:t>的承压蒸汽锅炉；出口水压大于或者等于</w:t>
      </w:r>
      <w:r>
        <w:rPr>
          <w:rStyle w:val="apple-style-span"/>
          <w:rFonts w:ascii=".." w:hAnsi=".." w:hint="eastAsia"/>
          <w:color w:val="000000"/>
        </w:rPr>
        <w:t>0.1MPa</w:t>
      </w:r>
      <w:r>
        <w:rPr>
          <w:rStyle w:val="apple-style-span"/>
          <w:rFonts w:ascii=".." w:hAnsi=".." w:hint="eastAsia"/>
          <w:color w:val="000000"/>
        </w:rPr>
        <w:t>（表压），且额定功率大于或者等于</w:t>
      </w:r>
      <w:r>
        <w:rPr>
          <w:rStyle w:val="apple-style-span"/>
          <w:rFonts w:ascii=".." w:hAnsi=".." w:hint="eastAsia"/>
          <w:color w:val="000000"/>
        </w:rPr>
        <w:t>0.1MW</w:t>
      </w:r>
      <w:r>
        <w:rPr>
          <w:rStyle w:val="apple-style-span"/>
          <w:rFonts w:ascii=".." w:hAnsi=".." w:hint="eastAsia"/>
          <w:color w:val="000000"/>
        </w:rPr>
        <w:t>的承压热水锅炉；有机热载体锅炉。</w:t>
      </w:r>
    </w:p>
    <w:p w14:paraId="341102D1"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【压力容器】是指盛装气体或者液体，承载一定压力的密闭设备，其范围规定为最高工作压力大于或者等于</w:t>
      </w:r>
      <w:r>
        <w:rPr>
          <w:rStyle w:val="apple-style-span"/>
          <w:rFonts w:ascii=".." w:hAnsi=".." w:hint="eastAsia"/>
          <w:color w:val="000000"/>
        </w:rPr>
        <w:t>0.1MPa</w:t>
      </w:r>
      <w:r>
        <w:rPr>
          <w:rStyle w:val="apple-style-span"/>
          <w:rFonts w:ascii=".." w:hAnsi=".." w:hint="eastAsia"/>
          <w:color w:val="000000"/>
        </w:rPr>
        <w:t>（表压），</w:t>
      </w:r>
      <w:proofErr w:type="gramStart"/>
      <w:r>
        <w:rPr>
          <w:rStyle w:val="apple-style-span"/>
          <w:rFonts w:ascii=".." w:hAnsi=".." w:hint="eastAsia"/>
          <w:color w:val="000000"/>
        </w:rPr>
        <w:t>且压力</w:t>
      </w:r>
      <w:proofErr w:type="gramEnd"/>
      <w:r>
        <w:rPr>
          <w:rStyle w:val="apple-style-span"/>
          <w:rFonts w:ascii=".." w:hAnsi=".." w:hint="eastAsia"/>
          <w:color w:val="000000"/>
        </w:rPr>
        <w:t>与容积的乘积大于或者等于</w:t>
      </w:r>
      <w:r>
        <w:rPr>
          <w:rStyle w:val="apple-style-span"/>
          <w:rFonts w:ascii=".." w:hAnsi=".." w:hint="eastAsia"/>
          <w:color w:val="000000"/>
        </w:rPr>
        <w:t>2.5MPa</w:t>
      </w:r>
      <w:r>
        <w:rPr>
          <w:rStyle w:val="apple-style-span"/>
          <w:rFonts w:ascii=".." w:hAnsi=".." w:hint="eastAsia"/>
          <w:color w:val="000000"/>
        </w:rPr>
        <w:t>•</w:t>
      </w:r>
      <w:r>
        <w:rPr>
          <w:rStyle w:val="apple-style-span"/>
          <w:rFonts w:ascii=".." w:hAnsi=".." w:hint="eastAsia"/>
          <w:color w:val="000000"/>
        </w:rPr>
        <w:t>L</w:t>
      </w:r>
      <w:r>
        <w:rPr>
          <w:rStyle w:val="apple-style-span"/>
          <w:rFonts w:ascii=".." w:hAnsi=".." w:hint="eastAsia"/>
          <w:color w:val="000000"/>
        </w:rPr>
        <w:t>的气体、液化气体和最高工作温度高于或者等于标准沸点的液体的固定式容器和移动式容器；盛装公称工作压力大于或者等于</w:t>
      </w:r>
      <w:r>
        <w:rPr>
          <w:rStyle w:val="apple-style-span"/>
          <w:rFonts w:ascii=".." w:hAnsi=".." w:hint="eastAsia"/>
          <w:color w:val="000000"/>
        </w:rPr>
        <w:t>0.2MPa</w:t>
      </w:r>
      <w:r>
        <w:rPr>
          <w:rStyle w:val="apple-style-span"/>
          <w:rFonts w:ascii=".." w:hAnsi=".." w:hint="eastAsia"/>
          <w:color w:val="000000"/>
        </w:rPr>
        <w:t>（表压），</w:t>
      </w:r>
      <w:proofErr w:type="gramStart"/>
      <w:r>
        <w:rPr>
          <w:rStyle w:val="apple-style-span"/>
          <w:rFonts w:ascii=".." w:hAnsi=".." w:hint="eastAsia"/>
          <w:color w:val="000000"/>
        </w:rPr>
        <w:t>且压力</w:t>
      </w:r>
      <w:proofErr w:type="gramEnd"/>
      <w:r>
        <w:rPr>
          <w:rStyle w:val="apple-style-span"/>
          <w:rFonts w:ascii=".." w:hAnsi=".." w:hint="eastAsia"/>
          <w:color w:val="000000"/>
        </w:rPr>
        <w:t>与容积的乘积大于或者等于</w:t>
      </w:r>
      <w:r>
        <w:rPr>
          <w:rStyle w:val="apple-style-span"/>
          <w:rFonts w:ascii=".." w:hAnsi=".." w:hint="eastAsia"/>
          <w:color w:val="000000"/>
        </w:rPr>
        <w:t>1.0MPa</w:t>
      </w:r>
      <w:r>
        <w:rPr>
          <w:rStyle w:val="apple-style-span"/>
          <w:rFonts w:ascii=".." w:hAnsi=".." w:hint="eastAsia"/>
          <w:color w:val="000000"/>
        </w:rPr>
        <w:t>•</w:t>
      </w:r>
      <w:r>
        <w:rPr>
          <w:rStyle w:val="apple-style-span"/>
          <w:rFonts w:ascii=".." w:hAnsi=".." w:hint="eastAsia"/>
          <w:color w:val="000000"/>
        </w:rPr>
        <w:t>L</w:t>
      </w:r>
      <w:r>
        <w:rPr>
          <w:rStyle w:val="apple-style-span"/>
          <w:rFonts w:ascii=".." w:hAnsi=".." w:hint="eastAsia"/>
          <w:color w:val="000000"/>
        </w:rPr>
        <w:t>的气体、液化气体和标准沸点等于或者低于</w:t>
      </w:r>
      <w:r>
        <w:rPr>
          <w:rStyle w:val="apple-style-span"/>
          <w:rFonts w:ascii=".." w:hAnsi=".." w:hint="eastAsia"/>
          <w:color w:val="000000"/>
        </w:rPr>
        <w:t>60</w:t>
      </w:r>
      <w:r>
        <w:rPr>
          <w:rStyle w:val="apple-style-span"/>
          <w:rFonts w:ascii=".." w:hAnsi=".." w:hint="eastAsia"/>
          <w:color w:val="000000"/>
        </w:rPr>
        <w:t>℃液体的气瓶；氧舱等。</w:t>
      </w:r>
    </w:p>
    <w:p w14:paraId="0BA5DD01"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【压力管道】是指利用一定的压力，用于输送气体或者液体的管状设备，其范围规定为最高工作压力大于或者等于</w:t>
      </w:r>
      <w:r>
        <w:rPr>
          <w:rStyle w:val="apple-style-span"/>
          <w:rFonts w:ascii=".." w:hAnsi=".." w:hint="eastAsia"/>
          <w:color w:val="000000"/>
        </w:rPr>
        <w:t>0.1MPa</w:t>
      </w:r>
      <w:r>
        <w:rPr>
          <w:rStyle w:val="apple-style-span"/>
          <w:rFonts w:ascii=".." w:hAnsi=".." w:hint="eastAsia"/>
          <w:color w:val="000000"/>
        </w:rPr>
        <w:t>（表压）的气体、液化气体、蒸汽介质或者可燃、易爆、有毒、有腐蚀性、最高工作温度高于或者等于标准沸点的液体介质，且公称直径大于</w:t>
      </w:r>
      <w:r>
        <w:rPr>
          <w:rStyle w:val="apple-style-span"/>
          <w:rFonts w:ascii=".." w:hAnsi=".." w:hint="eastAsia"/>
          <w:color w:val="000000"/>
        </w:rPr>
        <w:t>25mm</w:t>
      </w:r>
      <w:r>
        <w:rPr>
          <w:rStyle w:val="apple-style-span"/>
          <w:rFonts w:ascii=".." w:hAnsi=".." w:hint="eastAsia"/>
          <w:color w:val="000000"/>
        </w:rPr>
        <w:t>的管道。</w:t>
      </w:r>
    </w:p>
    <w:p w14:paraId="751C1C81"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【电梯】是指动力驱动，利用沿刚性导轨运行的箱体或者沿固定线路运行的梯级（踏步），进行升降或者平行运送人、货物的机电设备，包括载人（货）电梯、自动扶梯、自动人行道等。</w:t>
      </w:r>
    </w:p>
    <w:p w14:paraId="527E7EB4"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【客运索道】是指动力驱动，利用柔性绳索牵引箱体等运载工具运送人员的机电设备，包括客运架空索道、客运缆车、</w:t>
      </w:r>
      <w:proofErr w:type="gramStart"/>
      <w:r>
        <w:rPr>
          <w:rStyle w:val="apple-style-span"/>
          <w:rFonts w:ascii=".." w:hAnsi=".." w:hint="eastAsia"/>
          <w:color w:val="000000"/>
        </w:rPr>
        <w:t>客运拖牵索道</w:t>
      </w:r>
      <w:proofErr w:type="gramEnd"/>
      <w:r>
        <w:rPr>
          <w:rStyle w:val="apple-style-span"/>
          <w:rFonts w:ascii=".." w:hAnsi=".." w:hint="eastAsia"/>
          <w:color w:val="000000"/>
        </w:rPr>
        <w:t>等。</w:t>
      </w:r>
    </w:p>
    <w:p w14:paraId="59CFAEF5"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【大型游乐设施】是指用于经营目的，承载乘客游乐的设施，其范围规定为设计最大运</w:t>
      </w:r>
      <w:r>
        <w:rPr>
          <w:rStyle w:val="apple-style-span"/>
          <w:rFonts w:ascii=".." w:hAnsi=".." w:hint="eastAsia"/>
          <w:color w:val="000000"/>
        </w:rPr>
        <w:lastRenderedPageBreak/>
        <w:t>行线速度大于或者等于</w:t>
      </w:r>
      <w:r>
        <w:rPr>
          <w:rStyle w:val="apple-style-span"/>
          <w:rFonts w:ascii=".." w:hAnsi=".." w:hint="eastAsia"/>
          <w:color w:val="000000"/>
        </w:rPr>
        <w:t>2m/s</w:t>
      </w:r>
      <w:r>
        <w:rPr>
          <w:rStyle w:val="apple-style-span"/>
          <w:rFonts w:ascii=".." w:hAnsi=".." w:hint="eastAsia"/>
          <w:color w:val="000000"/>
        </w:rPr>
        <w:t>，或者运行高度距地面高于或者等于</w:t>
      </w:r>
      <w:r>
        <w:rPr>
          <w:rStyle w:val="apple-style-span"/>
          <w:rFonts w:ascii=".." w:hAnsi=".." w:hint="eastAsia"/>
          <w:color w:val="000000"/>
        </w:rPr>
        <w:t>2m</w:t>
      </w:r>
      <w:r>
        <w:rPr>
          <w:rStyle w:val="apple-style-span"/>
          <w:rFonts w:ascii=".." w:hAnsi=".." w:hint="eastAsia"/>
          <w:color w:val="000000"/>
        </w:rPr>
        <w:t>的载人大型游乐设施。</w:t>
      </w:r>
    </w:p>
    <w:p w14:paraId="0F77D89B"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【场（厂）内专用机动车辆】是指除道路交通、农用车辆以外仅在工厂厂区、旅游景区、游乐场所等特定区域使用的专用机动车辆，具体包括叉车、搬运车、牵引车、推顶车、</w:t>
      </w:r>
      <w:r>
        <w:rPr>
          <w:rStyle w:val="apple-style-span"/>
          <w:rFonts w:ascii=".." w:hAnsi=".."/>
        </w:rPr>
        <w:t>内燃观光车</w:t>
      </w:r>
      <w:r>
        <w:rPr>
          <w:rStyle w:val="apple-style-span"/>
          <w:rFonts w:ascii=".." w:hAnsi=".." w:hint="eastAsia"/>
        </w:rPr>
        <w:t>、蓄电池观光车。</w:t>
      </w:r>
    </w:p>
    <w:p w14:paraId="03BD5F7F" w14:textId="77777777" w:rsidR="006C04B6" w:rsidRDefault="00877F87">
      <w:pPr>
        <w:adjustRightInd w:val="0"/>
        <w:snapToGrid w:val="0"/>
        <w:spacing w:beforeLines="50" w:before="156"/>
        <w:ind w:firstLineChars="200" w:firstLine="420"/>
        <w:rPr>
          <w:rStyle w:val="apple-style-span"/>
          <w:rFonts w:ascii=".." w:hAnsi=".."/>
          <w:color w:val="000000"/>
        </w:rPr>
      </w:pPr>
      <w:r>
        <w:rPr>
          <w:rStyle w:val="apple-style-span"/>
          <w:rFonts w:ascii=".." w:hAnsi=".." w:hint="eastAsia"/>
          <w:color w:val="000000"/>
        </w:rPr>
        <w:t>【气瓶】包括</w:t>
      </w:r>
      <w:r>
        <w:rPr>
          <w:rStyle w:val="apple-style-span"/>
          <w:rFonts w:ascii=".." w:hAnsi=".."/>
        </w:rPr>
        <w:t>无缝气瓶</w:t>
      </w:r>
      <w:r>
        <w:rPr>
          <w:rStyle w:val="apple-style-span"/>
          <w:rFonts w:ascii=".." w:hAnsi=".." w:hint="eastAsia"/>
        </w:rPr>
        <w:t>、</w:t>
      </w:r>
      <w:r>
        <w:rPr>
          <w:rStyle w:val="apple-style-span"/>
          <w:rFonts w:ascii=".." w:hAnsi=".."/>
        </w:rPr>
        <w:t>焊接气瓶</w:t>
      </w:r>
      <w:r>
        <w:rPr>
          <w:rStyle w:val="apple-style-span"/>
          <w:rFonts w:ascii=".." w:hAnsi=".." w:hint="eastAsia"/>
        </w:rPr>
        <w:t>、</w:t>
      </w:r>
      <w:r>
        <w:rPr>
          <w:rStyle w:val="apple-style-span"/>
          <w:rFonts w:ascii=".." w:hAnsi=".."/>
        </w:rPr>
        <w:t>液化石油气钢瓶</w:t>
      </w:r>
      <w:r>
        <w:rPr>
          <w:rStyle w:val="apple-style-span"/>
          <w:rFonts w:ascii=".." w:hAnsi=".." w:hint="eastAsia"/>
        </w:rPr>
        <w:t>、</w:t>
      </w:r>
      <w:r>
        <w:rPr>
          <w:rStyle w:val="apple-style-span"/>
          <w:rFonts w:ascii=".." w:hAnsi=".."/>
        </w:rPr>
        <w:t>溶解乙炔气瓶</w:t>
      </w:r>
      <w:r>
        <w:rPr>
          <w:rStyle w:val="apple-style-span"/>
          <w:rFonts w:ascii=".." w:hAnsi=".." w:hint="eastAsia"/>
        </w:rPr>
        <w:t>、</w:t>
      </w:r>
      <w:r>
        <w:rPr>
          <w:rStyle w:val="apple-style-span"/>
          <w:rFonts w:ascii=".." w:hAnsi=".."/>
        </w:rPr>
        <w:t>车用气瓶</w:t>
      </w:r>
      <w:r>
        <w:rPr>
          <w:rStyle w:val="apple-style-span"/>
          <w:rFonts w:ascii=".." w:hAnsi=".." w:hint="eastAsia"/>
        </w:rPr>
        <w:t>、</w:t>
      </w:r>
      <w:r>
        <w:rPr>
          <w:rStyle w:val="apple-style-span"/>
          <w:rFonts w:ascii=".." w:hAnsi=".."/>
        </w:rPr>
        <w:t>低温绝热气瓶</w:t>
      </w:r>
      <w:r>
        <w:rPr>
          <w:rStyle w:val="apple-style-span"/>
          <w:rFonts w:ascii=".." w:hAnsi=".." w:hint="eastAsia"/>
        </w:rPr>
        <w:t>、</w:t>
      </w:r>
      <w:r>
        <w:rPr>
          <w:rStyle w:val="apple-style-span"/>
          <w:rFonts w:ascii=".." w:hAnsi=".."/>
        </w:rPr>
        <w:t>缠绕气瓶</w:t>
      </w:r>
      <w:r>
        <w:rPr>
          <w:rStyle w:val="apple-style-span"/>
          <w:rFonts w:ascii=".." w:hAnsi=".." w:hint="eastAsia"/>
        </w:rPr>
        <w:t>、</w:t>
      </w:r>
      <w:r>
        <w:rPr>
          <w:rStyle w:val="apple-style-span"/>
          <w:rFonts w:ascii=".." w:hAnsi=".."/>
        </w:rPr>
        <w:t>非重复充装气瓶</w:t>
      </w:r>
      <w:r>
        <w:rPr>
          <w:rStyle w:val="apple-style-span"/>
          <w:rFonts w:ascii=".." w:hAnsi=".." w:hint="eastAsia"/>
        </w:rPr>
        <w:t>、</w:t>
      </w:r>
      <w:r>
        <w:rPr>
          <w:rStyle w:val="apple-style-span"/>
          <w:rFonts w:ascii=".." w:hAnsi=".."/>
        </w:rPr>
        <w:t>特种气瓶</w:t>
      </w:r>
      <w:r>
        <w:rPr>
          <w:rStyle w:val="apple-style-span"/>
          <w:rFonts w:ascii=".." w:hAnsi=".." w:hint="eastAsia"/>
        </w:rPr>
        <w:t>。</w:t>
      </w:r>
    </w:p>
    <w:p w14:paraId="13052C8F" w14:textId="77777777" w:rsidR="006C04B6" w:rsidRDefault="006C04B6">
      <w:pPr>
        <w:adjustRightInd w:val="0"/>
        <w:snapToGrid w:val="0"/>
        <w:spacing w:beforeLines="50" w:before="156"/>
        <w:jc w:val="center"/>
        <w:rPr>
          <w:rFonts w:ascii="宋体" w:hAnsi="宋体"/>
          <w:b/>
          <w:bCs/>
          <w:szCs w:val="21"/>
        </w:rPr>
      </w:pPr>
    </w:p>
    <w:p w14:paraId="488B1DE0" w14:textId="77777777" w:rsidR="006C04B6" w:rsidRDefault="00877F87">
      <w:pPr>
        <w:adjustRightInd w:val="0"/>
        <w:snapToGrid w:val="0"/>
        <w:spacing w:beforeLines="50" w:before="156"/>
        <w:jc w:val="center"/>
        <w:rPr>
          <w:rFonts w:ascii="宋体" w:hAnsi="宋体"/>
          <w:b/>
          <w:bCs/>
          <w:szCs w:val="21"/>
        </w:rPr>
      </w:pPr>
      <w:r>
        <w:rPr>
          <w:rFonts w:ascii="宋体" w:hAnsi="宋体" w:hint="eastAsia"/>
          <w:b/>
          <w:bCs/>
          <w:szCs w:val="21"/>
        </w:rPr>
        <w:t>附录：</w:t>
      </w:r>
    </w:p>
    <w:p w14:paraId="1C05EF7F" w14:textId="77777777" w:rsidR="006C04B6" w:rsidRDefault="00877F87">
      <w:pPr>
        <w:adjustRightInd w:val="0"/>
        <w:snapToGrid w:val="0"/>
        <w:spacing w:beforeLines="50" w:before="156"/>
        <w:jc w:val="center"/>
        <w:rPr>
          <w:rFonts w:ascii="宋体" w:hAnsi="宋体"/>
          <w:b/>
          <w:snapToGrid w:val="0"/>
          <w:kern w:val="0"/>
          <w:szCs w:val="21"/>
        </w:rPr>
      </w:pPr>
      <w:r>
        <w:rPr>
          <w:rFonts w:ascii="宋体" w:hAnsi="宋体" w:hint="eastAsia"/>
          <w:b/>
          <w:snapToGrid w:val="0"/>
          <w:kern w:val="0"/>
          <w:szCs w:val="21"/>
        </w:rPr>
        <w:t>短期费率表</w:t>
      </w:r>
    </w:p>
    <w:tbl>
      <w:tblPr>
        <w:tblW w:w="8768"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auto"/>
        </w:tblBorders>
        <w:tblLayout w:type="fixed"/>
        <w:tblCellMar>
          <w:left w:w="0" w:type="dxa"/>
          <w:right w:w="0" w:type="dxa"/>
        </w:tblCellMar>
        <w:tblLook w:val="04A0" w:firstRow="1" w:lastRow="0" w:firstColumn="1" w:lastColumn="0" w:noHBand="0" w:noVBand="1"/>
      </w:tblPr>
      <w:tblGrid>
        <w:gridCol w:w="2368"/>
        <w:gridCol w:w="533"/>
        <w:gridCol w:w="533"/>
        <w:gridCol w:w="534"/>
        <w:gridCol w:w="533"/>
        <w:gridCol w:w="533"/>
        <w:gridCol w:w="534"/>
        <w:gridCol w:w="533"/>
        <w:gridCol w:w="533"/>
        <w:gridCol w:w="534"/>
        <w:gridCol w:w="533"/>
        <w:gridCol w:w="533"/>
        <w:gridCol w:w="534"/>
      </w:tblGrid>
      <w:tr w:rsidR="006C04B6" w14:paraId="0EC4A3F9" w14:textId="77777777">
        <w:trPr>
          <w:cantSplit/>
          <w:trHeight w:val="435"/>
          <w:jc w:val="center"/>
        </w:trPr>
        <w:tc>
          <w:tcPr>
            <w:tcW w:w="2368" w:type="dxa"/>
            <w:vAlign w:val="center"/>
          </w:tcPr>
          <w:p w14:paraId="16A33BE7" w14:textId="77777777" w:rsidR="006C04B6" w:rsidRDefault="00877F87">
            <w:pPr>
              <w:spacing w:after="50"/>
              <w:jc w:val="center"/>
              <w:rPr>
                <w:szCs w:val="21"/>
              </w:rPr>
            </w:pPr>
            <w:r>
              <w:rPr>
                <w:szCs w:val="21"/>
              </w:rPr>
              <w:t>保险期间</w:t>
            </w:r>
            <w:r>
              <w:rPr>
                <w:rFonts w:hint="eastAsia"/>
                <w:szCs w:val="21"/>
              </w:rPr>
              <w:t>已经过月数</w:t>
            </w:r>
            <w:r>
              <w:rPr>
                <w:szCs w:val="21"/>
              </w:rPr>
              <w:t>（</w:t>
            </w:r>
            <w:proofErr w:type="gramStart"/>
            <w:r>
              <w:rPr>
                <w:rFonts w:hint="eastAsia"/>
                <w:szCs w:val="21"/>
              </w:rPr>
              <w:t>个</w:t>
            </w:r>
            <w:proofErr w:type="gramEnd"/>
            <w:r>
              <w:rPr>
                <w:szCs w:val="21"/>
              </w:rPr>
              <w:t>月）</w:t>
            </w:r>
          </w:p>
        </w:tc>
        <w:tc>
          <w:tcPr>
            <w:tcW w:w="533" w:type="dxa"/>
            <w:vAlign w:val="center"/>
          </w:tcPr>
          <w:p w14:paraId="0F3DD05B" w14:textId="77777777" w:rsidR="006C04B6" w:rsidRDefault="00877F87">
            <w:pPr>
              <w:spacing w:after="50"/>
              <w:jc w:val="center"/>
              <w:rPr>
                <w:szCs w:val="21"/>
              </w:rPr>
            </w:pPr>
            <w:r>
              <w:rPr>
                <w:szCs w:val="21"/>
              </w:rPr>
              <w:t>1</w:t>
            </w:r>
          </w:p>
        </w:tc>
        <w:tc>
          <w:tcPr>
            <w:tcW w:w="533" w:type="dxa"/>
            <w:vAlign w:val="center"/>
          </w:tcPr>
          <w:p w14:paraId="516EF8D1" w14:textId="77777777" w:rsidR="006C04B6" w:rsidRDefault="00877F87">
            <w:pPr>
              <w:spacing w:after="50"/>
              <w:jc w:val="center"/>
              <w:rPr>
                <w:szCs w:val="21"/>
              </w:rPr>
            </w:pPr>
            <w:r>
              <w:rPr>
                <w:szCs w:val="21"/>
              </w:rPr>
              <w:t>2</w:t>
            </w:r>
          </w:p>
        </w:tc>
        <w:tc>
          <w:tcPr>
            <w:tcW w:w="534" w:type="dxa"/>
            <w:vAlign w:val="center"/>
          </w:tcPr>
          <w:p w14:paraId="294C47E3" w14:textId="77777777" w:rsidR="006C04B6" w:rsidRDefault="00877F87">
            <w:pPr>
              <w:spacing w:after="50"/>
              <w:jc w:val="center"/>
              <w:rPr>
                <w:szCs w:val="21"/>
              </w:rPr>
            </w:pPr>
            <w:r>
              <w:rPr>
                <w:szCs w:val="21"/>
              </w:rPr>
              <w:t>3</w:t>
            </w:r>
          </w:p>
        </w:tc>
        <w:tc>
          <w:tcPr>
            <w:tcW w:w="533" w:type="dxa"/>
            <w:vAlign w:val="center"/>
          </w:tcPr>
          <w:p w14:paraId="6E6EA0C2" w14:textId="77777777" w:rsidR="006C04B6" w:rsidRDefault="00877F87">
            <w:pPr>
              <w:spacing w:after="50"/>
              <w:jc w:val="center"/>
              <w:rPr>
                <w:szCs w:val="21"/>
              </w:rPr>
            </w:pPr>
            <w:r>
              <w:rPr>
                <w:szCs w:val="21"/>
              </w:rPr>
              <w:t>4</w:t>
            </w:r>
          </w:p>
        </w:tc>
        <w:tc>
          <w:tcPr>
            <w:tcW w:w="533" w:type="dxa"/>
            <w:vAlign w:val="center"/>
          </w:tcPr>
          <w:p w14:paraId="251A35C1" w14:textId="77777777" w:rsidR="006C04B6" w:rsidRDefault="00877F87">
            <w:pPr>
              <w:spacing w:after="50"/>
              <w:jc w:val="center"/>
              <w:rPr>
                <w:szCs w:val="21"/>
              </w:rPr>
            </w:pPr>
            <w:r>
              <w:rPr>
                <w:szCs w:val="21"/>
              </w:rPr>
              <w:t>5</w:t>
            </w:r>
          </w:p>
        </w:tc>
        <w:tc>
          <w:tcPr>
            <w:tcW w:w="534" w:type="dxa"/>
            <w:vAlign w:val="center"/>
          </w:tcPr>
          <w:p w14:paraId="798CE994" w14:textId="77777777" w:rsidR="006C04B6" w:rsidRDefault="00877F87">
            <w:pPr>
              <w:spacing w:after="50"/>
              <w:jc w:val="center"/>
              <w:rPr>
                <w:szCs w:val="21"/>
              </w:rPr>
            </w:pPr>
            <w:r>
              <w:rPr>
                <w:szCs w:val="21"/>
              </w:rPr>
              <w:t>6</w:t>
            </w:r>
          </w:p>
        </w:tc>
        <w:tc>
          <w:tcPr>
            <w:tcW w:w="533" w:type="dxa"/>
            <w:vAlign w:val="center"/>
          </w:tcPr>
          <w:p w14:paraId="2DE9C302" w14:textId="77777777" w:rsidR="006C04B6" w:rsidRDefault="00877F87">
            <w:pPr>
              <w:spacing w:after="50"/>
              <w:jc w:val="center"/>
              <w:rPr>
                <w:szCs w:val="21"/>
              </w:rPr>
            </w:pPr>
            <w:r>
              <w:rPr>
                <w:szCs w:val="21"/>
              </w:rPr>
              <w:t>7</w:t>
            </w:r>
          </w:p>
        </w:tc>
        <w:tc>
          <w:tcPr>
            <w:tcW w:w="533" w:type="dxa"/>
            <w:vAlign w:val="center"/>
          </w:tcPr>
          <w:p w14:paraId="7BEB0175" w14:textId="77777777" w:rsidR="006C04B6" w:rsidRDefault="00877F87">
            <w:pPr>
              <w:spacing w:after="50"/>
              <w:jc w:val="center"/>
              <w:rPr>
                <w:szCs w:val="21"/>
              </w:rPr>
            </w:pPr>
            <w:r>
              <w:rPr>
                <w:szCs w:val="21"/>
              </w:rPr>
              <w:t>8</w:t>
            </w:r>
          </w:p>
        </w:tc>
        <w:tc>
          <w:tcPr>
            <w:tcW w:w="534" w:type="dxa"/>
            <w:vAlign w:val="center"/>
          </w:tcPr>
          <w:p w14:paraId="01A3EEA0" w14:textId="77777777" w:rsidR="006C04B6" w:rsidRDefault="00877F87">
            <w:pPr>
              <w:spacing w:after="50"/>
              <w:jc w:val="center"/>
              <w:rPr>
                <w:szCs w:val="21"/>
              </w:rPr>
            </w:pPr>
            <w:r>
              <w:rPr>
                <w:szCs w:val="21"/>
              </w:rPr>
              <w:t>9</w:t>
            </w:r>
          </w:p>
        </w:tc>
        <w:tc>
          <w:tcPr>
            <w:tcW w:w="533" w:type="dxa"/>
            <w:vAlign w:val="center"/>
          </w:tcPr>
          <w:p w14:paraId="09063331" w14:textId="77777777" w:rsidR="006C04B6" w:rsidRDefault="00877F87">
            <w:pPr>
              <w:spacing w:after="50"/>
              <w:jc w:val="center"/>
              <w:rPr>
                <w:szCs w:val="21"/>
              </w:rPr>
            </w:pPr>
            <w:r>
              <w:rPr>
                <w:szCs w:val="21"/>
              </w:rPr>
              <w:t>10</w:t>
            </w:r>
          </w:p>
        </w:tc>
        <w:tc>
          <w:tcPr>
            <w:tcW w:w="533" w:type="dxa"/>
            <w:vAlign w:val="center"/>
          </w:tcPr>
          <w:p w14:paraId="4DE681B8" w14:textId="77777777" w:rsidR="006C04B6" w:rsidRDefault="00877F87">
            <w:pPr>
              <w:spacing w:after="50"/>
              <w:jc w:val="center"/>
              <w:rPr>
                <w:szCs w:val="21"/>
              </w:rPr>
            </w:pPr>
            <w:r>
              <w:rPr>
                <w:szCs w:val="21"/>
              </w:rPr>
              <w:t>11</w:t>
            </w:r>
          </w:p>
        </w:tc>
        <w:tc>
          <w:tcPr>
            <w:tcW w:w="534" w:type="dxa"/>
            <w:vAlign w:val="center"/>
          </w:tcPr>
          <w:p w14:paraId="1F0B478D" w14:textId="77777777" w:rsidR="006C04B6" w:rsidRDefault="00877F87">
            <w:pPr>
              <w:spacing w:after="50"/>
              <w:jc w:val="center"/>
              <w:rPr>
                <w:szCs w:val="21"/>
              </w:rPr>
            </w:pPr>
            <w:r>
              <w:rPr>
                <w:szCs w:val="21"/>
              </w:rPr>
              <w:t>12</w:t>
            </w:r>
          </w:p>
        </w:tc>
      </w:tr>
      <w:tr w:rsidR="006C04B6" w14:paraId="2629ED6B" w14:textId="77777777">
        <w:trPr>
          <w:cantSplit/>
          <w:trHeight w:val="435"/>
          <w:jc w:val="center"/>
        </w:trPr>
        <w:tc>
          <w:tcPr>
            <w:tcW w:w="2368" w:type="dxa"/>
            <w:vAlign w:val="center"/>
          </w:tcPr>
          <w:p w14:paraId="28D34054" w14:textId="77777777" w:rsidR="006C04B6" w:rsidRDefault="00877F87">
            <w:pPr>
              <w:spacing w:after="50"/>
              <w:jc w:val="center"/>
              <w:rPr>
                <w:szCs w:val="21"/>
              </w:rPr>
            </w:pPr>
            <w:r>
              <w:rPr>
                <w:rFonts w:hint="eastAsia"/>
                <w:szCs w:val="21"/>
              </w:rPr>
              <w:t>年费率的</w:t>
            </w:r>
            <w:r>
              <w:rPr>
                <w:szCs w:val="21"/>
              </w:rPr>
              <w:t>比例（％）</w:t>
            </w:r>
          </w:p>
        </w:tc>
        <w:tc>
          <w:tcPr>
            <w:tcW w:w="533" w:type="dxa"/>
            <w:vAlign w:val="center"/>
          </w:tcPr>
          <w:p w14:paraId="4B57AB2F" w14:textId="77777777" w:rsidR="006C04B6" w:rsidRDefault="00877F87">
            <w:pPr>
              <w:spacing w:after="50"/>
              <w:jc w:val="center"/>
              <w:rPr>
                <w:szCs w:val="21"/>
              </w:rPr>
            </w:pPr>
            <w:r>
              <w:rPr>
                <w:szCs w:val="21"/>
              </w:rPr>
              <w:t>10</w:t>
            </w:r>
          </w:p>
        </w:tc>
        <w:tc>
          <w:tcPr>
            <w:tcW w:w="533" w:type="dxa"/>
            <w:vAlign w:val="center"/>
          </w:tcPr>
          <w:p w14:paraId="7D4F0DA7" w14:textId="77777777" w:rsidR="006C04B6" w:rsidRDefault="00877F87">
            <w:pPr>
              <w:spacing w:after="50"/>
              <w:jc w:val="center"/>
              <w:rPr>
                <w:szCs w:val="21"/>
              </w:rPr>
            </w:pPr>
            <w:r>
              <w:rPr>
                <w:szCs w:val="21"/>
              </w:rPr>
              <w:t>20</w:t>
            </w:r>
          </w:p>
        </w:tc>
        <w:tc>
          <w:tcPr>
            <w:tcW w:w="534" w:type="dxa"/>
            <w:vAlign w:val="center"/>
          </w:tcPr>
          <w:p w14:paraId="5CCBA8DE" w14:textId="77777777" w:rsidR="006C04B6" w:rsidRDefault="00877F87">
            <w:pPr>
              <w:spacing w:after="50"/>
              <w:jc w:val="center"/>
              <w:rPr>
                <w:szCs w:val="21"/>
              </w:rPr>
            </w:pPr>
            <w:r>
              <w:rPr>
                <w:szCs w:val="21"/>
              </w:rPr>
              <w:t>30</w:t>
            </w:r>
          </w:p>
        </w:tc>
        <w:tc>
          <w:tcPr>
            <w:tcW w:w="533" w:type="dxa"/>
            <w:vAlign w:val="center"/>
          </w:tcPr>
          <w:p w14:paraId="0C1A2764" w14:textId="77777777" w:rsidR="006C04B6" w:rsidRDefault="00877F87">
            <w:pPr>
              <w:spacing w:after="50"/>
              <w:jc w:val="center"/>
              <w:rPr>
                <w:szCs w:val="21"/>
              </w:rPr>
            </w:pPr>
            <w:r>
              <w:rPr>
                <w:szCs w:val="21"/>
              </w:rPr>
              <w:t>40</w:t>
            </w:r>
          </w:p>
        </w:tc>
        <w:tc>
          <w:tcPr>
            <w:tcW w:w="533" w:type="dxa"/>
            <w:vAlign w:val="center"/>
          </w:tcPr>
          <w:p w14:paraId="6265D987" w14:textId="77777777" w:rsidR="006C04B6" w:rsidRDefault="00877F87">
            <w:pPr>
              <w:spacing w:after="50"/>
              <w:jc w:val="center"/>
              <w:rPr>
                <w:szCs w:val="21"/>
              </w:rPr>
            </w:pPr>
            <w:r>
              <w:rPr>
                <w:szCs w:val="21"/>
              </w:rPr>
              <w:t>50</w:t>
            </w:r>
          </w:p>
        </w:tc>
        <w:tc>
          <w:tcPr>
            <w:tcW w:w="534" w:type="dxa"/>
            <w:vAlign w:val="center"/>
          </w:tcPr>
          <w:p w14:paraId="785704B4" w14:textId="77777777" w:rsidR="006C04B6" w:rsidRDefault="00877F87">
            <w:pPr>
              <w:spacing w:after="50"/>
              <w:jc w:val="center"/>
              <w:rPr>
                <w:szCs w:val="21"/>
              </w:rPr>
            </w:pPr>
            <w:r>
              <w:rPr>
                <w:szCs w:val="21"/>
              </w:rPr>
              <w:t>60</w:t>
            </w:r>
          </w:p>
        </w:tc>
        <w:tc>
          <w:tcPr>
            <w:tcW w:w="533" w:type="dxa"/>
            <w:vAlign w:val="center"/>
          </w:tcPr>
          <w:p w14:paraId="3D5C667A" w14:textId="77777777" w:rsidR="006C04B6" w:rsidRDefault="00877F87">
            <w:pPr>
              <w:spacing w:after="50"/>
              <w:jc w:val="center"/>
              <w:rPr>
                <w:szCs w:val="21"/>
              </w:rPr>
            </w:pPr>
            <w:r>
              <w:rPr>
                <w:szCs w:val="21"/>
              </w:rPr>
              <w:t>70</w:t>
            </w:r>
          </w:p>
        </w:tc>
        <w:tc>
          <w:tcPr>
            <w:tcW w:w="533" w:type="dxa"/>
            <w:vAlign w:val="center"/>
          </w:tcPr>
          <w:p w14:paraId="1CD41E2E" w14:textId="77777777" w:rsidR="006C04B6" w:rsidRDefault="00877F87">
            <w:pPr>
              <w:spacing w:after="50"/>
              <w:jc w:val="center"/>
              <w:rPr>
                <w:szCs w:val="21"/>
              </w:rPr>
            </w:pPr>
            <w:r>
              <w:rPr>
                <w:szCs w:val="21"/>
              </w:rPr>
              <w:t>80</w:t>
            </w:r>
          </w:p>
        </w:tc>
        <w:tc>
          <w:tcPr>
            <w:tcW w:w="534" w:type="dxa"/>
            <w:vAlign w:val="center"/>
          </w:tcPr>
          <w:p w14:paraId="1096859C" w14:textId="77777777" w:rsidR="006C04B6" w:rsidRDefault="00877F87">
            <w:pPr>
              <w:spacing w:after="50"/>
              <w:jc w:val="center"/>
              <w:rPr>
                <w:szCs w:val="21"/>
              </w:rPr>
            </w:pPr>
            <w:r>
              <w:rPr>
                <w:szCs w:val="21"/>
              </w:rPr>
              <w:t>85</w:t>
            </w:r>
          </w:p>
        </w:tc>
        <w:tc>
          <w:tcPr>
            <w:tcW w:w="533" w:type="dxa"/>
            <w:vAlign w:val="center"/>
          </w:tcPr>
          <w:p w14:paraId="79905C4E" w14:textId="77777777" w:rsidR="006C04B6" w:rsidRDefault="00877F87">
            <w:pPr>
              <w:spacing w:after="50"/>
              <w:jc w:val="center"/>
              <w:rPr>
                <w:szCs w:val="21"/>
              </w:rPr>
            </w:pPr>
            <w:r>
              <w:rPr>
                <w:szCs w:val="21"/>
              </w:rPr>
              <w:t>90</w:t>
            </w:r>
          </w:p>
        </w:tc>
        <w:tc>
          <w:tcPr>
            <w:tcW w:w="533" w:type="dxa"/>
            <w:vAlign w:val="center"/>
          </w:tcPr>
          <w:p w14:paraId="323203BD" w14:textId="77777777" w:rsidR="006C04B6" w:rsidRDefault="00877F87">
            <w:pPr>
              <w:spacing w:after="50"/>
              <w:jc w:val="center"/>
              <w:rPr>
                <w:szCs w:val="21"/>
              </w:rPr>
            </w:pPr>
            <w:r>
              <w:rPr>
                <w:szCs w:val="21"/>
              </w:rPr>
              <w:t>95</w:t>
            </w:r>
          </w:p>
        </w:tc>
        <w:tc>
          <w:tcPr>
            <w:tcW w:w="534" w:type="dxa"/>
            <w:vAlign w:val="center"/>
          </w:tcPr>
          <w:p w14:paraId="43C6369D" w14:textId="77777777" w:rsidR="006C04B6" w:rsidRDefault="00877F87">
            <w:pPr>
              <w:spacing w:after="50"/>
              <w:jc w:val="center"/>
              <w:rPr>
                <w:szCs w:val="21"/>
              </w:rPr>
            </w:pPr>
            <w:r>
              <w:rPr>
                <w:szCs w:val="21"/>
              </w:rPr>
              <w:t>100</w:t>
            </w:r>
          </w:p>
        </w:tc>
      </w:tr>
    </w:tbl>
    <w:p w14:paraId="3185E72E" w14:textId="77777777" w:rsidR="006C04B6" w:rsidRDefault="00877F87">
      <w:pPr>
        <w:adjustRightInd w:val="0"/>
        <w:spacing w:afterLines="50" w:after="156"/>
        <w:ind w:firstLineChars="200" w:firstLine="420"/>
        <w:rPr>
          <w:rFonts w:ascii="宋体" w:hAnsi="宋体"/>
          <w:snapToGrid w:val="0"/>
          <w:kern w:val="0"/>
          <w:szCs w:val="21"/>
        </w:rPr>
      </w:pPr>
      <w:r>
        <w:rPr>
          <w:rFonts w:ascii="宋体" w:hAnsi="宋体" w:hint="eastAsia"/>
          <w:snapToGrid w:val="0"/>
          <w:kern w:val="0"/>
          <w:szCs w:val="21"/>
        </w:rPr>
        <w:t>（注：保险期间已经过月数不足一月的按一月计算）。</w:t>
      </w:r>
    </w:p>
    <w:p w14:paraId="7902AA39" w14:textId="77777777" w:rsidR="006C04B6" w:rsidRDefault="006C04B6"/>
    <w:sectPr w:rsidR="006C04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6302" w14:textId="77777777" w:rsidR="00FC2D9C" w:rsidRDefault="00FC2D9C">
      <w:r>
        <w:separator/>
      </w:r>
    </w:p>
  </w:endnote>
  <w:endnote w:type="continuationSeparator" w:id="0">
    <w:p w14:paraId="74121856" w14:textId="77777777" w:rsidR="00FC2D9C" w:rsidRDefault="00FC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6539"/>
    </w:sdtPr>
    <w:sdtEndPr/>
    <w:sdtContent>
      <w:p w14:paraId="0114F573" w14:textId="78B51F12" w:rsidR="006C04B6" w:rsidRDefault="00877F87">
        <w:pPr>
          <w:pStyle w:val="a7"/>
          <w:jc w:val="center"/>
        </w:pPr>
        <w:r>
          <w:fldChar w:fldCharType="begin"/>
        </w:r>
        <w:r>
          <w:instrText xml:space="preserve"> PAGE   \* MERGEFORMAT </w:instrText>
        </w:r>
        <w:r>
          <w:fldChar w:fldCharType="separate"/>
        </w:r>
        <w:r w:rsidR="0036684C" w:rsidRPr="0036684C">
          <w:rPr>
            <w:noProof/>
            <w:lang w:val="zh-CN"/>
          </w:rPr>
          <w:t>7</w:t>
        </w:r>
        <w:r>
          <w:fldChar w:fldCharType="end"/>
        </w:r>
      </w:p>
    </w:sdtContent>
  </w:sdt>
  <w:p w14:paraId="1C18DBF3" w14:textId="77777777" w:rsidR="006C04B6" w:rsidRDefault="006C04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C738" w14:textId="77777777" w:rsidR="00FC2D9C" w:rsidRDefault="00FC2D9C">
      <w:r>
        <w:separator/>
      </w:r>
    </w:p>
  </w:footnote>
  <w:footnote w:type="continuationSeparator" w:id="0">
    <w:p w14:paraId="372769F4" w14:textId="77777777" w:rsidR="00FC2D9C" w:rsidRDefault="00FC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CF"/>
    <w:rsid w:val="000268CB"/>
    <w:rsid w:val="00054413"/>
    <w:rsid w:val="00065E6F"/>
    <w:rsid w:val="00086F64"/>
    <w:rsid w:val="00087076"/>
    <w:rsid w:val="000B2AD6"/>
    <w:rsid w:val="000D0061"/>
    <w:rsid w:val="000D436F"/>
    <w:rsid w:val="00124D60"/>
    <w:rsid w:val="001255A4"/>
    <w:rsid w:val="00125755"/>
    <w:rsid w:val="0017737A"/>
    <w:rsid w:val="00183967"/>
    <w:rsid w:val="00193557"/>
    <w:rsid w:val="00194E14"/>
    <w:rsid w:val="001A0E4B"/>
    <w:rsid w:val="001A40C0"/>
    <w:rsid w:val="001C099D"/>
    <w:rsid w:val="001D0413"/>
    <w:rsid w:val="001D1978"/>
    <w:rsid w:val="001E3D11"/>
    <w:rsid w:val="001E62DF"/>
    <w:rsid w:val="001E7E4E"/>
    <w:rsid w:val="001F0A7C"/>
    <w:rsid w:val="00205589"/>
    <w:rsid w:val="002160F6"/>
    <w:rsid w:val="002242B8"/>
    <w:rsid w:val="0025623B"/>
    <w:rsid w:val="002716FC"/>
    <w:rsid w:val="0027243E"/>
    <w:rsid w:val="002767C0"/>
    <w:rsid w:val="0028750D"/>
    <w:rsid w:val="00296A54"/>
    <w:rsid w:val="002C2D3A"/>
    <w:rsid w:val="002D046F"/>
    <w:rsid w:val="002D20D5"/>
    <w:rsid w:val="002D4F30"/>
    <w:rsid w:val="002E42E3"/>
    <w:rsid w:val="003253E2"/>
    <w:rsid w:val="00340E93"/>
    <w:rsid w:val="003446DD"/>
    <w:rsid w:val="003570F4"/>
    <w:rsid w:val="003641C2"/>
    <w:rsid w:val="0036684C"/>
    <w:rsid w:val="00380B7A"/>
    <w:rsid w:val="003864C3"/>
    <w:rsid w:val="00390B65"/>
    <w:rsid w:val="003A2D48"/>
    <w:rsid w:val="003A45C6"/>
    <w:rsid w:val="003B0C96"/>
    <w:rsid w:val="003C1E20"/>
    <w:rsid w:val="003D2C11"/>
    <w:rsid w:val="003E1C75"/>
    <w:rsid w:val="003E21AF"/>
    <w:rsid w:val="003E74F5"/>
    <w:rsid w:val="00402E1A"/>
    <w:rsid w:val="00404137"/>
    <w:rsid w:val="00413026"/>
    <w:rsid w:val="004570EF"/>
    <w:rsid w:val="004622EC"/>
    <w:rsid w:val="00493EA8"/>
    <w:rsid w:val="0049559C"/>
    <w:rsid w:val="004B5796"/>
    <w:rsid w:val="004B63B5"/>
    <w:rsid w:val="004E1DC1"/>
    <w:rsid w:val="00522A80"/>
    <w:rsid w:val="00526668"/>
    <w:rsid w:val="005269FD"/>
    <w:rsid w:val="00552C81"/>
    <w:rsid w:val="00555CA5"/>
    <w:rsid w:val="00561995"/>
    <w:rsid w:val="00564DA7"/>
    <w:rsid w:val="005854D6"/>
    <w:rsid w:val="00587974"/>
    <w:rsid w:val="00590AB2"/>
    <w:rsid w:val="005A255B"/>
    <w:rsid w:val="005B00FC"/>
    <w:rsid w:val="005C1E04"/>
    <w:rsid w:val="005C52DD"/>
    <w:rsid w:val="005C68EE"/>
    <w:rsid w:val="005D7D4A"/>
    <w:rsid w:val="005E08D1"/>
    <w:rsid w:val="005E5E87"/>
    <w:rsid w:val="005F2486"/>
    <w:rsid w:val="005F598E"/>
    <w:rsid w:val="006005CA"/>
    <w:rsid w:val="00606C04"/>
    <w:rsid w:val="00607ED6"/>
    <w:rsid w:val="006155B0"/>
    <w:rsid w:val="00635527"/>
    <w:rsid w:val="00637B48"/>
    <w:rsid w:val="00654411"/>
    <w:rsid w:val="006660A1"/>
    <w:rsid w:val="00675B4F"/>
    <w:rsid w:val="0068162D"/>
    <w:rsid w:val="00682CA1"/>
    <w:rsid w:val="00691F42"/>
    <w:rsid w:val="006C04B6"/>
    <w:rsid w:val="006C0FCB"/>
    <w:rsid w:val="006D5A9C"/>
    <w:rsid w:val="006E0262"/>
    <w:rsid w:val="006E2028"/>
    <w:rsid w:val="006E7F14"/>
    <w:rsid w:val="00702071"/>
    <w:rsid w:val="00702753"/>
    <w:rsid w:val="00722AE2"/>
    <w:rsid w:val="0073769D"/>
    <w:rsid w:val="00751BF3"/>
    <w:rsid w:val="00765032"/>
    <w:rsid w:val="00767F42"/>
    <w:rsid w:val="0077040E"/>
    <w:rsid w:val="00780708"/>
    <w:rsid w:val="00796107"/>
    <w:rsid w:val="007B3277"/>
    <w:rsid w:val="007D7E53"/>
    <w:rsid w:val="0080000F"/>
    <w:rsid w:val="008110F4"/>
    <w:rsid w:val="0081725B"/>
    <w:rsid w:val="00835BDB"/>
    <w:rsid w:val="00862F5B"/>
    <w:rsid w:val="00867970"/>
    <w:rsid w:val="00871163"/>
    <w:rsid w:val="00877F87"/>
    <w:rsid w:val="00891085"/>
    <w:rsid w:val="008B17A6"/>
    <w:rsid w:val="008B6C5D"/>
    <w:rsid w:val="008C327E"/>
    <w:rsid w:val="008D3FC6"/>
    <w:rsid w:val="008E4235"/>
    <w:rsid w:val="008F0000"/>
    <w:rsid w:val="008F24CD"/>
    <w:rsid w:val="0090100F"/>
    <w:rsid w:val="00946B2D"/>
    <w:rsid w:val="00957A47"/>
    <w:rsid w:val="00981D08"/>
    <w:rsid w:val="00982C42"/>
    <w:rsid w:val="00982E60"/>
    <w:rsid w:val="00991CE5"/>
    <w:rsid w:val="00996E8D"/>
    <w:rsid w:val="009B0095"/>
    <w:rsid w:val="009C0F2D"/>
    <w:rsid w:val="009E2FD7"/>
    <w:rsid w:val="00A032CA"/>
    <w:rsid w:val="00A41FA1"/>
    <w:rsid w:val="00A5029F"/>
    <w:rsid w:val="00A55EF2"/>
    <w:rsid w:val="00A62295"/>
    <w:rsid w:val="00A62AB4"/>
    <w:rsid w:val="00A71585"/>
    <w:rsid w:val="00A84011"/>
    <w:rsid w:val="00A86AE0"/>
    <w:rsid w:val="00A879B6"/>
    <w:rsid w:val="00A92DE6"/>
    <w:rsid w:val="00A9390D"/>
    <w:rsid w:val="00A971DA"/>
    <w:rsid w:val="00AA1228"/>
    <w:rsid w:val="00AB0938"/>
    <w:rsid w:val="00AB4202"/>
    <w:rsid w:val="00AB79E2"/>
    <w:rsid w:val="00AE6FD0"/>
    <w:rsid w:val="00AF4A54"/>
    <w:rsid w:val="00B04918"/>
    <w:rsid w:val="00B10FF2"/>
    <w:rsid w:val="00B33580"/>
    <w:rsid w:val="00B352C6"/>
    <w:rsid w:val="00B53E1C"/>
    <w:rsid w:val="00B53F0E"/>
    <w:rsid w:val="00B57DB2"/>
    <w:rsid w:val="00B95DB2"/>
    <w:rsid w:val="00BA228C"/>
    <w:rsid w:val="00BA7626"/>
    <w:rsid w:val="00BD1092"/>
    <w:rsid w:val="00BD3249"/>
    <w:rsid w:val="00BE059E"/>
    <w:rsid w:val="00BE0BBB"/>
    <w:rsid w:val="00BF4ED7"/>
    <w:rsid w:val="00C01639"/>
    <w:rsid w:val="00C035C9"/>
    <w:rsid w:val="00C144BC"/>
    <w:rsid w:val="00C1784F"/>
    <w:rsid w:val="00C21171"/>
    <w:rsid w:val="00C4567C"/>
    <w:rsid w:val="00C46602"/>
    <w:rsid w:val="00C46BA0"/>
    <w:rsid w:val="00C56F82"/>
    <w:rsid w:val="00C737D8"/>
    <w:rsid w:val="00C804F2"/>
    <w:rsid w:val="00C95F79"/>
    <w:rsid w:val="00CA18F1"/>
    <w:rsid w:val="00CB1EA4"/>
    <w:rsid w:val="00CB4DD4"/>
    <w:rsid w:val="00CC0AC1"/>
    <w:rsid w:val="00CC4389"/>
    <w:rsid w:val="00CF24D4"/>
    <w:rsid w:val="00D030EF"/>
    <w:rsid w:val="00D0465A"/>
    <w:rsid w:val="00D30BBA"/>
    <w:rsid w:val="00D32AE6"/>
    <w:rsid w:val="00D40188"/>
    <w:rsid w:val="00D4779D"/>
    <w:rsid w:val="00D47906"/>
    <w:rsid w:val="00D63BE0"/>
    <w:rsid w:val="00D71E00"/>
    <w:rsid w:val="00D85249"/>
    <w:rsid w:val="00D90A25"/>
    <w:rsid w:val="00D95F1F"/>
    <w:rsid w:val="00DA1D18"/>
    <w:rsid w:val="00DB30AB"/>
    <w:rsid w:val="00DD767B"/>
    <w:rsid w:val="00E056DA"/>
    <w:rsid w:val="00E41A37"/>
    <w:rsid w:val="00E5628D"/>
    <w:rsid w:val="00E6679D"/>
    <w:rsid w:val="00E83AE0"/>
    <w:rsid w:val="00E93724"/>
    <w:rsid w:val="00E9505E"/>
    <w:rsid w:val="00EA2EA7"/>
    <w:rsid w:val="00EC15CE"/>
    <w:rsid w:val="00ED4CB1"/>
    <w:rsid w:val="00ED666D"/>
    <w:rsid w:val="00EE1173"/>
    <w:rsid w:val="00EF75C8"/>
    <w:rsid w:val="00F046F5"/>
    <w:rsid w:val="00F04EEE"/>
    <w:rsid w:val="00F20019"/>
    <w:rsid w:val="00F430D2"/>
    <w:rsid w:val="00F50EBB"/>
    <w:rsid w:val="00F54E89"/>
    <w:rsid w:val="00F5765F"/>
    <w:rsid w:val="00F64B56"/>
    <w:rsid w:val="00F73A9A"/>
    <w:rsid w:val="00F853FD"/>
    <w:rsid w:val="00FB0F22"/>
    <w:rsid w:val="00FB2474"/>
    <w:rsid w:val="00FC2D9C"/>
    <w:rsid w:val="00FF4CCF"/>
    <w:rsid w:val="042D0772"/>
    <w:rsid w:val="1B833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5F14"/>
  <w15:docId w15:val="{FB8AFC56-22BD-484C-8543-4EB045B4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annotation reference"/>
    <w:uiPriority w:val="99"/>
    <w:unhideWhenUsed/>
    <w:qFormat/>
    <w:rPr>
      <w:sz w:val="21"/>
      <w:szCs w:val="21"/>
    </w:rPr>
  </w:style>
  <w:style w:type="character" w:customStyle="1" w:styleId="apple-style-span">
    <w:name w:val="apple-style-span"/>
    <w:basedOn w:val="a0"/>
    <w:qFormat/>
  </w:style>
  <w:style w:type="character" w:customStyle="1" w:styleId="aa">
    <w:name w:val="页眉 字符"/>
    <w:link w:val="a9"/>
    <w:uiPriority w:val="99"/>
    <w:qFormat/>
    <w:rPr>
      <w:rFonts w:ascii="Times New Roman" w:hAnsi="Times New Roman"/>
      <w:kern w:val="2"/>
      <w:sz w:val="18"/>
      <w:szCs w:val="18"/>
    </w:rPr>
  </w:style>
  <w:style w:type="character" w:customStyle="1" w:styleId="a8">
    <w:name w:val="页脚 字符"/>
    <w:link w:val="a7"/>
    <w:uiPriority w:val="99"/>
    <w:qFormat/>
    <w:rPr>
      <w:rFonts w:ascii="Times New Roman" w:hAnsi="Times New Roman"/>
      <w:kern w:val="2"/>
      <w:sz w:val="18"/>
      <w:szCs w:val="18"/>
    </w:rPr>
  </w:style>
  <w:style w:type="character" w:customStyle="1" w:styleId="a6">
    <w:name w:val="批注框文本 字符"/>
    <w:link w:val="a5"/>
    <w:uiPriority w:val="99"/>
    <w:semiHidden/>
    <w:qFormat/>
    <w:rPr>
      <w:rFonts w:ascii="Times New Roman" w:hAnsi="Times New Roman"/>
      <w:kern w:val="2"/>
      <w:sz w:val="18"/>
      <w:szCs w:val="18"/>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c">
    <w:name w:val="批注主题 字符"/>
    <w:link w:val="ab"/>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1014</Words>
  <Characters>5784</Characters>
  <Application>Microsoft Office Word</Application>
  <DocSecurity>0</DocSecurity>
  <Lines>48</Lines>
  <Paragraphs>13</Paragraphs>
  <ScaleCrop>false</ScaleCrop>
  <Company>中国平安保险(集团)股份有限公司</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chetanghong074</dc:creator>
  <cp:lastModifiedBy>徐驿</cp:lastModifiedBy>
  <cp:revision>19</cp:revision>
  <cp:lastPrinted>2019-04-04T05:49:00Z</cp:lastPrinted>
  <dcterms:created xsi:type="dcterms:W3CDTF">2019-04-04T05:49:00Z</dcterms:created>
  <dcterms:modified xsi:type="dcterms:W3CDTF">2021-12-10T05:44:00Z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A02C7416415845FC9BD216E7CE5BF7EB</vt:lpwstr>
  </property>
</Properties>
</file>