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widowControl/>
        <w:spacing w:after="156" w:afterLines="50"/>
        <w:ind w:left="0" w:leftChars="0" w:firstLine="0" w:firstLineChars="0"/>
        <w:jc w:val="center"/>
        <w:rPr>
          <w:rFonts w:cs="Arial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华农财产保险股份有限公司</w:t>
      </w:r>
    </w:p>
    <w:p>
      <w:pPr>
        <w:pStyle w:val="19"/>
        <w:spacing w:after="156" w:afterLines="50"/>
        <w:ind w:left="0" w:leftChars="0" w:firstLine="0" w:firstLineChars="0"/>
        <w:jc w:val="center"/>
        <w:outlineLvl w:val="1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个人医疗费用</w:t>
      </w:r>
      <w:r>
        <w:rPr>
          <w:rFonts w:ascii="宋体" w:hAnsi="宋体" w:cs="Arial"/>
          <w:b/>
          <w:sz w:val="28"/>
          <w:szCs w:val="28"/>
        </w:rPr>
        <w:t>保险</w:t>
      </w:r>
      <w:r>
        <w:rPr>
          <w:rFonts w:hint="eastAsia" w:ascii="宋体" w:hAnsi="宋体" w:cs="Arial"/>
          <w:b/>
          <w:sz w:val="28"/>
          <w:szCs w:val="28"/>
        </w:rPr>
        <w:t>A款</w:t>
      </w:r>
      <w:r>
        <w:rPr>
          <w:rFonts w:ascii="宋体" w:hAnsi="宋体" w:cs="Arial"/>
          <w:b/>
          <w:sz w:val="28"/>
          <w:szCs w:val="28"/>
        </w:rPr>
        <w:t>费率</w:t>
      </w:r>
      <w:r>
        <w:rPr>
          <w:rFonts w:hint="eastAsia" w:ascii="宋体" w:hAnsi="宋体" w:cs="Arial"/>
          <w:b/>
          <w:sz w:val="28"/>
          <w:szCs w:val="28"/>
        </w:rPr>
        <w:t>表</w:t>
      </w:r>
    </w:p>
    <w:p>
      <w:pPr>
        <w:pStyle w:val="19"/>
        <w:spacing w:after="156" w:afterLines="50"/>
        <w:ind w:left="0" w:leftChars="0" w:firstLine="422"/>
        <w:jc w:val="center"/>
        <w:rPr>
          <w:rFonts w:ascii="宋体" w:hAnsi="宋体" w:cs="Arial"/>
          <w:b/>
          <w:szCs w:val="28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 w:firstLineChars="200"/>
        <w:textAlignment w:val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  <w:lang w:val="en-US" w:eastAsia="zh-CN"/>
        </w:rPr>
        <w:t>一、</w:t>
      </w:r>
      <w:r>
        <w:rPr>
          <w:rFonts w:hint="eastAsia" w:ascii="宋体" w:hAnsi="宋体" w:cs="宋体"/>
          <w:b/>
          <w:szCs w:val="21"/>
        </w:rPr>
        <w:t>年基准保险费</w:t>
      </w:r>
    </w:p>
    <w:p>
      <w:pPr>
        <w:spacing w:line="312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1、一般医疗保险责任年基准保险费</w:t>
      </w:r>
    </w:p>
    <w:p>
      <w:pPr>
        <w:spacing w:line="312" w:lineRule="auto"/>
        <w:ind w:firstLine="422" w:firstLineChars="200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                                         单位：</w:t>
      </w:r>
      <w:r>
        <w:rPr>
          <w:rFonts w:hint="eastAsia" w:ascii="宋体" w:hAnsi="宋体" w:cs="宋体"/>
          <w:b/>
          <w:szCs w:val="21"/>
        </w:rPr>
        <w:t>人民币元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956"/>
        <w:gridCol w:w="1080"/>
        <w:gridCol w:w="108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保险金额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100万元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300万元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 xml:space="preserve">        社保情况</w:t>
            </w:r>
          </w:p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年龄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有社保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无社保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有社保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无社保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0-4周岁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5-10周岁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11-15周岁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16-20周岁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21-25周岁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26-30周岁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31-35周岁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36-40周岁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629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41-45周岁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46-50周岁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1186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707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51-55周岁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923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1734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947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56-60周岁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1253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2450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1286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61-65周岁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1658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3449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1700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3545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66-70周岁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2109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4250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2164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71-75周岁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2680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5221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2748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76-80周岁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3397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6522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3490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81-85周岁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4321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7956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4448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8194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86-90周岁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5466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9817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5627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91-95周岁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6917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12117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7123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12477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96-100周岁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8744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14944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9006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15390</w:t>
            </w:r>
          </w:p>
        </w:tc>
      </w:tr>
    </w:tbl>
    <w:p>
      <w:pPr>
        <w:spacing w:line="312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注：0周岁指出生满28天且健康出院。</w:t>
      </w:r>
    </w:p>
    <w:p>
      <w:pPr>
        <w:spacing w:line="312" w:lineRule="auto"/>
        <w:ind w:left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2、重大疾病医疗保险责任年基准保险费</w:t>
      </w:r>
    </w:p>
    <w:p>
      <w:pPr>
        <w:spacing w:line="312" w:lineRule="auto"/>
        <w:ind w:firstLine="422" w:firstLineChars="200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                                        单位：</w:t>
      </w:r>
      <w:r>
        <w:rPr>
          <w:rFonts w:hint="eastAsia" w:ascii="宋体" w:hAnsi="宋体" w:cs="宋体"/>
          <w:b/>
          <w:szCs w:val="21"/>
        </w:rPr>
        <w:t>人民币元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956"/>
        <w:gridCol w:w="1080"/>
        <w:gridCol w:w="108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保险金额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100万元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300万元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 xml:space="preserve">        社保情况</w:t>
            </w:r>
          </w:p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年龄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有社保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无社保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有社保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无社保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0-4周岁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5-10周岁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11-15周岁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16-20周岁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21-25周岁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26-30周岁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31-35周岁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36-40周岁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41-45周岁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46-50周岁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51-55周岁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56-60周岁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467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61-65周岁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657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66-70周岁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412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71-75周岁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995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76-80周岁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647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1242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665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81-85周岁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823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847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86-90周岁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1041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1870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1072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91-95周岁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2308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1357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96-100周岁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1666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2846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2932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注：0周岁指出生满28天且健康出院。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 w:firstLineChars="20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szCs w:val="21"/>
          <w:lang w:val="en-US" w:eastAsia="zh-CN"/>
        </w:rPr>
        <w:t>二、</w:t>
      </w:r>
      <w:r>
        <w:rPr>
          <w:rFonts w:hint="eastAsia" w:ascii="宋体" w:hAnsi="宋体" w:cs="宋体"/>
          <w:b/>
          <w:szCs w:val="21"/>
        </w:rPr>
        <w:t>调整系数</w:t>
      </w:r>
    </w:p>
    <w:p>
      <w:pPr>
        <w:spacing w:line="312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1、一般医疗保险责任免赔额调整系数</w:t>
      </w:r>
    </w:p>
    <w:p>
      <w:pPr>
        <w:spacing w:line="360" w:lineRule="auto"/>
        <w:ind w:firstLine="422" w:firstLineChars="200"/>
        <w:rPr>
          <w:rFonts w:ascii="宋体" w:hAnsi="宋体" w:cs="Arial"/>
          <w:b/>
          <w:szCs w:val="21"/>
        </w:rPr>
      </w:pPr>
      <w:r>
        <w:rPr>
          <w:rFonts w:hint="eastAsia" w:ascii="宋体" w:hAnsi="宋体" w:cs="Arial"/>
          <w:b/>
          <w:szCs w:val="21"/>
        </w:rPr>
        <w:t>（仅适用于一般医疗保险责任部分）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1266"/>
        <w:gridCol w:w="1349"/>
        <w:gridCol w:w="1350"/>
        <w:gridCol w:w="1321"/>
        <w:gridCol w:w="1475"/>
        <w:gridCol w:w="12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4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免赔额(元)</w:t>
            </w:r>
          </w:p>
        </w:tc>
        <w:tc>
          <w:tcPr>
            <w:tcW w:w="12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500</w:t>
            </w:r>
            <w:r>
              <w:rPr>
                <w:rFonts w:ascii="宋体" w:hAnsi="宋体"/>
                <w:kern w:val="0"/>
                <w:szCs w:val="21"/>
              </w:rPr>
              <w:t>0</w:t>
            </w:r>
          </w:p>
        </w:tc>
        <w:tc>
          <w:tcPr>
            <w:tcW w:w="13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8000</w:t>
            </w:r>
          </w:p>
        </w:tc>
        <w:tc>
          <w:tcPr>
            <w:tcW w:w="13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1000</w:t>
            </w:r>
            <w:r>
              <w:rPr>
                <w:rFonts w:ascii="宋体" w:hAnsi="宋体"/>
                <w:kern w:val="0"/>
                <w:szCs w:val="21"/>
              </w:rPr>
              <w:t>0</w:t>
            </w:r>
          </w:p>
        </w:tc>
        <w:tc>
          <w:tcPr>
            <w:tcW w:w="13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15000</w:t>
            </w:r>
          </w:p>
        </w:tc>
        <w:tc>
          <w:tcPr>
            <w:tcW w:w="14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20000</w:t>
            </w:r>
          </w:p>
        </w:tc>
        <w:tc>
          <w:tcPr>
            <w:tcW w:w="12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4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</w:t>
            </w:r>
            <w:r>
              <w:rPr>
                <w:rFonts w:hint="eastAsia" w:ascii="宋体" w:hAnsi="宋体"/>
                <w:kern w:val="0"/>
                <w:szCs w:val="21"/>
              </w:rPr>
              <w:t>系数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2.0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1.5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1.0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0.8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0.7</w:t>
            </w:r>
          </w:p>
        </w:tc>
        <w:tc>
          <w:tcPr>
            <w:tcW w:w="1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0.5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cs="宋体"/>
          <w:szCs w:val="21"/>
        </w:rPr>
      </w:pPr>
    </w:p>
    <w:p>
      <w:pPr>
        <w:spacing w:line="312" w:lineRule="auto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一般医疗保险</w:t>
      </w:r>
      <w:r>
        <w:rPr>
          <w:rFonts w:hint="eastAsia" w:ascii="宋体" w:hAnsi="宋体" w:cs="宋体"/>
          <w:szCs w:val="21"/>
        </w:rPr>
        <w:t>责任给付比例调整系数</w:t>
      </w:r>
    </w:p>
    <w:p>
      <w:pPr>
        <w:spacing w:line="360" w:lineRule="auto"/>
        <w:ind w:firstLine="422" w:firstLineChars="200"/>
        <w:rPr>
          <w:rFonts w:ascii="宋体" w:hAnsi="宋体" w:cs="Arial"/>
          <w:b/>
          <w:szCs w:val="21"/>
        </w:rPr>
      </w:pPr>
      <w:r>
        <w:rPr>
          <w:rFonts w:hint="eastAsia" w:ascii="宋体" w:hAnsi="宋体" w:cs="Arial"/>
          <w:b/>
          <w:szCs w:val="21"/>
        </w:rPr>
        <w:t>（仅适用于一般医疗保险责任部分）</w:t>
      </w:r>
    </w:p>
    <w:tbl>
      <w:tblPr>
        <w:tblStyle w:val="8"/>
        <w:tblW w:w="94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392"/>
        <w:gridCol w:w="1276"/>
        <w:gridCol w:w="1276"/>
        <w:gridCol w:w="1276"/>
        <w:gridCol w:w="1275"/>
        <w:gridCol w:w="14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  <w:jc w:val="center"/>
        </w:trPr>
        <w:tc>
          <w:tcPr>
            <w:tcW w:w="1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给付比例</w:t>
            </w:r>
          </w:p>
        </w:tc>
        <w:tc>
          <w:tcPr>
            <w:tcW w:w="13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≤50%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（50%,60%]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（60%,70%]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（70%,80%]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（80%,90%]</w:t>
            </w:r>
          </w:p>
        </w:tc>
        <w:tc>
          <w:tcPr>
            <w:tcW w:w="14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（90%,100%]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  <w:jc w:val="center"/>
        </w:trPr>
        <w:tc>
          <w:tcPr>
            <w:tcW w:w="14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</w:t>
            </w:r>
            <w:r>
              <w:rPr>
                <w:rFonts w:hint="eastAsia" w:ascii="宋体" w:hAnsi="宋体"/>
                <w:kern w:val="0"/>
                <w:szCs w:val="21"/>
              </w:rPr>
              <w:t>系数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（</w:t>
            </w:r>
            <w:r>
              <w:rPr>
                <w:rFonts w:hint="eastAsia" w:ascii="宋体" w:hAnsi="宋体"/>
                <w:kern w:val="0"/>
                <w:szCs w:val="21"/>
              </w:rPr>
              <w:t>0.4,0.5</w:t>
            </w:r>
            <w:r>
              <w:rPr>
                <w:rFonts w:hint="eastAsia" w:ascii="宋体" w:hAnsi="宋体" w:cs="Times New Roman"/>
                <w:kern w:val="2"/>
                <w:szCs w:val="21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（</w:t>
            </w:r>
            <w:r>
              <w:rPr>
                <w:rFonts w:hint="eastAsia" w:ascii="宋体" w:hAnsi="宋体"/>
                <w:kern w:val="0"/>
                <w:szCs w:val="21"/>
              </w:rPr>
              <w:t>0.5,0.6</w:t>
            </w:r>
            <w:r>
              <w:rPr>
                <w:rFonts w:hint="eastAsia" w:ascii="宋体" w:hAnsi="宋体" w:cs="Times New Roman"/>
                <w:kern w:val="2"/>
                <w:szCs w:val="21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（</w:t>
            </w:r>
            <w:r>
              <w:rPr>
                <w:rFonts w:hint="eastAsia" w:ascii="宋体" w:hAnsi="宋体"/>
                <w:kern w:val="0"/>
                <w:szCs w:val="21"/>
              </w:rPr>
              <w:t>0.6,0.7</w:t>
            </w:r>
            <w:r>
              <w:rPr>
                <w:rFonts w:hint="eastAsia" w:ascii="宋体" w:hAnsi="宋体" w:cs="Times New Roman"/>
                <w:kern w:val="2"/>
                <w:szCs w:val="21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（</w:t>
            </w:r>
            <w:r>
              <w:rPr>
                <w:rFonts w:hint="eastAsia" w:ascii="宋体" w:hAnsi="宋体"/>
                <w:kern w:val="0"/>
                <w:szCs w:val="21"/>
              </w:rPr>
              <w:t>0.7,0.8</w:t>
            </w:r>
            <w:r>
              <w:rPr>
                <w:rFonts w:hint="eastAsia" w:ascii="宋体" w:hAnsi="宋体" w:cs="Times New Roman"/>
                <w:kern w:val="2"/>
                <w:szCs w:val="21"/>
              </w:rPr>
              <w:t>]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（</w:t>
            </w:r>
            <w:r>
              <w:rPr>
                <w:rFonts w:hint="eastAsia" w:ascii="宋体" w:hAnsi="宋体"/>
                <w:kern w:val="0"/>
                <w:szCs w:val="21"/>
              </w:rPr>
              <w:t>0.8,0.9</w:t>
            </w:r>
            <w:r>
              <w:rPr>
                <w:rFonts w:hint="eastAsia" w:ascii="宋体" w:hAnsi="宋体" w:cs="Times New Roman"/>
                <w:kern w:val="2"/>
                <w:szCs w:val="21"/>
              </w:rPr>
              <w:t>]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Cs w:val="21"/>
              </w:rPr>
              <w:t>（</w:t>
            </w:r>
            <w:r>
              <w:rPr>
                <w:rFonts w:hint="eastAsia" w:ascii="宋体" w:hAnsi="宋体"/>
                <w:kern w:val="0"/>
                <w:szCs w:val="21"/>
              </w:rPr>
              <w:t>0.9,1.0</w:t>
            </w:r>
            <w:r>
              <w:rPr>
                <w:rFonts w:hint="eastAsia" w:ascii="宋体" w:hAnsi="宋体" w:cs="Times New Roman"/>
                <w:kern w:val="2"/>
                <w:szCs w:val="21"/>
              </w:rPr>
              <w:t>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cs="宋体"/>
          <w:szCs w:val="21"/>
        </w:rPr>
      </w:pPr>
    </w:p>
    <w:p>
      <w:pPr>
        <w:spacing w:line="312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3、重大疾病</w:t>
      </w:r>
      <w:r>
        <w:rPr>
          <w:rFonts w:ascii="宋体" w:hAnsi="宋体" w:cs="宋体"/>
          <w:szCs w:val="21"/>
        </w:rPr>
        <w:t>医疗保险</w:t>
      </w:r>
      <w:r>
        <w:rPr>
          <w:rFonts w:hint="eastAsia" w:ascii="宋体" w:hAnsi="宋体" w:cs="宋体"/>
          <w:szCs w:val="21"/>
        </w:rPr>
        <w:t>责任给付比例调整系数</w:t>
      </w:r>
    </w:p>
    <w:p>
      <w:pPr>
        <w:spacing w:line="360" w:lineRule="auto"/>
        <w:ind w:firstLine="422" w:firstLineChars="200"/>
        <w:rPr>
          <w:rFonts w:ascii="宋体" w:hAnsi="宋体" w:cs="Arial"/>
          <w:b/>
          <w:szCs w:val="21"/>
        </w:rPr>
      </w:pPr>
      <w:r>
        <w:rPr>
          <w:rFonts w:hint="eastAsia" w:ascii="宋体" w:hAnsi="宋体" w:cs="Arial"/>
          <w:b/>
          <w:szCs w:val="21"/>
        </w:rPr>
        <w:t>（仅适用于重大疾病医疗保险责任部分）</w:t>
      </w:r>
    </w:p>
    <w:tbl>
      <w:tblPr>
        <w:tblStyle w:val="8"/>
        <w:tblW w:w="94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390"/>
        <w:gridCol w:w="1276"/>
        <w:gridCol w:w="1276"/>
        <w:gridCol w:w="1276"/>
        <w:gridCol w:w="1275"/>
        <w:gridCol w:w="14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4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给付比例</w:t>
            </w: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≤</w:t>
            </w:r>
            <w:r>
              <w:rPr>
                <w:rFonts w:ascii="宋体" w:hAnsi="宋体" w:cs="Arial"/>
                <w:kern w:val="0"/>
                <w:szCs w:val="21"/>
              </w:rPr>
              <w:t>50%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（50%,</w:t>
            </w:r>
            <w:r>
              <w:rPr>
                <w:rFonts w:ascii="宋体" w:hAnsi="宋体" w:cs="Arial"/>
                <w:kern w:val="0"/>
                <w:szCs w:val="21"/>
              </w:rPr>
              <w:t>60%</w:t>
            </w:r>
            <w:r>
              <w:rPr>
                <w:rFonts w:hint="eastAsia" w:ascii="宋体" w:hAnsi="宋体" w:cs="Arial"/>
                <w:kern w:val="0"/>
                <w:szCs w:val="21"/>
              </w:rPr>
              <w:t>]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</w:t>
            </w:r>
            <w:r>
              <w:rPr>
                <w:rFonts w:ascii="宋体" w:hAnsi="宋体" w:cs="Arial"/>
                <w:kern w:val="0"/>
                <w:szCs w:val="21"/>
              </w:rPr>
              <w:t>6</w:t>
            </w:r>
            <w:r>
              <w:rPr>
                <w:rFonts w:hint="eastAsia" w:ascii="宋体" w:hAnsi="宋体" w:cs="Arial"/>
                <w:kern w:val="0"/>
                <w:szCs w:val="21"/>
              </w:rPr>
              <w:t>0%,</w:t>
            </w:r>
            <w:r>
              <w:rPr>
                <w:rFonts w:ascii="宋体" w:hAnsi="宋体" w:cs="Arial"/>
                <w:kern w:val="0"/>
                <w:szCs w:val="21"/>
              </w:rPr>
              <w:t>70%</w:t>
            </w:r>
            <w:r>
              <w:rPr>
                <w:rFonts w:hint="eastAsia" w:ascii="宋体" w:hAnsi="宋体" w:cs="Arial"/>
                <w:kern w:val="0"/>
                <w:szCs w:val="21"/>
              </w:rPr>
              <w:t>]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</w:t>
            </w:r>
            <w:r>
              <w:rPr>
                <w:rFonts w:ascii="宋体" w:hAnsi="宋体" w:cs="Arial"/>
                <w:kern w:val="0"/>
                <w:szCs w:val="21"/>
              </w:rPr>
              <w:t>7</w:t>
            </w:r>
            <w:r>
              <w:rPr>
                <w:rFonts w:hint="eastAsia" w:ascii="宋体" w:hAnsi="宋体" w:cs="Arial"/>
                <w:kern w:val="0"/>
                <w:szCs w:val="21"/>
              </w:rPr>
              <w:t>0%,</w:t>
            </w:r>
            <w:r>
              <w:rPr>
                <w:rFonts w:ascii="宋体" w:hAnsi="宋体" w:cs="Arial"/>
                <w:kern w:val="0"/>
                <w:szCs w:val="21"/>
              </w:rPr>
              <w:t>80%</w:t>
            </w:r>
            <w:r>
              <w:rPr>
                <w:rFonts w:hint="eastAsia" w:ascii="宋体" w:hAnsi="宋体" w:cs="Arial"/>
                <w:kern w:val="0"/>
                <w:szCs w:val="21"/>
              </w:rPr>
              <w:t>]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</w:t>
            </w:r>
            <w:r>
              <w:rPr>
                <w:rFonts w:ascii="宋体" w:hAnsi="宋体" w:cs="Arial"/>
                <w:kern w:val="0"/>
                <w:szCs w:val="21"/>
              </w:rPr>
              <w:t>8</w:t>
            </w:r>
            <w:r>
              <w:rPr>
                <w:rFonts w:hint="eastAsia" w:ascii="宋体" w:hAnsi="宋体" w:cs="Arial"/>
                <w:kern w:val="0"/>
                <w:szCs w:val="21"/>
              </w:rPr>
              <w:t>0%,</w:t>
            </w:r>
            <w:r>
              <w:rPr>
                <w:rFonts w:ascii="宋体" w:hAnsi="宋体" w:cs="Arial"/>
                <w:kern w:val="0"/>
                <w:szCs w:val="21"/>
              </w:rPr>
              <w:t>90%</w:t>
            </w:r>
            <w:r>
              <w:rPr>
                <w:rFonts w:hint="eastAsia" w:ascii="宋体" w:hAnsi="宋体" w:cs="Arial"/>
                <w:kern w:val="0"/>
                <w:szCs w:val="21"/>
              </w:rPr>
              <w:t>]</w:t>
            </w:r>
          </w:p>
        </w:tc>
        <w:tc>
          <w:tcPr>
            <w:tcW w:w="14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（90%,</w:t>
            </w:r>
            <w:r>
              <w:rPr>
                <w:rFonts w:ascii="宋体" w:hAnsi="宋体" w:cs="Arial"/>
                <w:kern w:val="0"/>
                <w:szCs w:val="21"/>
              </w:rPr>
              <w:t>100%</w:t>
            </w:r>
            <w:r>
              <w:rPr>
                <w:rFonts w:hint="eastAsia" w:ascii="宋体" w:hAnsi="宋体" w:cs="Arial"/>
                <w:kern w:val="0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43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</w:t>
            </w:r>
            <w:r>
              <w:rPr>
                <w:rFonts w:hint="eastAsia" w:ascii="宋体" w:hAnsi="宋体"/>
                <w:kern w:val="0"/>
                <w:szCs w:val="21"/>
              </w:rPr>
              <w:t>系数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</w:t>
            </w:r>
            <w:r>
              <w:rPr>
                <w:rFonts w:hint="eastAsia" w:ascii="宋体" w:hAnsi="宋体"/>
                <w:kern w:val="0"/>
                <w:szCs w:val="21"/>
              </w:rPr>
              <w:t>0.4,0.5</w:t>
            </w:r>
            <w:r>
              <w:rPr>
                <w:rFonts w:hint="eastAsia" w:ascii="宋体" w:hAnsi="宋体" w:cs="Arial"/>
                <w:kern w:val="0"/>
                <w:szCs w:val="21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</w:t>
            </w:r>
            <w:r>
              <w:rPr>
                <w:rFonts w:hint="eastAsia" w:ascii="宋体" w:hAnsi="宋体"/>
                <w:kern w:val="0"/>
                <w:szCs w:val="21"/>
              </w:rPr>
              <w:t>0.5,0.6</w:t>
            </w:r>
            <w:r>
              <w:rPr>
                <w:rFonts w:hint="eastAsia" w:ascii="宋体" w:hAnsi="宋体" w:cs="Arial"/>
                <w:kern w:val="0"/>
                <w:szCs w:val="21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</w:t>
            </w:r>
            <w:r>
              <w:rPr>
                <w:rFonts w:hint="eastAsia" w:ascii="宋体" w:hAnsi="宋体"/>
                <w:kern w:val="0"/>
                <w:szCs w:val="21"/>
              </w:rPr>
              <w:t>0.</w:t>
            </w:r>
            <w:r>
              <w:rPr>
                <w:rFonts w:ascii="宋体" w:hAnsi="宋体"/>
                <w:kern w:val="0"/>
                <w:szCs w:val="21"/>
              </w:rPr>
              <w:t>6</w:t>
            </w:r>
            <w:r>
              <w:rPr>
                <w:rFonts w:hint="eastAsia" w:ascii="宋体" w:hAnsi="宋体"/>
                <w:kern w:val="0"/>
                <w:szCs w:val="21"/>
              </w:rPr>
              <w:t>,0.</w:t>
            </w:r>
            <w:r>
              <w:rPr>
                <w:rFonts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 w:cs="Arial"/>
                <w:kern w:val="0"/>
                <w:szCs w:val="21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</w:t>
            </w:r>
            <w:r>
              <w:rPr>
                <w:rFonts w:hint="eastAsia" w:ascii="宋体" w:hAnsi="宋体"/>
                <w:kern w:val="0"/>
                <w:szCs w:val="21"/>
              </w:rPr>
              <w:t>0.</w:t>
            </w:r>
            <w:r>
              <w:rPr>
                <w:rFonts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</w:rPr>
              <w:t>,0.</w:t>
            </w:r>
            <w:r>
              <w:rPr>
                <w:rFonts w:ascii="宋体" w:hAnsi="宋体"/>
                <w:kern w:val="0"/>
                <w:szCs w:val="21"/>
              </w:rPr>
              <w:t>8</w:t>
            </w:r>
            <w:r>
              <w:rPr>
                <w:rFonts w:hint="eastAsia" w:ascii="宋体" w:hAnsi="宋体" w:cs="Arial"/>
                <w:kern w:val="0"/>
                <w:szCs w:val="21"/>
              </w:rPr>
              <w:t>]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</w:t>
            </w:r>
            <w:r>
              <w:rPr>
                <w:rFonts w:hint="eastAsia" w:ascii="宋体" w:hAnsi="宋体"/>
                <w:kern w:val="0"/>
                <w:szCs w:val="21"/>
              </w:rPr>
              <w:t>0.</w:t>
            </w:r>
            <w:r>
              <w:rPr>
                <w:rFonts w:ascii="宋体" w:hAnsi="宋体"/>
                <w:kern w:val="0"/>
                <w:szCs w:val="21"/>
              </w:rPr>
              <w:t>8</w:t>
            </w:r>
            <w:r>
              <w:rPr>
                <w:rFonts w:hint="eastAsia" w:ascii="宋体" w:hAnsi="宋体"/>
                <w:kern w:val="0"/>
                <w:szCs w:val="21"/>
              </w:rPr>
              <w:t>,0.</w:t>
            </w:r>
            <w:r>
              <w:rPr>
                <w:rFonts w:ascii="宋体" w:hAnsi="宋体"/>
                <w:kern w:val="0"/>
                <w:szCs w:val="21"/>
              </w:rPr>
              <w:t>9</w:t>
            </w:r>
            <w:r>
              <w:rPr>
                <w:rFonts w:hint="eastAsia" w:ascii="宋体" w:hAnsi="宋体" w:cs="Arial"/>
                <w:kern w:val="0"/>
                <w:szCs w:val="21"/>
              </w:rPr>
              <w:t>]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</w:t>
            </w:r>
            <w:r>
              <w:rPr>
                <w:rFonts w:hint="eastAsia" w:ascii="宋体" w:hAnsi="宋体"/>
                <w:kern w:val="0"/>
                <w:szCs w:val="21"/>
              </w:rPr>
              <w:t>0.9,1.0</w:t>
            </w:r>
            <w:r>
              <w:rPr>
                <w:rFonts w:hint="eastAsia" w:ascii="宋体" w:hAnsi="宋体" w:cs="Arial"/>
                <w:kern w:val="0"/>
                <w:szCs w:val="21"/>
              </w:rPr>
              <w:t>]</w:t>
            </w:r>
          </w:p>
        </w:tc>
      </w:tr>
    </w:tbl>
    <w:p>
      <w:pPr>
        <w:spacing w:line="312" w:lineRule="auto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12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4、</w:t>
      </w:r>
      <w:r>
        <w:rPr>
          <w:rFonts w:ascii="宋体" w:hAnsi="宋体" w:cs="宋体"/>
          <w:szCs w:val="21"/>
        </w:rPr>
        <w:t>规模调整系数：</w:t>
      </w:r>
      <w:r>
        <w:rPr>
          <w:rFonts w:hint="eastAsia" w:ascii="宋体" w:hAnsi="宋体" w:cs="宋体"/>
          <w:szCs w:val="21"/>
        </w:rPr>
        <w:t>按渠道年度投保人数规模，进行划分。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年度投保人数（N人）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N&gt;1200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800&lt;N≤1200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300&lt;N≤800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N≤300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12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5、</w:t>
      </w:r>
      <w:r>
        <w:rPr>
          <w:rFonts w:ascii="宋体" w:hAnsi="宋体" w:cs="宋体"/>
          <w:szCs w:val="21"/>
        </w:rPr>
        <w:t>历史赔付率调整系数：按渠道近三年赔付率情况，进行划分</w:t>
      </w:r>
      <w:r>
        <w:rPr>
          <w:rFonts w:hint="eastAsia" w:ascii="宋体" w:hAnsi="宋体" w:cs="宋体"/>
          <w:szCs w:val="21"/>
        </w:rPr>
        <w:t>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[</w:t>
            </w:r>
            <w:r>
              <w:rPr>
                <w:rFonts w:hint="eastAsia"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/>
                <w:szCs w:val="21"/>
              </w:rPr>
              <w:t>,</w:t>
            </w:r>
            <w:r>
              <w:rPr>
                <w:rFonts w:hint="eastAsia" w:ascii="宋体" w:hAnsi="宋体" w:cs="宋体"/>
                <w:kern w:val="0"/>
                <w:szCs w:val="21"/>
              </w:rPr>
              <w:t>0.7</w:t>
            </w:r>
            <w:r>
              <w:rPr>
                <w:rFonts w:ascii="宋体" w:hAnsi="宋体" w:cs="宋体"/>
                <w:kern w:val="0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Cs w:val="21"/>
              </w:rPr>
              <w:t>0.7</w:t>
            </w:r>
            <w:r>
              <w:rPr>
                <w:rFonts w:hint="eastAsia" w:ascii="宋体" w:hAnsi="宋体"/>
                <w:szCs w:val="21"/>
              </w:rPr>
              <w:t>,</w:t>
            </w:r>
            <w:r>
              <w:rPr>
                <w:rFonts w:hint="eastAsia" w:ascii="宋体" w:hAnsi="宋体" w:cs="宋体"/>
                <w:kern w:val="0"/>
                <w:szCs w:val="21"/>
              </w:rPr>
              <w:t>0.9</w:t>
            </w:r>
            <w:r>
              <w:rPr>
                <w:rFonts w:ascii="宋体" w:hAnsi="宋体" w:cs="宋体"/>
                <w:kern w:val="0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Cs w:val="21"/>
              </w:rPr>
              <w:t>0.9</w:t>
            </w:r>
            <w:r>
              <w:rPr>
                <w:rFonts w:hint="eastAsia" w:ascii="宋体" w:hAnsi="宋体"/>
                <w:szCs w:val="21"/>
              </w:rPr>
              <w:t>,</w:t>
            </w:r>
            <w:r>
              <w:rPr>
                <w:rFonts w:hint="eastAsia" w:ascii="宋体" w:hAnsi="宋体" w:cs="宋体"/>
                <w:kern w:val="0"/>
                <w:szCs w:val="21"/>
              </w:rPr>
              <w:t>1.1</w:t>
            </w:r>
            <w:r>
              <w:rPr>
                <w:rFonts w:ascii="宋体" w:hAnsi="宋体" w:cs="宋体"/>
                <w:kern w:val="0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Cs w:val="21"/>
              </w:rPr>
              <w:t>1.1</w:t>
            </w:r>
            <w:r>
              <w:rPr>
                <w:rFonts w:hint="eastAsia" w:ascii="宋体" w:hAnsi="宋体"/>
                <w:szCs w:val="21"/>
              </w:rPr>
              <w:t>,</w:t>
            </w:r>
            <w:r>
              <w:rPr>
                <w:rFonts w:hint="eastAsia" w:ascii="宋体" w:hAnsi="宋体" w:cs="宋体"/>
                <w:kern w:val="0"/>
                <w:szCs w:val="21"/>
              </w:rPr>
              <w:t>1.5</w:t>
            </w:r>
            <w:r>
              <w:rPr>
                <w:rFonts w:ascii="宋体" w:hAnsi="宋体" w:cs="宋体"/>
                <w:kern w:val="0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1.0</w:t>
            </w:r>
          </w:p>
        </w:tc>
      </w:tr>
    </w:tbl>
    <w:p>
      <w:pPr>
        <w:spacing w:line="288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6、</w:t>
      </w:r>
      <w:r>
        <w:rPr>
          <w:rFonts w:hint="eastAsia" w:ascii="宋体" w:hAnsi="宋体"/>
          <w:szCs w:val="21"/>
        </w:rPr>
        <w:t>等待期调整系数：按保单约定的等待期天数，进行划分。</w:t>
      </w:r>
    </w:p>
    <w:tbl>
      <w:tblPr>
        <w:tblStyle w:val="8"/>
        <w:tblW w:w="4678" w:type="dxa"/>
        <w:tblInd w:w="19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等待期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0.7</w:t>
            </w:r>
          </w:p>
        </w:tc>
      </w:tr>
    </w:tbl>
    <w:p>
      <w:pPr>
        <w:numPr>
          <w:ilvl w:val="255"/>
          <w:numId w:val="0"/>
        </w:numPr>
        <w:ind w:firstLine="420" w:firstLineChars="200"/>
        <w:rPr>
          <w:rFonts w:hAnsi="宋体" w:cs="Arial"/>
          <w:bCs/>
          <w:color w:val="000000"/>
          <w:szCs w:val="21"/>
          <w:lang w:bidi="ar"/>
        </w:rPr>
      </w:pPr>
      <w:r>
        <w:rPr>
          <w:rFonts w:hint="eastAsia" w:hAnsi="宋体" w:cs="Arial"/>
          <w:bCs/>
          <w:color w:val="000000"/>
          <w:szCs w:val="21"/>
        </w:rPr>
        <w:t>7、缴费方式调整系数：按保单约定的缴费方式，进行划分。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szCs w:val="21"/>
          <w:lang w:bidi="ar"/>
        </w:rPr>
      </w:pPr>
    </w:p>
    <w:tbl>
      <w:tblPr>
        <w:tblStyle w:val="8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Cs w:val="21"/>
                <w:lang w:bidi="ar"/>
              </w:rPr>
            </w:pPr>
            <w:bookmarkStart w:id="0" w:name="OLE_LINK3"/>
            <w:r>
              <w:rPr>
                <w:rFonts w:hint="eastAsia" w:hAnsi="宋体" w:cs="Arial"/>
                <w:bCs/>
                <w:color w:val="000000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int="eastAsia" w:ascii="宋体" w:hAnsi="宋体" w:cs="宋体"/>
                <w:bCs w:val="0"/>
                <w:szCs w:val="21"/>
              </w:rPr>
            </w:pPr>
            <w:r>
              <w:rPr>
                <w:rFonts w:hint="eastAsia" w:ascii="宋体" w:hAnsi="宋体" w:cs="宋体"/>
                <w:bCs w:val="0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int="eastAsia" w:ascii="宋体" w:hAnsi="宋体" w:cs="宋体"/>
                <w:bCs w:val="0"/>
                <w:szCs w:val="21"/>
              </w:rPr>
            </w:pPr>
            <w:r>
              <w:rPr>
                <w:rFonts w:hint="eastAsia" w:ascii="宋体" w:hAnsi="宋体" w:cs="宋体"/>
                <w:bCs w:val="0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int="eastAsia" w:ascii="宋体" w:hAnsi="宋体" w:cs="宋体"/>
                <w:bCs w:val="0"/>
                <w:szCs w:val="21"/>
              </w:rPr>
            </w:pPr>
            <w:r>
              <w:rPr>
                <w:rFonts w:hint="eastAsia" w:ascii="宋体" w:hAnsi="宋体" w:cs="宋体"/>
                <w:bCs w:val="0"/>
                <w:szCs w:val="21"/>
              </w:rPr>
              <w:t>[0.95,1.0]</w:t>
            </w:r>
          </w:p>
        </w:tc>
      </w:tr>
      <w:bookmarkEnd w:id="0"/>
    </w:tbl>
    <w:p>
      <w:pPr>
        <w:spacing w:line="288" w:lineRule="auto"/>
        <w:ind w:firstLine="422" w:firstLineChars="200"/>
        <w:rPr>
          <w:rFonts w:hint="eastAsia" w:ascii="宋体" w:hAnsi="宋体"/>
          <w:b/>
          <w:szCs w:val="21"/>
        </w:rPr>
      </w:pPr>
    </w:p>
    <w:p>
      <w:pPr>
        <w:spacing w:line="288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bookmarkStart w:id="1" w:name="_GoBack"/>
      <w:bookmarkEnd w:id="1"/>
      <w:r>
        <w:rPr>
          <w:rFonts w:hint="eastAsia" w:ascii="宋体" w:hAnsi="宋体"/>
          <w:b/>
          <w:szCs w:val="21"/>
        </w:rPr>
        <w:t>保险费计算</w:t>
      </w:r>
    </w:p>
    <w:p>
      <w:pPr>
        <w:spacing w:line="360" w:lineRule="auto"/>
        <w:ind w:firstLine="420" w:firstLineChars="200"/>
        <w:rPr>
          <w:rFonts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1、总年保险费=一般医疗保险责任年保险费+重大疾病医疗保险责任年保险费</w:t>
      </w:r>
    </w:p>
    <w:p>
      <w:pPr>
        <w:spacing w:line="360" w:lineRule="auto"/>
        <w:ind w:firstLine="420" w:firstLineChars="200"/>
        <w:rPr>
          <w:rFonts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一般医疗保险责任年保险费=一般医疗保险责任年基准保险费×一般医疗保险责任免赔额调整系数×一般医疗保险责任</w:t>
      </w:r>
      <w:r>
        <w:rPr>
          <w:rFonts w:hint="eastAsia" w:ascii="宋体" w:hAnsi="宋体"/>
          <w:color w:val="000000"/>
          <w:szCs w:val="21"/>
        </w:rPr>
        <w:t>给付比例调整系数</w:t>
      </w:r>
      <w:r>
        <w:rPr>
          <w:rFonts w:hint="eastAsia" w:ascii="宋体" w:hAnsi="宋体" w:cs="Arial"/>
          <w:szCs w:val="21"/>
        </w:rPr>
        <w:t>×规模调整系数×历史赔付率调整系数×等待期调整系数×</w:t>
      </w:r>
      <w:r>
        <w:rPr>
          <w:rFonts w:hint="eastAsia" w:hAnsi="宋体" w:cs="Arial"/>
          <w:bCs/>
          <w:color w:val="000000"/>
          <w:szCs w:val="21"/>
        </w:rPr>
        <w:t>缴费方式调整系数</w:t>
      </w:r>
    </w:p>
    <w:p>
      <w:pPr>
        <w:spacing w:line="360" w:lineRule="auto"/>
        <w:ind w:firstLine="420" w:firstLineChars="200"/>
        <w:rPr>
          <w:rFonts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重大疾病医疗保险责任年保险费=重大疾病医疗保险责任年基准保险费×重大疾病医疗保险责任给付比例调整系数×规模调整系数×历史赔付率调整系数×等待期调整系数×</w:t>
      </w:r>
      <w:r>
        <w:rPr>
          <w:rFonts w:hint="eastAsia" w:hAnsi="宋体" w:cs="Arial"/>
          <w:bCs/>
          <w:color w:val="000000"/>
          <w:szCs w:val="21"/>
        </w:rPr>
        <w:t>缴费方式调整系数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2、</w:t>
      </w:r>
      <w:r>
        <w:rPr>
          <w:rFonts w:hint="eastAsia" w:hAnsi="宋体"/>
          <w:kern w:val="0"/>
        </w:rPr>
        <w:t>保险合同按分期缴付保险费，</w:t>
      </w:r>
      <w:r>
        <w:rPr>
          <w:rFonts w:hint="eastAsia" w:ascii="宋体" w:hAnsi="宋体" w:cs="Arial"/>
          <w:szCs w:val="21"/>
        </w:rPr>
        <w:t>根据保险费分期支付期数，使用如下公式计收每期保险费：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每期保险费（按四舍五入计算）=保险合同总保费÷分期缴费期数</w:t>
      </w:r>
    </w:p>
    <w:p>
      <w:pPr>
        <w:spacing w:line="360" w:lineRule="auto"/>
        <w:ind w:firstLine="420" w:firstLineChars="200"/>
        <w:jc w:val="left"/>
        <w:rPr>
          <w:rFonts w:hint="eastAsia" w:hAnsi="宋体" w:cs="Times New Roman"/>
          <w:color w:val="auto"/>
          <w:kern w:val="0"/>
          <w:sz w:val="21"/>
          <w:szCs w:val="22"/>
        </w:rPr>
      </w:pPr>
      <w:r>
        <w:rPr>
          <w:rFonts w:hint="eastAsia" w:hAnsi="宋体"/>
          <w:color w:val="auto"/>
          <w:sz w:val="21"/>
        </w:rPr>
        <w:t>注：本产品涉及分期缴费，每期缴费金额一致。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cs="Arial"/>
          <w:szCs w:val="21"/>
        </w:rPr>
      </w:pPr>
    </w:p>
    <w:p>
      <w:pPr>
        <w:adjustRightInd w:val="0"/>
        <w:snapToGrid w:val="0"/>
        <w:spacing w:line="288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四、短期费率表</w:t>
      </w:r>
    </w:p>
    <w:p>
      <w:pPr>
        <w:adjustRightInd w:val="0"/>
        <w:snapToGrid w:val="0"/>
        <w:spacing w:line="288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保险期间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一个月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二个月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三个月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四个月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五个月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六个月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七个月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八个月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九个月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十个月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十一个月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十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年保险费的百分比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20%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30%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40%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50%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60%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70%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80%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85%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90%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95%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100%</w:t>
            </w:r>
          </w:p>
        </w:tc>
      </w:tr>
    </w:tbl>
    <w:p>
      <w:pPr>
        <w:ind w:firstLine="420" w:firstLineChars="200"/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LW7l30AAAAAIBAAAPAAAAAAAAAAEAIAAAACIAAABkcnMvZG93&#10;bnJldi54bWxQSwECFAAUAAAACACHTuJA3kI7qQgCAAABBAAADgAAAAAAAAABACAAAAAf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lang w:val="en-US" w:eastAsia="zh-CN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6AF"/>
    <w:rsid w:val="00000E1A"/>
    <w:rsid w:val="000109AA"/>
    <w:rsid w:val="00013670"/>
    <w:rsid w:val="00024FC6"/>
    <w:rsid w:val="00030ADE"/>
    <w:rsid w:val="00050A30"/>
    <w:rsid w:val="00051BE0"/>
    <w:rsid w:val="000537D2"/>
    <w:rsid w:val="000653F8"/>
    <w:rsid w:val="00065B49"/>
    <w:rsid w:val="0007091A"/>
    <w:rsid w:val="000760C5"/>
    <w:rsid w:val="0008140D"/>
    <w:rsid w:val="000844E4"/>
    <w:rsid w:val="000952C9"/>
    <w:rsid w:val="000979BF"/>
    <w:rsid w:val="000A48DB"/>
    <w:rsid w:val="000A5545"/>
    <w:rsid w:val="000A72A3"/>
    <w:rsid w:val="000B3452"/>
    <w:rsid w:val="000C3B03"/>
    <w:rsid w:val="000C6D8B"/>
    <w:rsid w:val="000D111B"/>
    <w:rsid w:val="000D4568"/>
    <w:rsid w:val="000D7130"/>
    <w:rsid w:val="000F16DE"/>
    <w:rsid w:val="000F6441"/>
    <w:rsid w:val="0010681D"/>
    <w:rsid w:val="0011224D"/>
    <w:rsid w:val="00121272"/>
    <w:rsid w:val="00122140"/>
    <w:rsid w:val="00124424"/>
    <w:rsid w:val="001457F0"/>
    <w:rsid w:val="00157763"/>
    <w:rsid w:val="00167E66"/>
    <w:rsid w:val="00194388"/>
    <w:rsid w:val="001970E9"/>
    <w:rsid w:val="001A28DF"/>
    <w:rsid w:val="001B120D"/>
    <w:rsid w:val="001B343E"/>
    <w:rsid w:val="001C1673"/>
    <w:rsid w:val="001E7C31"/>
    <w:rsid w:val="0021120B"/>
    <w:rsid w:val="0022166F"/>
    <w:rsid w:val="00222657"/>
    <w:rsid w:val="00241D6A"/>
    <w:rsid w:val="00264F80"/>
    <w:rsid w:val="00272160"/>
    <w:rsid w:val="002749FF"/>
    <w:rsid w:val="00280D77"/>
    <w:rsid w:val="0028387F"/>
    <w:rsid w:val="00297FD7"/>
    <w:rsid w:val="002A1DE0"/>
    <w:rsid w:val="002A76AF"/>
    <w:rsid w:val="002B5A47"/>
    <w:rsid w:val="002B7086"/>
    <w:rsid w:val="002C7196"/>
    <w:rsid w:val="0032378F"/>
    <w:rsid w:val="0032700A"/>
    <w:rsid w:val="00374E79"/>
    <w:rsid w:val="003753F6"/>
    <w:rsid w:val="00387292"/>
    <w:rsid w:val="003946D2"/>
    <w:rsid w:val="003B244A"/>
    <w:rsid w:val="003C609C"/>
    <w:rsid w:val="003F7CB0"/>
    <w:rsid w:val="004073A1"/>
    <w:rsid w:val="00407580"/>
    <w:rsid w:val="00413DC1"/>
    <w:rsid w:val="00437BC6"/>
    <w:rsid w:val="004446EE"/>
    <w:rsid w:val="0047469D"/>
    <w:rsid w:val="00495DE5"/>
    <w:rsid w:val="004A3FD9"/>
    <w:rsid w:val="004A42D8"/>
    <w:rsid w:val="004B1457"/>
    <w:rsid w:val="005001A0"/>
    <w:rsid w:val="0052256E"/>
    <w:rsid w:val="00533356"/>
    <w:rsid w:val="00535E14"/>
    <w:rsid w:val="00536FEF"/>
    <w:rsid w:val="00576FD0"/>
    <w:rsid w:val="00581CBA"/>
    <w:rsid w:val="005A7599"/>
    <w:rsid w:val="005C149E"/>
    <w:rsid w:val="005D47A0"/>
    <w:rsid w:val="00603885"/>
    <w:rsid w:val="00615513"/>
    <w:rsid w:val="00640E4D"/>
    <w:rsid w:val="006523D9"/>
    <w:rsid w:val="0065342A"/>
    <w:rsid w:val="00661474"/>
    <w:rsid w:val="00662317"/>
    <w:rsid w:val="00684E72"/>
    <w:rsid w:val="006A18B3"/>
    <w:rsid w:val="006E7514"/>
    <w:rsid w:val="006F0F8F"/>
    <w:rsid w:val="006F2AAA"/>
    <w:rsid w:val="00706EF9"/>
    <w:rsid w:val="007132AD"/>
    <w:rsid w:val="007275BF"/>
    <w:rsid w:val="00737523"/>
    <w:rsid w:val="0075029A"/>
    <w:rsid w:val="00750BF7"/>
    <w:rsid w:val="00761C63"/>
    <w:rsid w:val="00764977"/>
    <w:rsid w:val="00773B4F"/>
    <w:rsid w:val="00783E86"/>
    <w:rsid w:val="00791DDF"/>
    <w:rsid w:val="007B6DFF"/>
    <w:rsid w:val="007B74C9"/>
    <w:rsid w:val="007C5E51"/>
    <w:rsid w:val="007E28BC"/>
    <w:rsid w:val="00801A35"/>
    <w:rsid w:val="008207B2"/>
    <w:rsid w:val="00832AED"/>
    <w:rsid w:val="008441AA"/>
    <w:rsid w:val="008526C6"/>
    <w:rsid w:val="00856D0E"/>
    <w:rsid w:val="0088497F"/>
    <w:rsid w:val="00886146"/>
    <w:rsid w:val="008C0A53"/>
    <w:rsid w:val="008C5330"/>
    <w:rsid w:val="008C6A94"/>
    <w:rsid w:val="008C7C4C"/>
    <w:rsid w:val="008D5FC0"/>
    <w:rsid w:val="009312EA"/>
    <w:rsid w:val="00936766"/>
    <w:rsid w:val="009425C3"/>
    <w:rsid w:val="00963A43"/>
    <w:rsid w:val="009671CD"/>
    <w:rsid w:val="009A602C"/>
    <w:rsid w:val="009C026F"/>
    <w:rsid w:val="009C0CDB"/>
    <w:rsid w:val="009C6572"/>
    <w:rsid w:val="009D5440"/>
    <w:rsid w:val="009E2273"/>
    <w:rsid w:val="009E3E02"/>
    <w:rsid w:val="009F1156"/>
    <w:rsid w:val="00A23DA5"/>
    <w:rsid w:val="00A319B5"/>
    <w:rsid w:val="00A32FF5"/>
    <w:rsid w:val="00A421B8"/>
    <w:rsid w:val="00A45B80"/>
    <w:rsid w:val="00A55BB1"/>
    <w:rsid w:val="00A6340E"/>
    <w:rsid w:val="00A774C7"/>
    <w:rsid w:val="00A775C7"/>
    <w:rsid w:val="00A816E7"/>
    <w:rsid w:val="00A83EEA"/>
    <w:rsid w:val="00A938AB"/>
    <w:rsid w:val="00AA27F1"/>
    <w:rsid w:val="00AB627C"/>
    <w:rsid w:val="00AB7E89"/>
    <w:rsid w:val="00AC455C"/>
    <w:rsid w:val="00AC6625"/>
    <w:rsid w:val="00AE5F92"/>
    <w:rsid w:val="00B02724"/>
    <w:rsid w:val="00B03E35"/>
    <w:rsid w:val="00B14F2F"/>
    <w:rsid w:val="00B20C35"/>
    <w:rsid w:val="00B2229D"/>
    <w:rsid w:val="00B2480D"/>
    <w:rsid w:val="00B410A9"/>
    <w:rsid w:val="00B46782"/>
    <w:rsid w:val="00B47EA7"/>
    <w:rsid w:val="00B725EB"/>
    <w:rsid w:val="00BA72AF"/>
    <w:rsid w:val="00BB197D"/>
    <w:rsid w:val="00BC0A2D"/>
    <w:rsid w:val="00BC1363"/>
    <w:rsid w:val="00BD033D"/>
    <w:rsid w:val="00BF15F8"/>
    <w:rsid w:val="00C042E4"/>
    <w:rsid w:val="00C30898"/>
    <w:rsid w:val="00C373BA"/>
    <w:rsid w:val="00C37B67"/>
    <w:rsid w:val="00C552E1"/>
    <w:rsid w:val="00C74054"/>
    <w:rsid w:val="00C76BF1"/>
    <w:rsid w:val="00C8072D"/>
    <w:rsid w:val="00C80ADA"/>
    <w:rsid w:val="00CA3CDC"/>
    <w:rsid w:val="00CC23CA"/>
    <w:rsid w:val="00CD265D"/>
    <w:rsid w:val="00CE1CBD"/>
    <w:rsid w:val="00CF0C29"/>
    <w:rsid w:val="00D02FED"/>
    <w:rsid w:val="00D0401D"/>
    <w:rsid w:val="00D14D68"/>
    <w:rsid w:val="00D21E6F"/>
    <w:rsid w:val="00D31D99"/>
    <w:rsid w:val="00D410D6"/>
    <w:rsid w:val="00D42DFC"/>
    <w:rsid w:val="00D4641B"/>
    <w:rsid w:val="00D75AFD"/>
    <w:rsid w:val="00D85B38"/>
    <w:rsid w:val="00D95279"/>
    <w:rsid w:val="00DA365F"/>
    <w:rsid w:val="00DA5EB3"/>
    <w:rsid w:val="00DB25F8"/>
    <w:rsid w:val="00DB4FAB"/>
    <w:rsid w:val="00DE21DA"/>
    <w:rsid w:val="00E0299F"/>
    <w:rsid w:val="00E07871"/>
    <w:rsid w:val="00E24C2C"/>
    <w:rsid w:val="00E434A4"/>
    <w:rsid w:val="00E51BA3"/>
    <w:rsid w:val="00E60268"/>
    <w:rsid w:val="00E620D6"/>
    <w:rsid w:val="00E64FC4"/>
    <w:rsid w:val="00E70865"/>
    <w:rsid w:val="00E82FEE"/>
    <w:rsid w:val="00E87E48"/>
    <w:rsid w:val="00E96436"/>
    <w:rsid w:val="00EA234C"/>
    <w:rsid w:val="00EA789B"/>
    <w:rsid w:val="00EC1659"/>
    <w:rsid w:val="00ED4904"/>
    <w:rsid w:val="00ED50F1"/>
    <w:rsid w:val="00EE29A6"/>
    <w:rsid w:val="00EF72A4"/>
    <w:rsid w:val="00F01C63"/>
    <w:rsid w:val="00F04F3B"/>
    <w:rsid w:val="00F05301"/>
    <w:rsid w:val="00F22EFD"/>
    <w:rsid w:val="00F25543"/>
    <w:rsid w:val="00F36CBC"/>
    <w:rsid w:val="00F40358"/>
    <w:rsid w:val="00F4551F"/>
    <w:rsid w:val="00F515BC"/>
    <w:rsid w:val="00F569ED"/>
    <w:rsid w:val="00F60671"/>
    <w:rsid w:val="00F70E5B"/>
    <w:rsid w:val="00F85259"/>
    <w:rsid w:val="00F87DB6"/>
    <w:rsid w:val="00FD310D"/>
    <w:rsid w:val="00FD3A73"/>
    <w:rsid w:val="00FD6980"/>
    <w:rsid w:val="00FE032E"/>
    <w:rsid w:val="015E0202"/>
    <w:rsid w:val="03B239E8"/>
    <w:rsid w:val="04E2674A"/>
    <w:rsid w:val="07652E3F"/>
    <w:rsid w:val="079E6BAC"/>
    <w:rsid w:val="10734504"/>
    <w:rsid w:val="18B71FBA"/>
    <w:rsid w:val="1F2B78FB"/>
    <w:rsid w:val="21C619BB"/>
    <w:rsid w:val="2CA9107B"/>
    <w:rsid w:val="2DDB5ED6"/>
    <w:rsid w:val="2F2B60D2"/>
    <w:rsid w:val="30985749"/>
    <w:rsid w:val="33C30FED"/>
    <w:rsid w:val="3CF36FEB"/>
    <w:rsid w:val="3CF515E2"/>
    <w:rsid w:val="49ED7880"/>
    <w:rsid w:val="4B167A11"/>
    <w:rsid w:val="5032582E"/>
    <w:rsid w:val="58397153"/>
    <w:rsid w:val="59F907B6"/>
    <w:rsid w:val="5D460775"/>
    <w:rsid w:val="5DA15C11"/>
    <w:rsid w:val="646A0237"/>
    <w:rsid w:val="6752400C"/>
    <w:rsid w:val="6BEF3BAD"/>
    <w:rsid w:val="6FFB76F1"/>
    <w:rsid w:val="712710A8"/>
    <w:rsid w:val="72895C2B"/>
    <w:rsid w:val="750143C4"/>
    <w:rsid w:val="78205148"/>
    <w:rsid w:val="7AD66E93"/>
    <w:rsid w:val="7EA35080"/>
    <w:rsid w:val="7F95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pPr>
      <w:jc w:val="left"/>
    </w:pPr>
  </w:style>
  <w:style w:type="paragraph" w:styleId="3">
    <w:name w:val="Plain Text"/>
    <w:basedOn w:val="1"/>
    <w:link w:val="13"/>
    <w:unhideWhenUsed/>
    <w:qFormat/>
    <w:uiPriority w:val="0"/>
    <w:rPr>
      <w:rFonts w:ascii="宋体" w:hAnsi="Courier New"/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7"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批注文字 字符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3">
    <w:name w:val="纯文本 字符"/>
    <w:link w:val="3"/>
    <w:qFormat/>
    <w:uiPriority w:val="0"/>
    <w:rPr>
      <w:rFonts w:ascii="宋体" w:hAnsi="Courier New" w:cs="Times New Roman"/>
      <w:szCs w:val="20"/>
    </w:rPr>
  </w:style>
  <w:style w:type="character" w:customStyle="1" w:styleId="14">
    <w:name w:val="批注框文本 字符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字符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眉 字符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批注主题 字符"/>
    <w:link w:val="7"/>
    <w:semiHidden/>
    <w:qFormat/>
    <w:uiPriority w:val="99"/>
    <w:rPr>
      <w:rFonts w:ascii="Calibri" w:hAnsi="Calibri" w:eastAsia="宋体" w:cs="Times New Roman"/>
      <w:b/>
      <w:bCs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条款正文"/>
    <w:basedOn w:val="1"/>
    <w:qFormat/>
    <w:uiPriority w:val="0"/>
    <w:pPr>
      <w:adjustRightInd w:val="0"/>
      <w:snapToGrid w:val="0"/>
      <w:ind w:left="840" w:leftChars="400"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1294</Words>
  <Characters>2182</Characters>
  <Lines>19</Lines>
  <Paragraphs>5</Paragraphs>
  <TotalTime>1</TotalTime>
  <ScaleCrop>false</ScaleCrop>
  <LinksUpToDate>false</LinksUpToDate>
  <CharactersWithSpaces>2279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2021-11-15T09:00:00Z</dcterms:created>
  <dc:creator>董仲萍-ghq</dc:creator>
  <cp:lastModifiedBy>Zixuan Shen</cp:lastModifiedBy>
  <dcterms:modified xsi:type="dcterms:W3CDTF">2022-04-23T09:05:14Z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84123CF213EB48A592B92E72106B6C3A</vt:lpwstr>
  </property>
  <property fmtid="{D5CDD505-2E9C-101B-9397-08002B2CF9AE}" pid="4" name="commondata">
    <vt:lpwstr>eyJoZGlkIjoiMDRiMmE0ZjljZDExM2YyODdkMDQ1ZGRhYjY0YmQ5MmQifQ==</vt:lpwstr>
  </property>
</Properties>
</file>