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after="156" w:afterLines="50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个人意外伤害保险B款费率表（互联网专属）</w:t>
      </w:r>
    </w:p>
    <w:p>
      <w:pPr>
        <w:snapToGrid w:val="0"/>
        <w:spacing w:after="156" w:afterLines="50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lef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一、年基准费率</w:t>
      </w:r>
    </w:p>
    <w:tbl>
      <w:tblPr>
        <w:tblStyle w:val="28"/>
        <w:tblW w:w="84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2347"/>
        <w:gridCol w:w="2494"/>
        <w:gridCol w:w="19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职业类别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意外伤害身故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（基本责任）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伤残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（可选责任）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意外伤害医疗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（元/每万元保额）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（可选责任）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一类职业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二类职业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三类职业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四类职业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五类职业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0.54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六类职业</w:t>
            </w:r>
          </w:p>
        </w:tc>
        <w:tc>
          <w:tcPr>
            <w:tcW w:w="2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0.81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0.65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‰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</w:tr>
    </w:tbl>
    <w:p>
      <w:pPr>
        <w:spacing w:after="156" w:afterLines="50"/>
        <w:rPr>
          <w:rFonts w:ascii="宋体"/>
          <w:b/>
          <w:szCs w:val="21"/>
        </w:rPr>
      </w:pPr>
    </w:p>
    <w:p>
      <w:pPr>
        <w:spacing w:after="156" w:afterLines="50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二、费率调整系数</w:t>
      </w:r>
      <w:r>
        <w:rPr>
          <w:rFonts w:hint="eastAsia" w:ascii="宋体" w:hAnsi="宋体" w:cs="宋体"/>
          <w:b/>
          <w:bCs/>
        </w:rPr>
        <w:t>（为以下费率调整系数之积）</w:t>
      </w:r>
    </w:p>
    <w:p>
      <w:pPr>
        <w:spacing w:after="156" w:afterLines="50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（一）适用于意外伤害身故、意外伤害伤残、意外伤害医疗保险责任</w:t>
      </w:r>
    </w:p>
    <w:tbl>
      <w:tblPr>
        <w:tblStyle w:val="28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857"/>
        <w:gridCol w:w="2575"/>
        <w:gridCol w:w="23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调整因素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标准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渠道人数规模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1万人以上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[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3,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6)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5000人-1万人（含）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[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6,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2000人（含）-5000人（含）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[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,1</w:t>
            </w: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2000人以下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pStyle w:val="25"/>
              <w:spacing w:before="0" w:beforeAutospacing="0" w:after="156" w:afterLines="50" w:afterAutospacing="0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  <w:t>(1.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,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既往业务赔付率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＞100％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1.2,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1.5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70～100％（含）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1.0,1.2]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50～70％（含）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0.8,1.0]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30～50％（含）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0.6,0.8]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≦30％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[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0.3,0.6]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缴费方式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[1.0,1.3]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[1.0,1.1]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[0.9,1.0]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渠道类型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自营渠道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[0.7,1.0]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第三方渠道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[0.8,1.2]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被保险人年龄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（周岁）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0-30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[0.8,1.0]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31-60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[1.0,1.5]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61-90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[1.5,3.0]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91及以上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[3.0,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szCs w:val="21"/>
                <w:lang w:bidi="ar"/>
              </w:rPr>
              <w:t>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是否有指定意外伤害事故保险金额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eastAsia="zh-CN" w:bidi="ar"/>
              </w:rPr>
              <w:t>是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  <w:r>
              <w:rPr>
                <w:rFonts w:hint="eastAsia" w:ascii="宋体" w:hAnsi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否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  <w:r>
              <w:rPr>
                <w:rFonts w:hint="eastAsia" w:ascii="宋体" w:hAnsi="宋体" w:cs="宋体"/>
                <w:szCs w:val="21"/>
                <w:lang w:bidi="ar"/>
              </w:rPr>
              <w:t>,1.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</w:tbl>
    <w:p>
      <w:pPr>
        <w:spacing w:after="156" w:afterLines="50"/>
        <w:rPr>
          <w:rFonts w:asciiTheme="minorEastAsia" w:hAnsiTheme="minorEastAsia" w:eastAsiaTheme="minorEastAsia" w:cstheme="minorBidi"/>
          <w:b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（二）仅适用于意外</w:t>
      </w:r>
      <w:r>
        <w:rPr>
          <w:rFonts w:hint="eastAsia" w:ascii="宋体"/>
          <w:b/>
          <w:szCs w:val="21"/>
        </w:rPr>
        <w:t>伤害</w:t>
      </w:r>
      <w:r>
        <w:rPr>
          <w:rFonts w:hint="eastAsia" w:asciiTheme="minorEastAsia" w:hAnsiTheme="minorEastAsia" w:eastAsiaTheme="minorEastAsia" w:cstheme="minorBidi"/>
          <w:b/>
          <w:szCs w:val="21"/>
        </w:rPr>
        <w:t>医疗保险责任</w:t>
      </w:r>
    </w:p>
    <w:tbl>
      <w:tblPr>
        <w:tblStyle w:val="28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857"/>
        <w:gridCol w:w="2575"/>
        <w:gridCol w:w="23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5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调整因素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标准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有无社保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有社保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[0.8,1.0]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无社保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="宋体" w:hAnsi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1.0,1.2]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免赔额（元）</w:t>
            </w:r>
          </w:p>
        </w:tc>
        <w:tc>
          <w:tcPr>
            <w:tcW w:w="2575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≤100</w:t>
            </w:r>
          </w:p>
        </w:tc>
        <w:tc>
          <w:tcPr>
            <w:tcW w:w="235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[1.0,1.2]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(100,300]</w:t>
            </w:r>
          </w:p>
        </w:tc>
        <w:tc>
          <w:tcPr>
            <w:tcW w:w="235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[0.8,1.0)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＞300</w:t>
            </w:r>
          </w:p>
        </w:tc>
        <w:tc>
          <w:tcPr>
            <w:tcW w:w="235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[0.6,0.8)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赔付比例</w:t>
            </w: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80～100％（含）</w:t>
            </w:r>
          </w:p>
        </w:tc>
        <w:tc>
          <w:tcPr>
            <w:tcW w:w="2353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1.0,1.3]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60～80％（含）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0.8,1.0]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30～60％（含）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(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0.5,0.8]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 w:val="0"/>
                <w:color w:val="00000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2"/>
                <w:szCs w:val="21"/>
              </w:rPr>
              <w:t>≤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30％</w:t>
            </w:r>
          </w:p>
        </w:tc>
        <w:tc>
          <w:tcPr>
            <w:tcW w:w="2353" w:type="dxa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[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0.3,0.5]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是否承担社保外</w:t>
            </w: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2353" w:type="dxa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="宋体" w:hAnsi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cs="Arial"/>
                <w:bCs/>
                <w:color w:val="000000"/>
                <w:szCs w:val="21"/>
              </w:rPr>
              <w:t>1.0,1.2]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</w:tcPr>
          <w:p>
            <w:pPr>
              <w:widowControl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2353" w:type="dxa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[0.8,1.0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保险金额</w:t>
            </w: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/>
              </w:rPr>
              <w:t>&lt;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1万元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1.2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1万元-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万元（不含）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ascii="宋体" w:hAnsi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cs="Arial"/>
                <w:bCs/>
                <w:color w:val="000000"/>
                <w:szCs w:val="21"/>
                <w:lang w:val="en-US" w:eastAsia="zh-CN"/>
              </w:rPr>
              <w:t>0.8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3万元-5万元（不含）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ascii="宋体" w:hAnsi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cs="Arial"/>
                <w:bCs/>
                <w:color w:val="000000"/>
                <w:szCs w:val="21"/>
                <w:lang w:val="en-US" w:eastAsia="zh-CN"/>
              </w:rPr>
              <w:t>0.6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0.8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5万元-10万元（不含）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ascii="宋体" w:hAnsi="宋体" w:cs="Arial"/>
                <w:bCs/>
                <w:color w:val="000000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0.5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0.6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10万元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0.5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单次事故医疗保险金额/意外伤害医疗保险金额</w:t>
            </w: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80～100％（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不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含）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szCs w:val="21"/>
                <w:lang w:bidi="ar"/>
              </w:rPr>
              <w:t>,1.0)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0～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80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％（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不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含）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0.9</w:t>
            </w:r>
            <w:r>
              <w:rPr>
                <w:rFonts w:hint="eastAsia" w:ascii="宋体" w:hAnsi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0～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50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％（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不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含）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0.8</w:t>
            </w:r>
            <w:r>
              <w:rPr>
                <w:rFonts w:hint="eastAsia" w:ascii="宋体" w:hAnsi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</w:rPr>
              <w:t>≤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0％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0.7</w:t>
            </w:r>
            <w:r>
              <w:rPr>
                <w:rFonts w:hint="eastAsia" w:ascii="宋体" w:hAnsi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857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val="en-US" w:eastAsia="zh-CN"/>
              </w:rPr>
              <w:t>是否有单次事故门急诊医疗保险金额</w:t>
            </w: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szCs w:val="21"/>
                <w:lang w:bidi="ar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  <w:r>
              <w:rPr>
                <w:rFonts w:hint="eastAsia" w:ascii="宋体" w:hAnsi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 w:eastAsiaTheme="minorEastAsia"/>
                <w:color w:val="000000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1.0</w:t>
            </w:r>
            <w:r>
              <w:rPr>
                <w:rFonts w:hint="eastAsia" w:ascii="宋体" w:hAnsi="宋体" w:cs="宋体"/>
                <w:szCs w:val="21"/>
                <w:lang w:bidi="ar"/>
              </w:rPr>
              <w:t>,1.</w:t>
            </w:r>
            <w:r>
              <w:rPr>
                <w:rFonts w:hint="eastAsia" w:ascii="宋体" w:hAnsi="宋体" w:cs="宋体"/>
                <w:szCs w:val="21"/>
                <w:lang w:val="en-US" w:eastAsia="zh-CN" w:bidi="ar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]</w:t>
            </w:r>
          </w:p>
        </w:tc>
      </w:tr>
    </w:tbl>
    <w:p>
      <w:pPr>
        <w:spacing w:after="156" w:afterLines="50"/>
        <w:rPr>
          <w:rFonts w:asciiTheme="minorEastAsia" w:hAnsiTheme="minorEastAsia" w:eastAsiaTheme="minorEastAsia" w:cstheme="minorBidi"/>
          <w:b/>
          <w:szCs w:val="21"/>
        </w:rPr>
      </w:pPr>
    </w:p>
    <w:p>
      <w:pPr>
        <w:spacing w:after="156" w:afterLines="50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三、保险费计算公式</w:t>
      </w:r>
    </w:p>
    <w:p>
      <w:pPr>
        <w:spacing w:after="156" w:afterLines="50"/>
        <w:ind w:firstLine="403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1、年保险费=Σ每项责任保险金额×保险责任对应的年基准费率×费率调整系数</w:t>
      </w:r>
    </w:p>
    <w:p>
      <w:pPr>
        <w:spacing w:line="360" w:lineRule="auto"/>
        <w:ind w:firstLine="420" w:firstLineChars="2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2、保险合同按分期缴付保险费，根据保险费分期支付期数，使用如下公式计收每期保险费：</w:t>
      </w:r>
    </w:p>
    <w:p>
      <w:pPr>
        <w:pStyle w:val="69"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每期保险费（按四舍五入计算）=年保险费÷分期缴费期数</w:t>
      </w:r>
    </w:p>
    <w:p>
      <w:pPr>
        <w:spacing w:after="156" w:afterLines="50"/>
        <w:ind w:firstLine="403"/>
        <w:rPr>
          <w:rFonts w:asciiTheme="minorEastAsia" w:hAnsiTheme="minorEastAsia" w:eastAsiaTheme="minorEastAsia" w:cstheme="minorBidi"/>
          <w:bCs/>
          <w:szCs w:val="21"/>
        </w:rPr>
      </w:pPr>
      <w:r>
        <w:rPr>
          <w:rFonts w:hint="eastAsia" w:asciiTheme="minorEastAsia" w:hAnsiTheme="minorEastAsia" w:eastAsiaTheme="minorEastAsia" w:cstheme="minorBidi"/>
          <w:bCs/>
          <w:szCs w:val="21"/>
        </w:rPr>
        <w:t>注：本产品涉及分期缴费，每期缴费金额一致。</w:t>
      </w:r>
    </w:p>
    <w:p>
      <w:pPr>
        <w:spacing w:after="156" w:afterLines="50"/>
        <w:rPr>
          <w:rFonts w:asciiTheme="minorEastAsia" w:hAnsiTheme="minorEastAsia" w:eastAsiaTheme="minorEastAsia" w:cstheme="minorBidi"/>
          <w:b/>
          <w:bCs/>
          <w:szCs w:val="21"/>
        </w:rPr>
      </w:pPr>
      <w:r>
        <w:rPr>
          <w:rFonts w:hint="eastAsia" w:asciiTheme="minorEastAsia" w:hAnsiTheme="minorEastAsia" w:eastAsiaTheme="minorEastAsia" w:cstheme="minorBidi"/>
          <w:b/>
          <w:szCs w:val="21"/>
        </w:rPr>
        <w:t>四、短期费率表</w:t>
      </w:r>
    </w:p>
    <w:tbl>
      <w:tblPr>
        <w:tblStyle w:val="2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541"/>
        <w:gridCol w:w="541"/>
        <w:gridCol w:w="541"/>
        <w:gridCol w:w="540"/>
        <w:gridCol w:w="540"/>
        <w:gridCol w:w="540"/>
        <w:gridCol w:w="540"/>
        <w:gridCol w:w="540"/>
        <w:gridCol w:w="540"/>
        <w:gridCol w:w="540"/>
        <w:gridCol w:w="540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913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保险期间（个月）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9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11</w:t>
            </w:r>
          </w:p>
        </w:tc>
        <w:tc>
          <w:tcPr>
            <w:tcW w:w="666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913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kern w:val="0"/>
              </w:rPr>
              <w:t>年保险费的百分比</w:t>
            </w:r>
            <w:r>
              <w:rPr>
                <w:rFonts w:hint="eastAsia" w:ascii="宋体" w:hAnsi="宋体"/>
                <w:bCs/>
                <w:szCs w:val="21"/>
              </w:rPr>
              <w:t>（%）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541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50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85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540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95</w:t>
            </w:r>
          </w:p>
        </w:tc>
        <w:tc>
          <w:tcPr>
            <w:tcW w:w="666" w:type="dxa"/>
            <w:vAlign w:val="center"/>
          </w:tcPr>
          <w:p>
            <w:pPr>
              <w:spacing w:after="156" w:afterLines="50"/>
              <w:ind w:left="-540" w:leftChars="-257"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100</w:t>
            </w:r>
          </w:p>
        </w:tc>
      </w:tr>
    </w:tbl>
    <w:p>
      <w:pPr>
        <w:snapToGrid w:val="0"/>
        <w:ind w:firstLine="42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注：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</w:t>
      </w:r>
    </w:p>
    <w:p>
      <w:pPr>
        <w:snapToGrid w:val="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>
      <w:pPr>
        <w:spacing w:after="156" w:afterLines="50"/>
        <w:ind w:firstLine="403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、保险期间不足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个月的，</w:t>
      </w:r>
    </w:p>
    <w:p>
      <w:pPr>
        <w:numPr>
          <w:ilvl w:val="255"/>
          <w:numId w:val="0"/>
        </w:numPr>
        <w:snapToGrid w:val="0"/>
        <w:spacing w:after="156" w:afterLines="50"/>
        <w:ind w:firstLine="630" w:firstLineChars="300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短期保险费=年保险费 ×短期费率 </w:t>
      </w:r>
    </w:p>
    <w:tbl>
      <w:tblPr>
        <w:tblStyle w:val="28"/>
        <w:tblpPr w:leftFromText="180" w:rightFromText="180" w:vertAnchor="text" w:horzAnchor="page" w:tblpX="2649" w:tblpY="143"/>
        <w:tblW w:w="42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567"/>
        <w:gridCol w:w="735"/>
        <w:gridCol w:w="762"/>
        <w:gridCol w:w="7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保险期间（天）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  <w:r>
              <w:rPr>
                <w:rFonts w:hint="eastAsia" w:ascii="宋体"/>
                <w:szCs w:val="21"/>
              </w:rPr>
              <w:t>-7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  <w:r>
              <w:rPr>
                <w:rFonts w:hint="eastAsia" w:ascii="宋体"/>
                <w:szCs w:val="21"/>
              </w:rPr>
              <w:t>-15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16-31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短期费率（</w:t>
            </w:r>
            <w:r>
              <w:rPr>
                <w:rFonts w:ascii="宋体"/>
                <w:szCs w:val="21"/>
              </w:rPr>
              <w:t>%</w:t>
            </w:r>
            <w:r>
              <w:rPr>
                <w:rFonts w:hint="eastAsia" w:ascii="宋体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6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8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10</w:t>
            </w:r>
          </w:p>
        </w:tc>
      </w:tr>
    </w:tbl>
    <w:p/>
    <w:p/>
    <w:p/>
    <w:p>
      <w:pPr>
        <w:spacing w:after="156" w:afterLines="50"/>
        <w:ind w:firstLine="403"/>
        <w:rPr>
          <w:rFonts w:ascii="宋体"/>
          <w:szCs w:val="21"/>
        </w:rPr>
      </w:pPr>
    </w:p>
    <w:p>
      <w:pPr>
        <w:pStyle w:val="45"/>
        <w:ind w:firstLine="420" w:firstLineChars="200"/>
        <w:rPr>
          <w:rFonts w:ascii="宋体" w:hAnsi="宋体" w:cs="宋体"/>
          <w:color w:val="000000"/>
          <w:szCs w:val="21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5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4vdRNAAAAACAQAADwAAAAAAAAABACAAAAAiAAAA&#10;ZHJzL2Rvd25yZXYueG1sUEsBAhQAFAAAAAgAh07iQB3R8O8PAgAADwQAAA4AAAAAAAAAAQAgAAAA&#10;Hw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6pebnPAAAABQEAAA8AAAAAAAAAAQAgAAAAIgAAAGRycy9kb3du&#10;cmV2LnhtbFBLAQIUABQAAAAIAIdO4kDgNPLjCAIAABIEAAAOAAAAAAAAAAEAIAAAAB4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6F7A82"/>
    <w:rsid w:val="00002830"/>
    <w:rsid w:val="0005633E"/>
    <w:rsid w:val="00066560"/>
    <w:rsid w:val="00072DE7"/>
    <w:rsid w:val="00091940"/>
    <w:rsid w:val="000B71C9"/>
    <w:rsid w:val="000E222C"/>
    <w:rsid w:val="000F57B3"/>
    <w:rsid w:val="00176856"/>
    <w:rsid w:val="00193108"/>
    <w:rsid w:val="00197DC0"/>
    <w:rsid w:val="001D2C29"/>
    <w:rsid w:val="00203900"/>
    <w:rsid w:val="002246EB"/>
    <w:rsid w:val="00251A2F"/>
    <w:rsid w:val="002652BB"/>
    <w:rsid w:val="00283C90"/>
    <w:rsid w:val="00285F41"/>
    <w:rsid w:val="00291406"/>
    <w:rsid w:val="002B072C"/>
    <w:rsid w:val="002F10C3"/>
    <w:rsid w:val="002F7ACB"/>
    <w:rsid w:val="0036290A"/>
    <w:rsid w:val="003F4BFE"/>
    <w:rsid w:val="003F7178"/>
    <w:rsid w:val="004050B5"/>
    <w:rsid w:val="004B263C"/>
    <w:rsid w:val="004B3C22"/>
    <w:rsid w:val="004D0DC7"/>
    <w:rsid w:val="004D5737"/>
    <w:rsid w:val="00505D2F"/>
    <w:rsid w:val="00534B28"/>
    <w:rsid w:val="005A3A00"/>
    <w:rsid w:val="005A7127"/>
    <w:rsid w:val="005C6B71"/>
    <w:rsid w:val="005C7406"/>
    <w:rsid w:val="005D53E1"/>
    <w:rsid w:val="006235A6"/>
    <w:rsid w:val="0063468F"/>
    <w:rsid w:val="00651DD8"/>
    <w:rsid w:val="006812DE"/>
    <w:rsid w:val="00686E34"/>
    <w:rsid w:val="00687847"/>
    <w:rsid w:val="00694BF9"/>
    <w:rsid w:val="006A12D8"/>
    <w:rsid w:val="006B20FF"/>
    <w:rsid w:val="006F7A82"/>
    <w:rsid w:val="00785D80"/>
    <w:rsid w:val="007C41A9"/>
    <w:rsid w:val="008206D4"/>
    <w:rsid w:val="00836230"/>
    <w:rsid w:val="00841CC8"/>
    <w:rsid w:val="0086471D"/>
    <w:rsid w:val="00883B3F"/>
    <w:rsid w:val="00894113"/>
    <w:rsid w:val="009370A9"/>
    <w:rsid w:val="0098402C"/>
    <w:rsid w:val="009C16AA"/>
    <w:rsid w:val="00A20F11"/>
    <w:rsid w:val="00A3366D"/>
    <w:rsid w:val="00A44427"/>
    <w:rsid w:val="00A8383B"/>
    <w:rsid w:val="00AA5BB2"/>
    <w:rsid w:val="00AB7310"/>
    <w:rsid w:val="00AD2439"/>
    <w:rsid w:val="00AE19BA"/>
    <w:rsid w:val="00B47F52"/>
    <w:rsid w:val="00B601D6"/>
    <w:rsid w:val="00B861D7"/>
    <w:rsid w:val="00C24D33"/>
    <w:rsid w:val="00C37E38"/>
    <w:rsid w:val="00C701D0"/>
    <w:rsid w:val="00C733BA"/>
    <w:rsid w:val="00CE215E"/>
    <w:rsid w:val="00CE5630"/>
    <w:rsid w:val="00CE6E77"/>
    <w:rsid w:val="00D42CB6"/>
    <w:rsid w:val="00D47837"/>
    <w:rsid w:val="00D512C8"/>
    <w:rsid w:val="00D71443"/>
    <w:rsid w:val="00DB2802"/>
    <w:rsid w:val="00DE5B22"/>
    <w:rsid w:val="00E91101"/>
    <w:rsid w:val="00EA715F"/>
    <w:rsid w:val="00ED3B12"/>
    <w:rsid w:val="00ED5F4A"/>
    <w:rsid w:val="00EE6EB6"/>
    <w:rsid w:val="00F30515"/>
    <w:rsid w:val="00F35FCF"/>
    <w:rsid w:val="00F4283F"/>
    <w:rsid w:val="00F971AA"/>
    <w:rsid w:val="00FC0C39"/>
    <w:rsid w:val="00FC0CEF"/>
    <w:rsid w:val="00FD45B0"/>
    <w:rsid w:val="00FF7BAE"/>
    <w:rsid w:val="01AC4C6D"/>
    <w:rsid w:val="03320792"/>
    <w:rsid w:val="03912F41"/>
    <w:rsid w:val="084718D9"/>
    <w:rsid w:val="0EB87C39"/>
    <w:rsid w:val="1069441A"/>
    <w:rsid w:val="14020ADB"/>
    <w:rsid w:val="152D6F6D"/>
    <w:rsid w:val="15835BB0"/>
    <w:rsid w:val="178667AB"/>
    <w:rsid w:val="17B04912"/>
    <w:rsid w:val="1A902A58"/>
    <w:rsid w:val="1B5C40CF"/>
    <w:rsid w:val="1E8D3ADE"/>
    <w:rsid w:val="1ECE4285"/>
    <w:rsid w:val="1F9460F3"/>
    <w:rsid w:val="20687CAC"/>
    <w:rsid w:val="22B06B5A"/>
    <w:rsid w:val="24637EE2"/>
    <w:rsid w:val="2B7562DB"/>
    <w:rsid w:val="316D5601"/>
    <w:rsid w:val="322D6D31"/>
    <w:rsid w:val="326276D3"/>
    <w:rsid w:val="37545398"/>
    <w:rsid w:val="3DD77B4B"/>
    <w:rsid w:val="3F885D0A"/>
    <w:rsid w:val="418B4259"/>
    <w:rsid w:val="42100EF9"/>
    <w:rsid w:val="469349A7"/>
    <w:rsid w:val="49BF71AB"/>
    <w:rsid w:val="4CB23A17"/>
    <w:rsid w:val="4D372D26"/>
    <w:rsid w:val="4E444A62"/>
    <w:rsid w:val="50BF27A8"/>
    <w:rsid w:val="5206060E"/>
    <w:rsid w:val="55FE4716"/>
    <w:rsid w:val="56CA024D"/>
    <w:rsid w:val="58A458B2"/>
    <w:rsid w:val="5A7B637B"/>
    <w:rsid w:val="5CE37917"/>
    <w:rsid w:val="62FA242C"/>
    <w:rsid w:val="64512D8A"/>
    <w:rsid w:val="64E10EF8"/>
    <w:rsid w:val="66181BF2"/>
    <w:rsid w:val="69821D30"/>
    <w:rsid w:val="6A024D1C"/>
    <w:rsid w:val="6D224FF7"/>
    <w:rsid w:val="6EE676BC"/>
    <w:rsid w:val="71F43F2A"/>
    <w:rsid w:val="73AF1A71"/>
    <w:rsid w:val="75667D8E"/>
    <w:rsid w:val="787614BF"/>
    <w:rsid w:val="7A9A2D7D"/>
    <w:rsid w:val="7B8D7811"/>
    <w:rsid w:val="7DAA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link w:val="67"/>
    <w:unhideWhenUsed/>
    <w:qFormat/>
    <w:uiPriority w:val="99"/>
    <w:pPr>
      <w:jc w:val="left"/>
    </w:pPr>
  </w:style>
  <w:style w:type="paragraph" w:styleId="7">
    <w:name w:val="Body Text"/>
    <w:basedOn w:val="1"/>
    <w:link w:val="52"/>
    <w:qFormat/>
    <w:uiPriority w:val="0"/>
    <w:pPr>
      <w:spacing w:after="120"/>
    </w:pPr>
  </w:style>
  <w:style w:type="paragraph" w:styleId="8">
    <w:name w:val="Body Text Indent"/>
    <w:basedOn w:val="1"/>
    <w:link w:val="47"/>
    <w:qFormat/>
    <w:uiPriority w:val="0"/>
    <w:pPr>
      <w:spacing w:line="360" w:lineRule="auto"/>
      <w:ind w:firstLine="480" w:firstLineChars="200"/>
    </w:pPr>
    <w:rPr>
      <w:rFonts w:ascii="仿宋_GB2312" w:eastAsia="仿宋_GB2312"/>
      <w:kern w:val="0"/>
      <w:sz w:val="24"/>
    </w:rPr>
  </w:style>
  <w:style w:type="paragraph" w:styleId="9">
    <w:name w:val="Block Text"/>
    <w:basedOn w:val="1"/>
    <w:qFormat/>
    <w:uiPriority w:val="0"/>
    <w:pPr>
      <w:spacing w:before="120"/>
      <w:ind w:left="79" w:right="57"/>
    </w:pPr>
    <w:rPr>
      <w:rFonts w:ascii="宋体" w:hAnsi="宋体"/>
      <w:szCs w:val="20"/>
    </w:rPr>
  </w:style>
  <w:style w:type="paragraph" w:styleId="10">
    <w:name w:val="toc 5"/>
    <w:basedOn w:val="1"/>
    <w:next w:val="1"/>
    <w:qFormat/>
    <w:uiPriority w:val="0"/>
    <w:pPr>
      <w:ind w:left="1680" w:leftChars="800"/>
    </w:pPr>
  </w:style>
  <w:style w:type="paragraph" w:styleId="11">
    <w:name w:val="toc 3"/>
    <w:basedOn w:val="1"/>
    <w:next w:val="1"/>
    <w:qFormat/>
    <w:uiPriority w:val="0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Plain Text"/>
    <w:basedOn w:val="1"/>
    <w:link w:val="57"/>
    <w:qFormat/>
    <w:uiPriority w:val="0"/>
    <w:rPr>
      <w:rFonts w:ascii="宋体" w:hAnsi="Courier New"/>
      <w:szCs w:val="20"/>
    </w:rPr>
  </w:style>
  <w:style w:type="paragraph" w:styleId="13">
    <w:name w:val="toc 8"/>
    <w:basedOn w:val="1"/>
    <w:next w:val="1"/>
    <w:qFormat/>
    <w:uiPriority w:val="0"/>
    <w:pPr>
      <w:ind w:left="2940" w:leftChars="1400"/>
    </w:pPr>
  </w:style>
  <w:style w:type="paragraph" w:styleId="14">
    <w:name w:val="Body Text Indent 2"/>
    <w:basedOn w:val="1"/>
    <w:link w:val="46"/>
    <w:qFormat/>
    <w:uiPriority w:val="0"/>
    <w:pPr>
      <w:ind w:firstLine="422"/>
    </w:pPr>
    <w:rPr>
      <w:rFonts w:ascii="仿宋_GB2312" w:eastAsia="仿宋_GB2312"/>
      <w:b/>
      <w:kern w:val="0"/>
      <w:szCs w:val="20"/>
    </w:rPr>
  </w:style>
  <w:style w:type="paragraph" w:styleId="15">
    <w:name w:val="Balloon Text"/>
    <w:basedOn w:val="1"/>
    <w:link w:val="6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9">
    <w:name w:val="toc 4"/>
    <w:basedOn w:val="1"/>
    <w:next w:val="1"/>
    <w:qFormat/>
    <w:uiPriority w:val="0"/>
    <w:pPr>
      <w:ind w:left="1260" w:leftChars="600"/>
    </w:pPr>
  </w:style>
  <w:style w:type="paragraph" w:styleId="20">
    <w:name w:val="Subtitle"/>
    <w:basedOn w:val="1"/>
    <w:next w:val="1"/>
    <w:link w:val="3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ind w:left="2100" w:leftChars="1000"/>
    </w:pPr>
  </w:style>
  <w:style w:type="paragraph" w:styleId="22">
    <w:name w:val="Body Text Indent 3"/>
    <w:basedOn w:val="1"/>
    <w:link w:val="5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toc 2"/>
    <w:basedOn w:val="1"/>
    <w:next w:val="1"/>
    <w:qFormat/>
    <w:uiPriority w:val="0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24">
    <w:name w:val="toc 9"/>
    <w:basedOn w:val="1"/>
    <w:next w:val="1"/>
    <w:qFormat/>
    <w:uiPriority w:val="0"/>
    <w:pPr>
      <w:ind w:left="3360" w:leftChars="1600"/>
    </w:p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6">
    <w:name w:val="Title"/>
    <w:basedOn w:val="2"/>
    <w:next w:val="1"/>
    <w:link w:val="40"/>
    <w:qFormat/>
    <w:uiPriority w:val="0"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paragraph" w:styleId="27">
    <w:name w:val="annotation subject"/>
    <w:basedOn w:val="6"/>
    <w:next w:val="6"/>
    <w:link w:val="68"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page number"/>
    <w:basedOn w:val="30"/>
    <w:qFormat/>
    <w:uiPriority w:val="0"/>
  </w:style>
  <w:style w:type="character" w:styleId="32">
    <w:name w:val="Hyperlink"/>
    <w:qFormat/>
    <w:uiPriority w:val="0"/>
    <w:rPr>
      <w:color w:val="0000FF"/>
      <w:u w:val="single"/>
    </w:rPr>
  </w:style>
  <w:style w:type="character" w:styleId="33">
    <w:name w:val="annotation reference"/>
    <w:basedOn w:val="30"/>
    <w:unhideWhenUsed/>
    <w:qFormat/>
    <w:uiPriority w:val="99"/>
    <w:rPr>
      <w:sz w:val="21"/>
      <w:szCs w:val="21"/>
    </w:rPr>
  </w:style>
  <w:style w:type="character" w:customStyle="1" w:styleId="34">
    <w:name w:val="页眉 字符"/>
    <w:basedOn w:val="30"/>
    <w:link w:val="17"/>
    <w:qFormat/>
    <w:uiPriority w:val="99"/>
    <w:rPr>
      <w:sz w:val="18"/>
      <w:szCs w:val="18"/>
    </w:rPr>
  </w:style>
  <w:style w:type="character" w:customStyle="1" w:styleId="35">
    <w:name w:val="页脚 字符"/>
    <w:basedOn w:val="30"/>
    <w:link w:val="16"/>
    <w:semiHidden/>
    <w:qFormat/>
    <w:uiPriority w:val="99"/>
    <w:rPr>
      <w:sz w:val="18"/>
      <w:szCs w:val="18"/>
    </w:rPr>
  </w:style>
  <w:style w:type="character" w:customStyle="1" w:styleId="36">
    <w:name w:val="标题 1 字符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basedOn w:val="30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字符"/>
    <w:basedOn w:val="30"/>
    <w:link w:val="4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39">
    <w:name w:val="副标题 字符"/>
    <w:basedOn w:val="30"/>
    <w:link w:val="2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0">
    <w:name w:val="标题 字符"/>
    <w:basedOn w:val="30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1">
    <w:name w:val="tb"/>
    <w:basedOn w:val="30"/>
    <w:qFormat/>
    <w:uiPriority w:val="0"/>
  </w:style>
  <w:style w:type="character" w:customStyle="1" w:styleId="42">
    <w:name w:val="apple-style-span"/>
    <w:basedOn w:val="30"/>
    <w:qFormat/>
    <w:uiPriority w:val="0"/>
  </w:style>
  <w:style w:type="character" w:customStyle="1" w:styleId="43">
    <w:name w:val="tf1"/>
    <w:basedOn w:val="30"/>
    <w:qFormat/>
    <w:uiPriority w:val="0"/>
    <w:rPr>
      <w:spacing w:val="300"/>
      <w:sz w:val="18"/>
      <w:szCs w:val="18"/>
    </w:rPr>
  </w:style>
  <w:style w:type="paragraph" w:customStyle="1" w:styleId="44">
    <w:name w:val="注解（小四，楷体）"/>
    <w:basedOn w:val="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customStyle="1" w:styleId="45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正文文本缩进 2 字符"/>
    <w:basedOn w:val="30"/>
    <w:link w:val="14"/>
    <w:qFormat/>
    <w:uiPriority w:val="0"/>
    <w:rPr>
      <w:rFonts w:ascii="仿宋_GB2312" w:hAnsi="Times New Roman" w:eastAsia="仿宋_GB2312" w:cs="Times New Roman"/>
      <w:b/>
      <w:kern w:val="0"/>
      <w:szCs w:val="20"/>
    </w:rPr>
  </w:style>
  <w:style w:type="character" w:customStyle="1" w:styleId="47">
    <w:name w:val="正文文本缩进 字符"/>
    <w:basedOn w:val="30"/>
    <w:link w:val="8"/>
    <w:qFormat/>
    <w:uiPriority w:val="0"/>
    <w:rPr>
      <w:rFonts w:ascii="仿宋_GB2312" w:hAnsi="Times New Roman" w:eastAsia="仿宋_GB2312" w:cs="Times New Roman"/>
      <w:kern w:val="0"/>
      <w:sz w:val="24"/>
    </w:rPr>
  </w:style>
  <w:style w:type="paragraph" w:customStyle="1" w:styleId="48">
    <w:name w:val="a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表格（小四，宋体）"/>
    <w:basedOn w:val="1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50">
    <w:name w:val="正文文本 2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character" w:customStyle="1" w:styleId="51">
    <w:name w:val="正文文本缩进 3 字符"/>
    <w:basedOn w:val="30"/>
    <w:link w:val="2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 字符"/>
    <w:basedOn w:val="30"/>
    <w:link w:val="7"/>
    <w:qFormat/>
    <w:uiPriority w:val="0"/>
    <w:rPr>
      <w:rFonts w:ascii="Times New Roman" w:hAnsi="Times New Roman" w:eastAsia="宋体" w:cs="Times New Roman"/>
    </w:rPr>
  </w:style>
  <w:style w:type="paragraph" w:customStyle="1" w:styleId="53">
    <w:name w:val="正文文本 21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4">
    <w:name w:val="正文文本 2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5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6">
    <w:name w:val="标题 Char1"/>
    <w:basedOn w:val="3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7">
    <w:name w:val="纯文本 字符"/>
    <w:basedOn w:val="30"/>
    <w:link w:val="12"/>
    <w:qFormat/>
    <w:uiPriority w:val="0"/>
    <w:rPr>
      <w:rFonts w:ascii="宋体" w:hAnsi="Courier New" w:eastAsia="宋体" w:cs="Times New Roman"/>
      <w:szCs w:val="20"/>
    </w:rPr>
  </w:style>
  <w:style w:type="paragraph" w:customStyle="1" w:styleId="58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9">
    <w:name w:val="副标题 Char1"/>
    <w:basedOn w:val="3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60">
    <w:name w:val="列出段落1"/>
    <w:basedOn w:val="1"/>
    <w:qFormat/>
    <w:uiPriority w:val="34"/>
    <w:pPr>
      <w:ind w:firstLine="420" w:firstLineChars="200"/>
    </w:pPr>
  </w:style>
  <w:style w:type="paragraph" w:customStyle="1" w:styleId="61">
    <w:name w:val="条款大标题"/>
    <w:basedOn w:val="26"/>
    <w:link w:val="65"/>
    <w:qFormat/>
    <w:uiPriority w:val="0"/>
    <w:pPr>
      <w:snapToGrid w:val="0"/>
    </w:pPr>
  </w:style>
  <w:style w:type="paragraph" w:customStyle="1" w:styleId="62">
    <w:name w:val="条款标题"/>
    <w:basedOn w:val="1"/>
    <w:qFormat/>
    <w:uiPriority w:val="0"/>
    <w:pPr>
      <w:tabs>
        <w:tab w:val="left" w:pos="840"/>
      </w:tabs>
    </w:pPr>
    <w:rPr>
      <w:b/>
    </w:rPr>
  </w:style>
  <w:style w:type="paragraph" w:customStyle="1" w:styleId="6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szCs w:val="24"/>
    </w:rPr>
  </w:style>
  <w:style w:type="paragraph" w:customStyle="1" w:styleId="64">
    <w:name w:val="列表段落1"/>
    <w:basedOn w:val="1"/>
    <w:qFormat/>
    <w:uiPriority w:val="34"/>
    <w:pPr>
      <w:ind w:firstLine="420" w:firstLineChars="200"/>
    </w:pPr>
  </w:style>
  <w:style w:type="character" w:customStyle="1" w:styleId="65">
    <w:name w:val="条款大标题 Char"/>
    <w:basedOn w:val="30"/>
    <w:link w:val="6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66">
    <w:name w:val="批注框文本 字符"/>
    <w:basedOn w:val="30"/>
    <w:link w:val="15"/>
    <w:semiHidden/>
    <w:qFormat/>
    <w:uiPriority w:val="99"/>
    <w:rPr>
      <w:kern w:val="2"/>
      <w:sz w:val="18"/>
      <w:szCs w:val="18"/>
    </w:rPr>
  </w:style>
  <w:style w:type="character" w:customStyle="1" w:styleId="67">
    <w:name w:val="批注文字 字符"/>
    <w:basedOn w:val="30"/>
    <w:link w:val="6"/>
    <w:semiHidden/>
    <w:qFormat/>
    <w:uiPriority w:val="99"/>
    <w:rPr>
      <w:kern w:val="2"/>
      <w:sz w:val="21"/>
      <w:szCs w:val="22"/>
    </w:rPr>
  </w:style>
  <w:style w:type="character" w:customStyle="1" w:styleId="68">
    <w:name w:val="批注主题 字符"/>
    <w:basedOn w:val="67"/>
    <w:link w:val="27"/>
    <w:semiHidden/>
    <w:qFormat/>
    <w:uiPriority w:val="99"/>
    <w:rPr>
      <w:b/>
      <w:bCs/>
      <w:kern w:val="2"/>
      <w:sz w:val="21"/>
      <w:szCs w:val="22"/>
    </w:rPr>
  </w:style>
  <w:style w:type="paragraph" w:styleId="69">
    <w:name w:val="List Paragraph"/>
    <w:basedOn w:val="1"/>
    <w:qFormat/>
    <w:uiPriority w:val="34"/>
    <w:pPr>
      <w:ind w:firstLine="420" w:firstLineChars="200"/>
    </w:pPr>
  </w:style>
  <w:style w:type="paragraph" w:customStyle="1" w:styleId="7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202</Words>
  <Characters>1155</Characters>
  <Lines>9</Lines>
  <Paragraphs>2</Paragraphs>
  <TotalTime>0</TotalTime>
  <ScaleCrop>false</ScaleCrop>
  <LinksUpToDate>false</LinksUpToDate>
  <CharactersWithSpaces>1355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2018-06-20T02:23:00Z</dcterms:created>
  <dc:creator>0000</dc:creator>
  <cp:lastModifiedBy>Zixuan Shen</cp:lastModifiedBy>
  <cp:lastPrinted>2013-12-26T09:47:00Z</cp:lastPrinted>
  <dcterms:modified xsi:type="dcterms:W3CDTF">2023-11-02T02:52:58Z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360F171754A84E4C8641B6505440567E_13</vt:lpwstr>
  </property>
</Properties>
</file>