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B366" w14:textId="77777777" w:rsidR="003C791D" w:rsidRDefault="008A0AE9">
      <w:pPr>
        <w:spacing w:afterLines="50" w:after="156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Ansi="宋体" w:cs="宋体" w:hint="eastAsia"/>
          <w:b/>
          <w:color w:val="000000"/>
          <w:kern w:val="2"/>
          <w:sz w:val="28"/>
          <w:szCs w:val="28"/>
        </w:rPr>
        <w:t>华农财产保险股份有限公司</w:t>
      </w:r>
    </w:p>
    <w:p w14:paraId="742E37D4" w14:textId="77777777" w:rsidR="003C791D" w:rsidRDefault="008A0AE9">
      <w:pPr>
        <w:pStyle w:val="aa"/>
        <w:adjustRightInd w:val="0"/>
        <w:snapToGrid w:val="0"/>
        <w:spacing w:afterLines="50" w:after="156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cs="Arial" w:hint="eastAsia"/>
          <w:b/>
          <w:color w:val="000000"/>
          <w:kern w:val="2"/>
          <w:sz w:val="28"/>
          <w:szCs w:val="28"/>
        </w:rPr>
        <w:t>个人重大疾病保险</w:t>
      </w:r>
      <w:r>
        <w:rPr>
          <w:rFonts w:cs="Arial" w:hint="eastAsia"/>
          <w:b/>
          <w:color w:val="000000"/>
          <w:kern w:val="2"/>
          <w:sz w:val="28"/>
          <w:szCs w:val="28"/>
        </w:rPr>
        <w:t>C</w:t>
      </w:r>
      <w:r>
        <w:rPr>
          <w:rFonts w:cs="Arial" w:hint="eastAsia"/>
          <w:b/>
          <w:color w:val="000000"/>
          <w:kern w:val="2"/>
          <w:sz w:val="28"/>
          <w:szCs w:val="28"/>
        </w:rPr>
        <w:t>款费率表</w:t>
      </w:r>
    </w:p>
    <w:p w14:paraId="2C20AFE3" w14:textId="77777777" w:rsidR="003C791D" w:rsidRDefault="008A0AE9">
      <w:pPr>
        <w:pStyle w:val="aa"/>
        <w:adjustRightInd w:val="0"/>
        <w:snapToGrid w:val="0"/>
        <w:spacing w:afterLines="50" w:after="156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cs="Arial" w:hint="eastAsia"/>
          <w:b/>
          <w:color w:val="000000"/>
          <w:kern w:val="2"/>
          <w:sz w:val="21"/>
          <w:szCs w:val="21"/>
        </w:rPr>
        <w:t xml:space="preserve"> </w:t>
      </w:r>
    </w:p>
    <w:p w14:paraId="7D085248" w14:textId="77777777" w:rsidR="003C791D" w:rsidRDefault="008A0AE9"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年基准费率</w:t>
      </w:r>
    </w:p>
    <w:p w14:paraId="4349848C" w14:textId="77777777" w:rsidR="003C791D" w:rsidRDefault="008A0AE9">
      <w:pPr>
        <w:spacing w:line="312" w:lineRule="auto"/>
        <w:ind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1.5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‰</w:t>
      </w:r>
    </w:p>
    <w:p w14:paraId="766EDA61" w14:textId="77777777" w:rsidR="003C791D" w:rsidRDefault="008A0AE9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二、调整系数</w:t>
      </w:r>
    </w:p>
    <w:p w14:paraId="15BCAE2E" w14:textId="77777777" w:rsidR="003C791D" w:rsidRDefault="008A0AE9">
      <w:pPr>
        <w:spacing w:afterLines="50" w:after="156" w:line="312" w:lineRule="auto"/>
        <w:rPr>
          <w:rFonts w:hAnsi="宋体" w:cs="Arial"/>
          <w:color w:val="000000"/>
          <w:kern w:val="2"/>
          <w:sz w:val="21"/>
          <w:szCs w:val="21"/>
        </w:rPr>
      </w:pPr>
      <w:bookmarkStart w:id="0" w:name="_Hlk40970434"/>
      <w:bookmarkStart w:id="1" w:name="_Hlk79658135"/>
      <w:r>
        <w:rPr>
          <w:rFonts w:hAnsi="宋体" w:cs="Arial" w:hint="eastAsia"/>
          <w:color w:val="000000"/>
          <w:kern w:val="2"/>
          <w:sz w:val="21"/>
          <w:szCs w:val="21"/>
        </w:rPr>
        <w:t>1</w:t>
      </w:r>
      <w:r>
        <w:rPr>
          <w:rFonts w:hAnsi="宋体" w:cs="Arial" w:hint="eastAsia"/>
          <w:color w:val="000000"/>
          <w:kern w:val="2"/>
          <w:sz w:val="21"/>
          <w:szCs w:val="21"/>
        </w:rPr>
        <w:t>、规模调整系数：根据渠道年度投保人数规模，进行划分。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3C791D" w14:paraId="14398CB4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E6C4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年度投保人数</w:t>
            </w:r>
            <w:r>
              <w:rPr>
                <w:rFonts w:hAnsi="宋体" w:cs="宋体" w:hint="eastAsia"/>
                <w:bCs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bCs/>
                <w:sz w:val="21"/>
                <w:szCs w:val="21"/>
              </w:rPr>
              <w:t>（人）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BAEB2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调整系数</w:t>
            </w:r>
          </w:p>
        </w:tc>
      </w:tr>
      <w:tr w:rsidR="003C791D" w14:paraId="395E5C0D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9C09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N&gt;5000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A013D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 w:hint="eastAsia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6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Ansi="宋体" w:cs="宋体"/>
                <w:sz w:val="21"/>
                <w:szCs w:val="21"/>
              </w:rPr>
              <w:t>）</w:t>
            </w:r>
          </w:p>
        </w:tc>
      </w:tr>
      <w:tr w:rsidR="003C791D" w14:paraId="5B496583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1EDC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3000&lt;N</w:t>
            </w:r>
            <w:r>
              <w:rPr>
                <w:rFonts w:hAnsi="宋体" w:cs="宋体" w:hint="eastAsia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sz w:val="21"/>
                <w:szCs w:val="21"/>
              </w:rPr>
              <w:t>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2CA57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 w:hint="eastAsia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9</w:t>
            </w:r>
            <w:r>
              <w:rPr>
                <w:rFonts w:hAnsi="宋体" w:cs="宋体"/>
                <w:sz w:val="21"/>
                <w:szCs w:val="21"/>
              </w:rPr>
              <w:t>）</w:t>
            </w:r>
          </w:p>
        </w:tc>
      </w:tr>
      <w:tr w:rsidR="003C791D" w14:paraId="63AF2780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40D0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1000&lt;N</w:t>
            </w:r>
            <w:r>
              <w:rPr>
                <w:rFonts w:hAnsi="宋体" w:cs="宋体" w:hint="eastAsia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sz w:val="21"/>
                <w:szCs w:val="21"/>
              </w:rPr>
              <w:t>3000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2676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/>
                <w:sz w:val="21"/>
                <w:szCs w:val="21"/>
              </w:rPr>
              <w:t>1.1</w:t>
            </w:r>
            <w:r>
              <w:rPr>
                <w:rFonts w:hAnsi="宋体" w:cs="宋体"/>
                <w:sz w:val="21"/>
                <w:szCs w:val="21"/>
              </w:rPr>
              <w:t>）</w:t>
            </w:r>
          </w:p>
        </w:tc>
      </w:tr>
      <w:tr w:rsidR="003C791D" w14:paraId="1D2B6DB1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40E7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sz w:val="21"/>
                <w:szCs w:val="21"/>
              </w:rPr>
              <w:t>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5C1DF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 w:hint="eastAsia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5</w:t>
            </w:r>
            <w:r>
              <w:rPr>
                <w:rFonts w:hAnsi="宋体" w:cs="宋体" w:hint="eastAsia"/>
                <w:sz w:val="21"/>
                <w:szCs w:val="21"/>
              </w:rPr>
              <w:t>]</w:t>
            </w:r>
          </w:p>
        </w:tc>
      </w:tr>
    </w:tbl>
    <w:p w14:paraId="261BE570" w14:textId="77777777" w:rsidR="003C791D" w:rsidRDefault="008A0AE9">
      <w:pPr>
        <w:spacing w:afterLines="50" w:after="156" w:line="312" w:lineRule="auto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 w:hint="eastAsia"/>
          <w:color w:val="000000"/>
          <w:kern w:val="2"/>
          <w:sz w:val="21"/>
          <w:szCs w:val="21"/>
        </w:rPr>
        <w:t>2</w:t>
      </w:r>
      <w:r>
        <w:rPr>
          <w:rFonts w:hAnsi="宋体" w:cs="宋体" w:hint="eastAsia"/>
          <w:color w:val="000000"/>
          <w:kern w:val="2"/>
          <w:sz w:val="21"/>
          <w:szCs w:val="21"/>
        </w:rPr>
        <w:t>、平均年龄调整系数：</w:t>
      </w:r>
      <w:proofErr w:type="gramStart"/>
      <w:r>
        <w:rPr>
          <w:rFonts w:hAnsi="宋体" w:cs="宋体" w:hint="eastAsia"/>
          <w:color w:val="000000"/>
          <w:kern w:val="2"/>
          <w:sz w:val="21"/>
          <w:szCs w:val="21"/>
        </w:rPr>
        <w:t>根据网销渠道</w:t>
      </w:r>
      <w:proofErr w:type="gramEnd"/>
      <w:r>
        <w:rPr>
          <w:rFonts w:hAnsi="宋体" w:cs="宋体" w:hint="eastAsia"/>
          <w:color w:val="000000"/>
          <w:kern w:val="2"/>
          <w:sz w:val="21"/>
          <w:szCs w:val="21"/>
        </w:rPr>
        <w:t>承保客户的平均年龄，进行划分。</w:t>
      </w:r>
    </w:p>
    <w:tbl>
      <w:tblPr>
        <w:tblStyle w:val="ad"/>
        <w:tblW w:w="5680" w:type="dxa"/>
        <w:jc w:val="center"/>
        <w:tblLayout w:type="fixed"/>
        <w:tblLook w:val="04A0" w:firstRow="1" w:lastRow="0" w:firstColumn="1" w:lastColumn="0" w:noHBand="0" w:noVBand="1"/>
      </w:tblPr>
      <w:tblGrid>
        <w:gridCol w:w="2840"/>
        <w:gridCol w:w="2840"/>
      </w:tblGrid>
      <w:tr w:rsidR="003C791D" w14:paraId="14A2D3FB" w14:textId="77777777">
        <w:trPr>
          <w:trHeight w:val="90"/>
          <w:jc w:val="center"/>
        </w:trPr>
        <w:tc>
          <w:tcPr>
            <w:tcW w:w="2840" w:type="dxa"/>
          </w:tcPr>
          <w:p w14:paraId="173DADC4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平均年龄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(</w:t>
            </w:r>
            <w:proofErr w:type="gramStart"/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周岁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)</w:t>
            </w:r>
            <w:proofErr w:type="gramEnd"/>
          </w:p>
        </w:tc>
        <w:tc>
          <w:tcPr>
            <w:tcW w:w="2840" w:type="dxa"/>
          </w:tcPr>
          <w:p w14:paraId="343FF4E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3C791D" w14:paraId="4C5E3423" w14:textId="77777777">
        <w:trPr>
          <w:trHeight w:val="406"/>
          <w:jc w:val="center"/>
        </w:trPr>
        <w:tc>
          <w:tcPr>
            <w:tcW w:w="2840" w:type="dxa"/>
          </w:tcPr>
          <w:p w14:paraId="45AAEF0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28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天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-10</w:t>
            </w:r>
          </w:p>
        </w:tc>
        <w:tc>
          <w:tcPr>
            <w:tcW w:w="2840" w:type="dxa"/>
          </w:tcPr>
          <w:p w14:paraId="49A14EF0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[0.15,0.35]</w:t>
            </w:r>
          </w:p>
        </w:tc>
      </w:tr>
      <w:tr w:rsidR="003C791D" w14:paraId="22714A39" w14:textId="77777777">
        <w:trPr>
          <w:trHeight w:val="406"/>
          <w:jc w:val="center"/>
        </w:trPr>
        <w:tc>
          <w:tcPr>
            <w:tcW w:w="2840" w:type="dxa"/>
          </w:tcPr>
          <w:p w14:paraId="5503129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11-20</w:t>
            </w:r>
          </w:p>
        </w:tc>
        <w:tc>
          <w:tcPr>
            <w:tcW w:w="2840" w:type="dxa"/>
          </w:tcPr>
          <w:p w14:paraId="71ECBF3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[0.2,0.3]</w:t>
            </w:r>
          </w:p>
        </w:tc>
      </w:tr>
      <w:tr w:rsidR="003C791D" w14:paraId="0CD34D01" w14:textId="77777777">
        <w:trPr>
          <w:trHeight w:val="406"/>
          <w:jc w:val="center"/>
        </w:trPr>
        <w:tc>
          <w:tcPr>
            <w:tcW w:w="2840" w:type="dxa"/>
          </w:tcPr>
          <w:p w14:paraId="6F39360F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40" w:type="dxa"/>
          </w:tcPr>
          <w:p w14:paraId="00DBD6FD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[0.3,0.55]</w:t>
            </w:r>
          </w:p>
        </w:tc>
      </w:tr>
      <w:tr w:rsidR="003C791D" w14:paraId="34C971C1" w14:textId="77777777">
        <w:trPr>
          <w:trHeight w:val="406"/>
          <w:jc w:val="center"/>
        </w:trPr>
        <w:tc>
          <w:tcPr>
            <w:tcW w:w="2840" w:type="dxa"/>
          </w:tcPr>
          <w:p w14:paraId="213DCF78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</w:t>
            </w:r>
          </w:p>
        </w:tc>
        <w:tc>
          <w:tcPr>
            <w:tcW w:w="2840" w:type="dxa"/>
          </w:tcPr>
          <w:p w14:paraId="5B4D0519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[0.6,1.5]</w:t>
            </w:r>
          </w:p>
        </w:tc>
      </w:tr>
      <w:tr w:rsidR="003C791D" w14:paraId="77E43573" w14:textId="77777777">
        <w:trPr>
          <w:trHeight w:val="406"/>
          <w:jc w:val="center"/>
        </w:trPr>
        <w:tc>
          <w:tcPr>
            <w:tcW w:w="2840" w:type="dxa"/>
          </w:tcPr>
          <w:p w14:paraId="2F1DB6D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</w:t>
            </w:r>
          </w:p>
        </w:tc>
        <w:tc>
          <w:tcPr>
            <w:tcW w:w="2840" w:type="dxa"/>
          </w:tcPr>
          <w:p w14:paraId="21FCBCD0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[1.6,3.5]</w:t>
            </w:r>
          </w:p>
        </w:tc>
      </w:tr>
      <w:tr w:rsidR="003C791D" w14:paraId="2AF24EDA" w14:textId="77777777">
        <w:trPr>
          <w:trHeight w:val="415"/>
          <w:jc w:val="center"/>
        </w:trPr>
        <w:tc>
          <w:tcPr>
            <w:tcW w:w="2840" w:type="dxa"/>
          </w:tcPr>
          <w:p w14:paraId="08E37E5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40" w:type="dxa"/>
          </w:tcPr>
          <w:p w14:paraId="1A72389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[3.6,7.0]</w:t>
            </w:r>
          </w:p>
        </w:tc>
      </w:tr>
    </w:tbl>
    <w:p w14:paraId="2CC7D20B" w14:textId="77777777" w:rsidR="003C791D" w:rsidRDefault="008A0AE9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3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、等待</w:t>
      </w:r>
      <w:proofErr w:type="gramStart"/>
      <w:r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color w:val="000000"/>
          <w:kern w:val="2"/>
          <w:sz w:val="21"/>
          <w:szCs w:val="21"/>
        </w:rPr>
        <w:t>系数：按保单约定的等待期天数，进行划分。</w:t>
      </w: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3C791D" w14:paraId="41D8F272" w14:textId="77777777">
        <w:tc>
          <w:tcPr>
            <w:tcW w:w="2850" w:type="dxa"/>
          </w:tcPr>
          <w:p w14:paraId="08D1C977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 w14:paraId="732A890F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3C791D" w14:paraId="3341A997" w14:textId="77777777">
        <w:tc>
          <w:tcPr>
            <w:tcW w:w="2850" w:type="dxa"/>
          </w:tcPr>
          <w:p w14:paraId="3AD9CBC4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506AFB90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 w:rsidR="003C791D" w14:paraId="17DCC719" w14:textId="77777777">
        <w:tc>
          <w:tcPr>
            <w:tcW w:w="2850" w:type="dxa"/>
          </w:tcPr>
          <w:p w14:paraId="7913DD5E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30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0A206559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1.2</w:t>
            </w:r>
          </w:p>
        </w:tc>
      </w:tr>
      <w:tr w:rsidR="003C791D" w14:paraId="08EEFAE7" w14:textId="77777777">
        <w:tc>
          <w:tcPr>
            <w:tcW w:w="2850" w:type="dxa"/>
          </w:tcPr>
          <w:p w14:paraId="0BCED3AA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60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189AE279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 w:rsidR="003C791D" w14:paraId="32FF8FCB" w14:textId="77777777">
        <w:tc>
          <w:tcPr>
            <w:tcW w:w="2850" w:type="dxa"/>
          </w:tcPr>
          <w:p w14:paraId="531C1335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90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7719C74B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 w:rsidR="003C791D" w14:paraId="040ADB9D" w14:textId="77777777">
        <w:tc>
          <w:tcPr>
            <w:tcW w:w="2850" w:type="dxa"/>
          </w:tcPr>
          <w:p w14:paraId="113C28DA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120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4BF7FF52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 w:rsidR="003C791D" w14:paraId="33BB9D85" w14:textId="77777777">
        <w:tc>
          <w:tcPr>
            <w:tcW w:w="2850" w:type="dxa"/>
          </w:tcPr>
          <w:p w14:paraId="2F97BBF3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150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6B122FAB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</w:tr>
      <w:tr w:rsidR="003C791D" w14:paraId="6E9A6937" w14:textId="77777777">
        <w:tc>
          <w:tcPr>
            <w:tcW w:w="2850" w:type="dxa"/>
          </w:tcPr>
          <w:p w14:paraId="3F96CE75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 w14:paraId="177B41DD" w14:textId="77777777" w:rsidR="003C791D" w:rsidRDefault="008A0AE9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.7</w:t>
            </w:r>
          </w:p>
        </w:tc>
      </w:tr>
    </w:tbl>
    <w:p w14:paraId="34C34A15" w14:textId="77777777" w:rsidR="003C791D" w:rsidRDefault="008A0AE9">
      <w:pPr>
        <w:spacing w:line="312" w:lineRule="auto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4</w:t>
      </w:r>
      <w:r>
        <w:rPr>
          <w:rFonts w:hAnsi="宋体" w:cs="宋体" w:hint="eastAsia"/>
          <w:sz w:val="21"/>
          <w:szCs w:val="21"/>
        </w:rPr>
        <w:t>、</w:t>
      </w:r>
      <w:r>
        <w:rPr>
          <w:rFonts w:hAnsi="宋体" w:cs="宋体"/>
          <w:sz w:val="21"/>
          <w:szCs w:val="21"/>
        </w:rPr>
        <w:t>历史赔付率调整系数：</w:t>
      </w:r>
      <w:proofErr w:type="gramStart"/>
      <w:r>
        <w:rPr>
          <w:rFonts w:hAnsi="宋体" w:cs="宋体"/>
          <w:sz w:val="21"/>
          <w:szCs w:val="21"/>
        </w:rPr>
        <w:t>按渠道</w:t>
      </w:r>
      <w:proofErr w:type="gramEnd"/>
      <w:r>
        <w:rPr>
          <w:rFonts w:hAnsi="宋体" w:cs="宋体"/>
          <w:sz w:val="21"/>
          <w:szCs w:val="21"/>
        </w:rPr>
        <w:t>近三年赔付率情况，进行划分</w:t>
      </w:r>
      <w:r>
        <w:rPr>
          <w:rFonts w:hAnsi="宋体" w:cs="宋体" w:hint="eastAsia"/>
          <w:sz w:val="21"/>
          <w:szCs w:val="21"/>
        </w:rPr>
        <w:t>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3C791D" w14:paraId="265AEF98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DF12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8E68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调整系数</w:t>
            </w:r>
          </w:p>
        </w:tc>
      </w:tr>
      <w:tr w:rsidR="003C791D" w14:paraId="7EC17417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5C76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lastRenderedPageBreak/>
              <w:t>0%-30%</w:t>
            </w:r>
            <w:r>
              <w:rPr>
                <w:rFonts w:hAnsi="宋体" w:cs="宋体" w:hint="eastAsia"/>
                <w:sz w:val="21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BDDC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0.7]</w:t>
            </w:r>
          </w:p>
        </w:tc>
      </w:tr>
      <w:tr w:rsidR="003C791D" w14:paraId="2510F73C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8805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30%-50%</w:t>
            </w:r>
            <w:r>
              <w:rPr>
                <w:rFonts w:hAnsi="宋体" w:cs="宋体" w:hint="eastAsia"/>
                <w:sz w:val="21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216C9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0.9]</w:t>
            </w:r>
          </w:p>
        </w:tc>
      </w:tr>
      <w:tr w:rsidR="003C791D" w14:paraId="282F7EE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86F3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50%-80%</w:t>
            </w:r>
            <w:r>
              <w:rPr>
                <w:rFonts w:hAnsi="宋体" w:cs="宋体" w:hint="eastAsia"/>
                <w:sz w:val="21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DD10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1.1]</w:t>
            </w:r>
          </w:p>
        </w:tc>
      </w:tr>
      <w:tr w:rsidR="003C791D" w14:paraId="0AC1A481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9127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80%</w:t>
            </w:r>
            <w:r>
              <w:rPr>
                <w:rFonts w:hAnsi="宋体" w:cs="宋体" w:hint="eastAsia"/>
                <w:sz w:val="21"/>
                <w:szCs w:val="21"/>
              </w:rPr>
              <w:t>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5D36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1.5]</w:t>
            </w:r>
          </w:p>
        </w:tc>
      </w:tr>
      <w:tr w:rsidR="003C791D" w14:paraId="49B87C79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B212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C21C5" w14:textId="77777777" w:rsidR="003C791D" w:rsidRDefault="008A0AE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1.0</w:t>
            </w:r>
          </w:p>
        </w:tc>
      </w:tr>
      <w:bookmarkEnd w:id="0"/>
    </w:tbl>
    <w:p w14:paraId="458C1C2D" w14:textId="77777777" w:rsidR="003C791D" w:rsidRDefault="003C791D">
      <w:pPr>
        <w:rPr>
          <w:rFonts w:hAnsi="宋体" w:cs="Arial"/>
          <w:b/>
          <w:color w:val="000000"/>
          <w:kern w:val="2"/>
          <w:sz w:val="21"/>
          <w:szCs w:val="21"/>
        </w:rPr>
      </w:pPr>
    </w:p>
    <w:bookmarkEnd w:id="1"/>
    <w:p w14:paraId="2B21CB9B" w14:textId="77777777" w:rsidR="003C791D" w:rsidRDefault="008A0AE9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三、保险费计算</w:t>
      </w:r>
    </w:p>
    <w:p w14:paraId="4A8CCA4E" w14:textId="77777777" w:rsidR="003C791D" w:rsidRDefault="008A0AE9">
      <w:pPr>
        <w:spacing w:line="312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bookmarkStart w:id="2" w:name="_Hlk40970459"/>
      <w:r>
        <w:rPr>
          <w:rFonts w:hAnsi="宋体" w:cs="Arial" w:hint="eastAsia"/>
          <w:color w:val="000000"/>
          <w:kern w:val="2"/>
          <w:sz w:val="21"/>
          <w:szCs w:val="21"/>
        </w:rPr>
        <w:t>年保险费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保险金额×年基准费率×规模调整系数×平均年龄调整系数×等待</w:t>
      </w: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系数×历史赔付率调整系数</w:t>
      </w:r>
      <w:bookmarkEnd w:id="2"/>
    </w:p>
    <w:p w14:paraId="1639F9BD" w14:textId="77777777" w:rsidR="003C791D" w:rsidRDefault="008A0AE9">
      <w:pPr>
        <w:spacing w:afterLines="50" w:after="156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3" w:name="_Hlk40869430"/>
      <w:r>
        <w:rPr>
          <w:rFonts w:hAnsi="宋体" w:cs="Arial" w:hint="eastAsia"/>
          <w:b/>
          <w:color w:val="000000"/>
          <w:kern w:val="2"/>
          <w:sz w:val="21"/>
          <w:szCs w:val="21"/>
        </w:rPr>
        <w:t>四、短期费率表</w:t>
      </w:r>
    </w:p>
    <w:p w14:paraId="492E949C" w14:textId="77777777" w:rsidR="003C791D" w:rsidRDefault="008A0AE9">
      <w:pPr>
        <w:spacing w:afterLines="50" w:after="156" w:line="312" w:lineRule="auto"/>
        <w:ind w:firstLineChars="224" w:firstLine="47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3C791D" w14:paraId="27D8A9D9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136B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DB52F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177C803A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E4FF4B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C8498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6A27B32D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011BE36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AD092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三</w:t>
            </w:r>
          </w:p>
          <w:p w14:paraId="00E0384D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4DC8B7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DFA7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四</w:t>
            </w:r>
          </w:p>
          <w:p w14:paraId="2693D336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01A9008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430B9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五</w:t>
            </w:r>
          </w:p>
          <w:p w14:paraId="2F9E190A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F335F1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4A424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六</w:t>
            </w:r>
          </w:p>
          <w:p w14:paraId="08A9D34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761BB26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7B7D7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七</w:t>
            </w:r>
          </w:p>
          <w:p w14:paraId="1A74835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2E0022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EEEE0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八</w:t>
            </w:r>
          </w:p>
          <w:p w14:paraId="45DEF260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505260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12D52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九</w:t>
            </w:r>
          </w:p>
          <w:p w14:paraId="3984548B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24AC235A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5043D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5910A27A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6E36082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36DE0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14FAFCB9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7BBE1095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58F19FE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F47A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73839F92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1B8D872C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F876273" w14:textId="77777777" w:rsidR="003C791D" w:rsidRDefault="008A0AE9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 w:rsidR="003C791D" w14:paraId="431E1AE7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BC07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3C5A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1FA14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37946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0727C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C2DB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4342A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1D240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B46B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55E89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9CBD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1D8DF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D788" w14:textId="77777777" w:rsidR="003C791D" w:rsidRDefault="008A0AE9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3"/>
    </w:tbl>
    <w:p w14:paraId="74FAE6FC" w14:textId="77777777" w:rsidR="003C791D" w:rsidRDefault="003C791D">
      <w:pPr>
        <w:spacing w:line="312" w:lineRule="auto"/>
      </w:pPr>
    </w:p>
    <w:p w14:paraId="587C3965" w14:textId="77777777" w:rsidR="003C791D" w:rsidRDefault="003C791D"/>
    <w:sectPr w:rsidR="003C791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A03C" w14:textId="77777777" w:rsidR="008A0AE9" w:rsidRDefault="008A0AE9">
      <w:r>
        <w:separator/>
      </w:r>
    </w:p>
  </w:endnote>
  <w:endnote w:type="continuationSeparator" w:id="0">
    <w:p w14:paraId="3E56469E" w14:textId="77777777" w:rsidR="008A0AE9" w:rsidRDefault="008A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7483" w14:textId="77777777" w:rsidR="003C791D" w:rsidRDefault="008A0AE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C912ED" wp14:editId="19E7CFF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21DD3E" w14:textId="77777777" w:rsidR="003C791D" w:rsidRDefault="008A0AE9">
                          <w:pPr>
                            <w:pStyle w:val="a7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C912E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D21DD3E" w14:textId="77777777" w:rsidR="003C791D" w:rsidRDefault="008A0AE9">
                    <w:pPr>
                      <w:pStyle w:val="a7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A1E30" w14:textId="77777777" w:rsidR="008A0AE9" w:rsidRDefault="008A0AE9">
      <w:r>
        <w:separator/>
      </w:r>
    </w:p>
  </w:footnote>
  <w:footnote w:type="continuationSeparator" w:id="0">
    <w:p w14:paraId="48EBF2E4" w14:textId="77777777" w:rsidR="008A0AE9" w:rsidRDefault="008A0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9EF55"/>
    <w:multiLevelType w:val="singleLevel"/>
    <w:tmpl w:val="5EB9EF5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EA9"/>
    <w:rsid w:val="001466F8"/>
    <w:rsid w:val="00181006"/>
    <w:rsid w:val="001C17A2"/>
    <w:rsid w:val="001E19CC"/>
    <w:rsid w:val="002C3D26"/>
    <w:rsid w:val="003C791D"/>
    <w:rsid w:val="004B606B"/>
    <w:rsid w:val="0053057D"/>
    <w:rsid w:val="005A1F73"/>
    <w:rsid w:val="006D7A85"/>
    <w:rsid w:val="008A0AE9"/>
    <w:rsid w:val="00973BB4"/>
    <w:rsid w:val="009D2EA9"/>
    <w:rsid w:val="00E54053"/>
    <w:rsid w:val="00F22A05"/>
    <w:rsid w:val="00FA248F"/>
    <w:rsid w:val="00FE1113"/>
    <w:rsid w:val="01195218"/>
    <w:rsid w:val="04060867"/>
    <w:rsid w:val="04203ED0"/>
    <w:rsid w:val="04B406E8"/>
    <w:rsid w:val="0B7117B3"/>
    <w:rsid w:val="0BCD25F3"/>
    <w:rsid w:val="136116F1"/>
    <w:rsid w:val="159D7AC9"/>
    <w:rsid w:val="1A9B58C2"/>
    <w:rsid w:val="1C9A1088"/>
    <w:rsid w:val="210E4263"/>
    <w:rsid w:val="26D80604"/>
    <w:rsid w:val="297214C3"/>
    <w:rsid w:val="2B815923"/>
    <w:rsid w:val="2F3F6B2C"/>
    <w:rsid w:val="433108D4"/>
    <w:rsid w:val="456C38BC"/>
    <w:rsid w:val="49AF08FD"/>
    <w:rsid w:val="4AE44EBC"/>
    <w:rsid w:val="4CB35BD4"/>
    <w:rsid w:val="572E11A9"/>
    <w:rsid w:val="59F172C5"/>
    <w:rsid w:val="5DB666BD"/>
    <w:rsid w:val="605D000F"/>
    <w:rsid w:val="61D6330C"/>
    <w:rsid w:val="633F7E95"/>
    <w:rsid w:val="67C12C67"/>
    <w:rsid w:val="687E03FC"/>
    <w:rsid w:val="6F820641"/>
    <w:rsid w:val="720A1136"/>
    <w:rsid w:val="74A03E02"/>
    <w:rsid w:val="799D4BAC"/>
    <w:rsid w:val="7B6A7170"/>
    <w:rsid w:val="7EA5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327A62"/>
  <w15:docId w15:val="{156D5074-4A17-4D39-804A-31E05FB3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rFonts w:ascii="宋体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="宋体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宋体"/>
      <w:sz w:val="34"/>
      <w:szCs w:val="22"/>
    </w:rPr>
  </w:style>
  <w:style w:type="character" w:customStyle="1" w:styleId="ac">
    <w:name w:val="批注主题 字符"/>
    <w:basedOn w:val="a4"/>
    <w:link w:val="ab"/>
    <w:qFormat/>
    <w:rPr>
      <w:rFonts w:ascii="宋体"/>
      <w:b/>
      <w:bCs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436</Characters>
  <Application>Microsoft Office Word</Application>
  <DocSecurity>0</DocSecurity>
  <Lines>218</Lines>
  <Paragraphs>48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孙晓琪</cp:lastModifiedBy>
  <cp:revision>4</cp:revision>
  <dcterms:created xsi:type="dcterms:W3CDTF">2014-10-29T12:08:00Z</dcterms:created>
  <dcterms:modified xsi:type="dcterms:W3CDTF">2021-08-12T03:01:00Z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6401A7853C914B59AA85B5AF8F788478</vt:lpwstr>
  </property>
</Properties>
</file>