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/>
          <w:b/>
          <w:kern w:val="2"/>
          <w:sz w:val="28"/>
          <w:szCs w:val="21"/>
        </w:rPr>
      </w:pPr>
      <w:r>
        <w:rPr>
          <w:rFonts w:hint="eastAsia" w:ascii="Times New Roman"/>
          <w:b/>
          <w:kern w:val="2"/>
          <w:sz w:val="28"/>
          <w:szCs w:val="21"/>
        </w:rPr>
        <w:t>华农</w:t>
      </w:r>
      <w:r>
        <w:rPr>
          <w:rFonts w:ascii="Times New Roman"/>
          <w:b/>
          <w:kern w:val="2"/>
          <w:sz w:val="28"/>
          <w:szCs w:val="21"/>
        </w:rPr>
        <w:t>财产保险股份有限公司</w:t>
      </w:r>
    </w:p>
    <w:p>
      <w:pPr>
        <w:jc w:val="center"/>
        <w:outlineLvl w:val="1"/>
        <w:rPr>
          <w:rFonts w:ascii="Times New Roman"/>
          <w:b/>
          <w:kern w:val="2"/>
          <w:sz w:val="28"/>
          <w:szCs w:val="21"/>
        </w:rPr>
      </w:pPr>
      <w:bookmarkStart w:id="0" w:name="_Toc464548744"/>
      <w:r>
        <w:rPr>
          <w:rFonts w:hint="eastAsia" w:ascii="Times New Roman"/>
          <w:b/>
          <w:kern w:val="2"/>
          <w:sz w:val="28"/>
          <w:szCs w:val="28"/>
        </w:rPr>
        <w:t>交通出行人身意外伤害保险</w:t>
      </w:r>
      <w:r>
        <w:rPr>
          <w:rFonts w:ascii="Times New Roman"/>
          <w:b/>
          <w:kern w:val="2"/>
          <w:sz w:val="28"/>
          <w:szCs w:val="28"/>
        </w:rPr>
        <w:t>费率</w:t>
      </w:r>
      <w:bookmarkEnd w:id="0"/>
      <w:r>
        <w:rPr>
          <w:rFonts w:hint="eastAsia" w:ascii="Times New Roman"/>
          <w:b/>
          <w:kern w:val="2"/>
          <w:sz w:val="28"/>
          <w:szCs w:val="28"/>
        </w:rPr>
        <w:t>表</w:t>
      </w:r>
    </w:p>
    <w:p>
      <w:pPr>
        <w:numPr>
          <w:ilvl w:val="0"/>
          <w:numId w:val="0"/>
        </w:numPr>
        <w:tabs>
          <w:tab w:val="left" w:pos="840"/>
        </w:tabs>
        <w:spacing w:after="156" w:afterLines="50"/>
        <w:rPr>
          <w:rFonts w:hint="eastAsia" w:ascii="Times New Roman"/>
          <w:b/>
          <w:kern w:val="2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Times New Roman"/>
          <w:b/>
          <w:kern w:val="2"/>
          <w:sz w:val="21"/>
          <w:szCs w:val="21"/>
        </w:rPr>
      </w:pPr>
      <w:r>
        <w:rPr>
          <w:rFonts w:hint="eastAsia" w:ascii="Times New Roman"/>
          <w:b/>
          <w:kern w:val="2"/>
          <w:sz w:val="21"/>
          <w:szCs w:val="21"/>
          <w:lang w:val="en-US" w:eastAsia="zh-CN"/>
        </w:rPr>
        <w:t>一、</w:t>
      </w:r>
      <w:r>
        <w:rPr>
          <w:rFonts w:ascii="Times New Roman"/>
          <w:b/>
          <w:kern w:val="2"/>
          <w:sz w:val="21"/>
          <w:szCs w:val="21"/>
        </w:rPr>
        <w:t>年基</w:t>
      </w:r>
      <w:r>
        <w:rPr>
          <w:rFonts w:hint="eastAsia" w:ascii="Times New Roman"/>
          <w:b/>
          <w:kern w:val="2"/>
          <w:sz w:val="21"/>
          <w:szCs w:val="21"/>
        </w:rPr>
        <w:t>准费率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Style w:val="10"/>
          <w:rFonts w:hint="default"/>
          <w:b w:val="0"/>
          <w:bCs/>
          <w:lang w:val="en-US" w:eastAsia="zh-CN"/>
        </w:rPr>
      </w:pPr>
      <w:r>
        <w:rPr>
          <w:rStyle w:val="10"/>
          <w:rFonts w:hint="eastAsia"/>
          <w:b w:val="0"/>
          <w:bCs/>
          <w:lang w:val="en-US" w:eastAsia="zh-CN"/>
        </w:rPr>
        <w:t>1、个人业务</w:t>
      </w:r>
    </w:p>
    <w:tbl>
      <w:tblPr>
        <w:tblStyle w:val="7"/>
        <w:tblW w:w="65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2"/>
        <w:gridCol w:w="168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172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sz w:val="21"/>
                <w:szCs w:val="21"/>
                <w:lang w:val="en-US" w:eastAsia="zh-CN"/>
              </w:rPr>
              <w:t>交通工具</w:t>
            </w:r>
            <w:r>
              <w:rPr>
                <w:rFonts w:ascii="Times New Roman"/>
                <w:b w:val="0"/>
                <w:bCs/>
                <w:sz w:val="21"/>
                <w:szCs w:val="21"/>
              </w:rPr>
              <w:t>种类</w:t>
            </w:r>
          </w:p>
        </w:tc>
        <w:tc>
          <w:tcPr>
            <w:tcW w:w="336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sz w:val="21"/>
                <w:szCs w:val="21"/>
                <w:lang w:val="en-US" w:eastAsia="zh-CN"/>
              </w:rPr>
              <w:t>保险</w:t>
            </w:r>
            <w:r>
              <w:rPr>
                <w:rFonts w:hint="eastAsia" w:ascii="Times New Roman"/>
                <w:b w:val="0"/>
                <w:bCs/>
                <w:sz w:val="21"/>
                <w:szCs w:val="21"/>
              </w:rPr>
              <w:t>责任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17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/>
                <w:b w:val="0"/>
                <w:bCs/>
                <w:sz w:val="21"/>
                <w:szCs w:val="21"/>
              </w:rPr>
            </w:pP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ascii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sz w:val="21"/>
                <w:szCs w:val="21"/>
              </w:rPr>
              <w:t>意外伤害身故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/>
                <w:b w:val="0"/>
                <w:bCs/>
                <w:sz w:val="21"/>
                <w:szCs w:val="21"/>
              </w:rPr>
              <w:t>意外伤害伤残</w:t>
            </w:r>
            <w:r>
              <w:rPr>
                <w:rFonts w:hint="eastAsia" w:ascii="Times New Roman"/>
                <w:b w:val="0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/>
                <w:b w:val="0"/>
                <w:bCs/>
                <w:sz w:val="21"/>
                <w:szCs w:val="21"/>
                <w:lang w:val="en-US" w:eastAsia="zh-CN"/>
              </w:rPr>
              <w:t>可选</w:t>
            </w:r>
            <w:r>
              <w:rPr>
                <w:rFonts w:hint="eastAsia" w:ascii="Times New Roman"/>
                <w:b w:val="0"/>
                <w:bCs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172" w:type="dxa"/>
            <w:vAlign w:val="center"/>
          </w:tcPr>
          <w:p>
            <w:pPr>
              <w:widowControl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</w:rPr>
              <w:t>民航客机</w:t>
            </w: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="Times New Roman"/>
                <w:sz w:val="21"/>
                <w:szCs w:val="21"/>
              </w:rPr>
              <w:t>商业营运火车</w:t>
            </w:r>
            <w:r>
              <w:rPr>
                <w:rFonts w:hint="eastAsia" w:ascii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Times New Roman"/>
                <w:sz w:val="21"/>
                <w:szCs w:val="21"/>
              </w:rPr>
              <w:t>商业营运</w:t>
            </w: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轮船</w:t>
            </w:r>
            <w:bookmarkStart w:id="1" w:name="_GoBack"/>
            <w:bookmarkEnd w:id="1"/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0.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06</w:t>
            </w:r>
            <w:r>
              <w:rPr>
                <w:rFonts w:hint="eastAsia" w:hAnsi="宋体" w:cs="宋体"/>
                <w:sz w:val="21"/>
                <w:szCs w:val="21"/>
              </w:rPr>
              <w:t>‰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0.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hAnsi="宋体" w:cs="宋体"/>
                <w:sz w:val="21"/>
                <w:szCs w:val="21"/>
              </w:rPr>
              <w:t>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17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/>
                <w:sz w:val="21"/>
                <w:szCs w:val="21"/>
              </w:rPr>
              <w:t>家庭自用</w:t>
            </w:r>
            <w:r>
              <w:rPr>
                <w:rFonts w:hint="eastAsia" w:ascii="Times New Roman"/>
                <w:sz w:val="21"/>
                <w:szCs w:val="21"/>
              </w:rPr>
              <w:t>汽</w:t>
            </w:r>
            <w:r>
              <w:rPr>
                <w:rFonts w:ascii="Times New Roman"/>
                <w:sz w:val="21"/>
                <w:szCs w:val="21"/>
              </w:rPr>
              <w:t>车、非营业客车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0.2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hAnsi="宋体" w:cs="宋体"/>
                <w:sz w:val="21"/>
                <w:szCs w:val="21"/>
              </w:rPr>
              <w:t>‰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0.1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hAnsi="宋体" w:cs="宋体"/>
                <w:sz w:val="21"/>
                <w:szCs w:val="21"/>
              </w:rPr>
              <w:t>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172" w:type="dxa"/>
            <w:vAlign w:val="center"/>
          </w:tcPr>
          <w:p>
            <w:pPr>
              <w:widowControl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营业客车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0.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62</w:t>
            </w:r>
            <w:r>
              <w:rPr>
                <w:rFonts w:hint="eastAsia" w:hAnsi="宋体" w:cs="宋体"/>
                <w:sz w:val="21"/>
                <w:szCs w:val="21"/>
              </w:rPr>
              <w:t>‰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0.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42</w:t>
            </w:r>
            <w:r>
              <w:rPr>
                <w:rFonts w:hint="eastAsia" w:hAnsi="宋体" w:cs="宋体"/>
                <w:sz w:val="21"/>
                <w:szCs w:val="21"/>
              </w:rPr>
              <w:t>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172" w:type="dxa"/>
            <w:vAlign w:val="center"/>
          </w:tcPr>
          <w:p>
            <w:pPr>
              <w:widowControl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非营业货车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1.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38</w:t>
            </w:r>
            <w:r>
              <w:rPr>
                <w:rFonts w:hint="eastAsia" w:hAnsi="宋体" w:cs="宋体"/>
                <w:sz w:val="21"/>
                <w:szCs w:val="21"/>
              </w:rPr>
              <w:t>‰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0.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92</w:t>
            </w:r>
            <w:r>
              <w:rPr>
                <w:rFonts w:hint="eastAsia" w:hAnsi="宋体" w:cs="宋体"/>
                <w:sz w:val="21"/>
                <w:szCs w:val="21"/>
              </w:rPr>
              <w:t>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3172" w:type="dxa"/>
            <w:vAlign w:val="center"/>
          </w:tcPr>
          <w:p>
            <w:pPr>
              <w:widowControl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营业货车、摩托车、拖拉机、特种车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1.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59</w:t>
            </w:r>
            <w:r>
              <w:rPr>
                <w:rFonts w:hint="eastAsia" w:hAnsi="宋体" w:cs="宋体"/>
                <w:sz w:val="21"/>
                <w:szCs w:val="21"/>
              </w:rPr>
              <w:t>‰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1.06</w:t>
            </w:r>
            <w:r>
              <w:rPr>
                <w:rFonts w:hint="eastAsia" w:hAnsi="宋体" w:cs="宋体"/>
                <w:sz w:val="21"/>
                <w:szCs w:val="21"/>
              </w:rPr>
              <w:t>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3172" w:type="dxa"/>
            <w:vAlign w:val="center"/>
          </w:tcPr>
          <w:p>
            <w:pPr>
              <w:widowControl/>
              <w:jc w:val="center"/>
              <w:rPr>
                <w:rFonts w:hint="eastAsia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非机动车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0.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32</w:t>
            </w:r>
            <w:r>
              <w:rPr>
                <w:rFonts w:hint="eastAsia" w:hAnsi="宋体" w:cs="宋体"/>
                <w:sz w:val="21"/>
                <w:szCs w:val="21"/>
              </w:rPr>
              <w:t>‰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0.2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hAnsi="宋体" w:cs="宋体"/>
                <w:sz w:val="21"/>
                <w:szCs w:val="21"/>
              </w:rPr>
              <w:t>‰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-1"/>
          <w:numId w:val="0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/>
          <w:b w:val="0"/>
          <w:bCs/>
          <w:kern w:val="2"/>
          <w:sz w:val="21"/>
          <w:szCs w:val="21"/>
        </w:rPr>
      </w:pPr>
      <w:r>
        <w:rPr>
          <w:rStyle w:val="10"/>
          <w:rFonts w:hint="eastAsia"/>
          <w:b w:val="0"/>
          <w:bCs/>
          <w:lang w:val="en-US" w:eastAsia="zh-CN"/>
        </w:rPr>
        <w:t>2、团体业务</w:t>
      </w:r>
    </w:p>
    <w:tbl>
      <w:tblPr>
        <w:tblStyle w:val="7"/>
        <w:tblW w:w="65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2"/>
        <w:gridCol w:w="168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172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sz w:val="21"/>
                <w:szCs w:val="21"/>
                <w:lang w:val="en-US" w:eastAsia="zh-CN"/>
              </w:rPr>
              <w:t>交通工具</w:t>
            </w:r>
            <w:r>
              <w:rPr>
                <w:rFonts w:ascii="Times New Roman"/>
                <w:b w:val="0"/>
                <w:bCs/>
                <w:sz w:val="21"/>
                <w:szCs w:val="21"/>
              </w:rPr>
              <w:t>种类</w:t>
            </w:r>
          </w:p>
        </w:tc>
        <w:tc>
          <w:tcPr>
            <w:tcW w:w="336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sz w:val="21"/>
                <w:szCs w:val="21"/>
                <w:lang w:val="en-US" w:eastAsia="zh-CN"/>
              </w:rPr>
              <w:t>保险</w:t>
            </w:r>
            <w:r>
              <w:rPr>
                <w:rFonts w:hint="eastAsia" w:ascii="Times New Roman"/>
                <w:b w:val="0"/>
                <w:bCs/>
                <w:sz w:val="21"/>
                <w:szCs w:val="21"/>
              </w:rPr>
              <w:t>责任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17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/>
                <w:b w:val="0"/>
                <w:bCs/>
                <w:sz w:val="21"/>
                <w:szCs w:val="21"/>
              </w:rPr>
            </w:pP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ascii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sz w:val="21"/>
                <w:szCs w:val="21"/>
              </w:rPr>
              <w:t>意外伤害身故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/>
                <w:b w:val="0"/>
                <w:bCs/>
                <w:sz w:val="21"/>
                <w:szCs w:val="21"/>
              </w:rPr>
              <w:t>意外伤害伤残</w:t>
            </w:r>
            <w:r>
              <w:rPr>
                <w:rFonts w:hint="eastAsia" w:ascii="Times New Roman"/>
                <w:b w:val="0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/>
                <w:b w:val="0"/>
                <w:bCs/>
                <w:sz w:val="21"/>
                <w:szCs w:val="21"/>
                <w:lang w:val="en-US" w:eastAsia="zh-CN"/>
              </w:rPr>
              <w:t>可选</w:t>
            </w:r>
            <w:r>
              <w:rPr>
                <w:rFonts w:hint="eastAsia" w:ascii="Times New Roman"/>
                <w:b w:val="0"/>
                <w:bCs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172" w:type="dxa"/>
            <w:vAlign w:val="center"/>
          </w:tcPr>
          <w:p>
            <w:pPr>
              <w:widowControl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hint="eastAsia" w:ascii="Times New Roman"/>
                <w:sz w:val="21"/>
                <w:szCs w:val="21"/>
              </w:rPr>
              <w:t>民航客机</w:t>
            </w: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="Times New Roman"/>
                <w:sz w:val="21"/>
                <w:szCs w:val="21"/>
              </w:rPr>
              <w:t>商业营运火车</w:t>
            </w:r>
            <w:r>
              <w:rPr>
                <w:rFonts w:hint="eastAsia" w:ascii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Times New Roman"/>
                <w:sz w:val="21"/>
                <w:szCs w:val="21"/>
              </w:rPr>
              <w:t>商业营运</w:t>
            </w: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轮船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0.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052</w:t>
            </w:r>
            <w:r>
              <w:rPr>
                <w:rFonts w:hint="eastAsia" w:hAnsi="宋体" w:cs="宋体"/>
                <w:sz w:val="21"/>
                <w:szCs w:val="21"/>
              </w:rPr>
              <w:t>‰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0.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035</w:t>
            </w:r>
            <w:r>
              <w:rPr>
                <w:rFonts w:hint="eastAsia" w:hAnsi="宋体" w:cs="宋体"/>
                <w:sz w:val="21"/>
                <w:szCs w:val="21"/>
              </w:rPr>
              <w:t>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17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/>
                <w:sz w:val="21"/>
                <w:szCs w:val="21"/>
              </w:rPr>
              <w:t>家庭自用</w:t>
            </w:r>
            <w:r>
              <w:rPr>
                <w:rFonts w:hint="eastAsia" w:ascii="Times New Roman"/>
                <w:sz w:val="21"/>
                <w:szCs w:val="21"/>
              </w:rPr>
              <w:t>汽</w:t>
            </w:r>
            <w:r>
              <w:rPr>
                <w:rFonts w:ascii="Times New Roman"/>
                <w:sz w:val="21"/>
                <w:szCs w:val="21"/>
              </w:rPr>
              <w:t>车、非营业客车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0.24‰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0.16‰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172" w:type="dxa"/>
            <w:vAlign w:val="center"/>
          </w:tcPr>
          <w:p>
            <w:pPr>
              <w:widowControl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营业客车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0.54‰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0.36‰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3172" w:type="dxa"/>
            <w:vAlign w:val="center"/>
          </w:tcPr>
          <w:p>
            <w:pPr>
              <w:widowControl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非营业货车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1.20‰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0.80‰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3172" w:type="dxa"/>
            <w:vAlign w:val="center"/>
          </w:tcPr>
          <w:p>
            <w:pPr>
              <w:widowControl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营业货车、摩托车、拖拉机、特种车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1.38‰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0.92‰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3172" w:type="dxa"/>
            <w:vAlign w:val="center"/>
          </w:tcPr>
          <w:p>
            <w:pPr>
              <w:widowControl/>
              <w:jc w:val="center"/>
              <w:rPr>
                <w:rFonts w:hint="eastAsia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非机动车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0.2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hAnsi="宋体" w:cs="宋体"/>
                <w:sz w:val="21"/>
                <w:szCs w:val="21"/>
              </w:rPr>
              <w:t>‰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0.2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hAnsi="宋体" w:cs="宋体"/>
                <w:sz w:val="21"/>
                <w:szCs w:val="21"/>
              </w:rPr>
              <w:t>‰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ascii="Times New Roman"/>
          <w:b/>
          <w:kern w:val="2"/>
          <w:sz w:val="21"/>
          <w:szCs w:val="21"/>
        </w:rPr>
      </w:pPr>
      <w:r>
        <w:rPr>
          <w:rFonts w:ascii="Times New Roman"/>
          <w:b/>
          <w:kern w:val="2"/>
          <w:sz w:val="21"/>
          <w:szCs w:val="21"/>
        </w:rPr>
        <w:t>二、</w:t>
      </w:r>
      <w:r>
        <w:rPr>
          <w:rFonts w:hint="eastAsia" w:ascii="Times New Roman"/>
          <w:b/>
          <w:kern w:val="2"/>
          <w:sz w:val="21"/>
          <w:szCs w:val="21"/>
        </w:rPr>
        <w:t>费率</w:t>
      </w:r>
      <w:r>
        <w:rPr>
          <w:rFonts w:ascii="Times New Roman"/>
          <w:b/>
          <w:kern w:val="2"/>
          <w:sz w:val="21"/>
          <w:szCs w:val="21"/>
        </w:rPr>
        <w:t>调整系数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/>
          <w:bCs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</w:rPr>
        <w:t>1、人数规模调</w:t>
      </w:r>
      <w:r>
        <w:rPr>
          <w:rFonts w:ascii="Times New Roman"/>
          <w:bCs/>
          <w:kern w:val="2"/>
          <w:sz w:val="21"/>
          <w:szCs w:val="21"/>
        </w:rPr>
        <w:t>整系数：根据客户承保年度人数规模，进行划分。</w:t>
      </w:r>
    </w:p>
    <w:tbl>
      <w:tblPr>
        <w:tblStyle w:val="7"/>
        <w:tblW w:w="74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3"/>
        <w:gridCol w:w="33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sz w:val="21"/>
                <w:szCs w:val="21"/>
              </w:rPr>
            </w:pPr>
            <w:r>
              <w:rPr>
                <w:rFonts w:hint="eastAsia" w:hAnsi="宋体" w:cs="宋体"/>
                <w:b/>
                <w:sz w:val="21"/>
                <w:szCs w:val="21"/>
              </w:rPr>
              <w:t>人数规模</w:t>
            </w:r>
          </w:p>
        </w:tc>
        <w:tc>
          <w:tcPr>
            <w:tcW w:w="3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50（含）以下</w:t>
            </w:r>
          </w:p>
        </w:tc>
        <w:tc>
          <w:tcPr>
            <w:tcW w:w="3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</w:rPr>
              <w:t>(1.0,1.2]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50-100（含）</w:t>
            </w:r>
          </w:p>
        </w:tc>
        <w:tc>
          <w:tcPr>
            <w:tcW w:w="3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</w:rPr>
              <w:t>(0.8,1.0]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100-300（含）</w:t>
            </w:r>
          </w:p>
        </w:tc>
        <w:tc>
          <w:tcPr>
            <w:tcW w:w="3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</w:rPr>
              <w:t>(0.6,0.8]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300-1000（含）</w:t>
            </w:r>
          </w:p>
        </w:tc>
        <w:tc>
          <w:tcPr>
            <w:tcW w:w="3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</w:rPr>
              <w:t>(0.5,0.6]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1000以上</w:t>
            </w:r>
          </w:p>
        </w:tc>
        <w:tc>
          <w:tcPr>
            <w:tcW w:w="3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</w:rPr>
              <w:t>[0.3,0.5]</w:t>
            </w:r>
          </w:p>
        </w:tc>
      </w:tr>
    </w:tbl>
    <w:p>
      <w:pPr>
        <w:spacing w:after="156" w:afterLines="50"/>
        <w:ind w:firstLine="420" w:firstLineChars="200"/>
        <w:rPr>
          <w:rFonts w:hint="default" w:hAnsi="宋体" w:eastAsia="宋体" w:cs="宋体"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kern w:val="2"/>
          <w:sz w:val="21"/>
          <w:szCs w:val="21"/>
          <w:lang w:val="en-US" w:eastAsia="zh-CN"/>
        </w:rPr>
        <w:t>注：该调整系数适用于团体业务。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cs="宋体"/>
          <w:bCs/>
          <w:kern w:val="2"/>
          <w:sz w:val="21"/>
          <w:szCs w:val="20"/>
        </w:rPr>
      </w:pPr>
      <w:r>
        <w:rPr>
          <w:rFonts w:hint="eastAsia" w:hAnsi="宋体" w:cs="宋体"/>
          <w:kern w:val="2"/>
          <w:sz w:val="21"/>
          <w:szCs w:val="21"/>
        </w:rPr>
        <w:t>2、销售渠道调整系数：根据渠道性质，进行划分。</w:t>
      </w:r>
    </w:p>
    <w:tbl>
      <w:tblPr>
        <w:tblStyle w:val="7"/>
        <w:tblW w:w="58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2"/>
        <w:gridCol w:w="26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sz w:val="21"/>
                <w:szCs w:val="21"/>
              </w:rPr>
            </w:pPr>
            <w:r>
              <w:rPr>
                <w:rFonts w:hint="eastAsia" w:hAnsi="宋体" w:cs="宋体"/>
                <w:b/>
                <w:sz w:val="21"/>
                <w:szCs w:val="21"/>
              </w:rPr>
              <w:t>销售渠道</w:t>
            </w:r>
          </w:p>
        </w:tc>
        <w:tc>
          <w:tcPr>
            <w:tcW w:w="2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sz w:val="21"/>
                <w:szCs w:val="21"/>
              </w:rPr>
            </w:pPr>
            <w:r>
              <w:rPr>
                <w:rFonts w:hint="eastAsia" w:hAnsi="宋体" w:cs="宋体"/>
                <w:b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直销业务</w:t>
            </w:r>
          </w:p>
        </w:tc>
        <w:tc>
          <w:tcPr>
            <w:tcW w:w="2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[0.45,1.0]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非直销业务</w:t>
            </w:r>
          </w:p>
        </w:tc>
        <w:tc>
          <w:tcPr>
            <w:tcW w:w="2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[0.9,1.6]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cs="宋体"/>
          <w:bCs/>
          <w:kern w:val="2"/>
          <w:sz w:val="21"/>
          <w:szCs w:val="21"/>
        </w:rPr>
      </w:pPr>
      <w:r>
        <w:rPr>
          <w:rFonts w:hint="eastAsia" w:hAnsi="宋体" w:cs="宋体"/>
          <w:bCs/>
          <w:kern w:val="2"/>
          <w:sz w:val="21"/>
          <w:szCs w:val="21"/>
        </w:rPr>
        <w:t>3、</w:t>
      </w:r>
      <w:r>
        <w:rPr>
          <w:rFonts w:hint="eastAsia" w:hAnsi="宋体" w:cs="宋体"/>
          <w:bCs/>
          <w:kern w:val="2"/>
          <w:sz w:val="21"/>
          <w:szCs w:val="21"/>
          <w:lang w:val="en-US" w:eastAsia="zh-CN"/>
        </w:rPr>
        <w:t>交通工具</w:t>
      </w:r>
      <w:r>
        <w:rPr>
          <w:rFonts w:hint="eastAsia" w:hAnsi="宋体" w:cs="宋体"/>
          <w:bCs/>
          <w:kern w:val="2"/>
          <w:sz w:val="21"/>
          <w:szCs w:val="21"/>
        </w:rPr>
        <w:t>主要行驶区域调整系数：根据</w:t>
      </w:r>
      <w:r>
        <w:rPr>
          <w:rFonts w:hint="eastAsia" w:hAnsi="宋体" w:cs="宋体"/>
          <w:bCs/>
          <w:kern w:val="2"/>
          <w:sz w:val="21"/>
          <w:szCs w:val="21"/>
          <w:lang w:val="en-US" w:eastAsia="zh-CN"/>
        </w:rPr>
        <w:t>交通工具</w:t>
      </w:r>
      <w:r>
        <w:rPr>
          <w:rFonts w:hint="eastAsia" w:hAnsi="宋体" w:cs="宋体"/>
          <w:bCs/>
          <w:kern w:val="2"/>
          <w:sz w:val="21"/>
          <w:szCs w:val="21"/>
        </w:rPr>
        <w:t>行驶区域，进行划分。</w:t>
      </w:r>
    </w:p>
    <w:tbl>
      <w:tblPr>
        <w:tblStyle w:val="7"/>
        <w:tblW w:w="6593" w:type="dxa"/>
        <w:tblInd w:w="8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7"/>
        <w:gridCol w:w="29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b/>
                <w:sz w:val="21"/>
                <w:szCs w:val="21"/>
              </w:rPr>
            </w:pPr>
            <w:r>
              <w:rPr>
                <w:rFonts w:hint="eastAsia" w:hAnsi="宋体" w:cs="宋体"/>
                <w:b/>
                <w:sz w:val="21"/>
                <w:szCs w:val="21"/>
                <w:lang w:val="en-US" w:eastAsia="zh-CN"/>
              </w:rPr>
              <w:t>交通工具主要</w:t>
            </w:r>
            <w:r>
              <w:rPr>
                <w:rFonts w:hint="eastAsia" w:hAnsi="宋体" w:cs="宋体"/>
                <w:b/>
                <w:sz w:val="21"/>
                <w:szCs w:val="21"/>
              </w:rPr>
              <w:t>行驶区域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b/>
                <w:sz w:val="21"/>
                <w:szCs w:val="21"/>
              </w:rPr>
            </w:pPr>
            <w:r>
              <w:rPr>
                <w:rFonts w:hint="eastAsia" w:hAnsi="宋体" w:cs="宋体"/>
                <w:b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市内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[0.3,0.7）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省内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[0.7,1.1）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国内（跨省行驶）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[1.1,1.</w:t>
            </w:r>
            <w:r>
              <w:rPr>
                <w:rFonts w:hint="eastAsia" w:hAnsi="宋体" w:cs="宋体"/>
                <w:bCs/>
                <w:sz w:val="21"/>
                <w:szCs w:val="21"/>
              </w:rPr>
              <w:t>5]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Ansi="宋体" w:cs="宋体"/>
          <w:bCs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</w:rPr>
        <w:t>4、历史赔付率调整</w:t>
      </w:r>
      <w:r>
        <w:rPr>
          <w:rFonts w:hint="eastAsia" w:hAnsi="宋体" w:cs="宋体"/>
          <w:bCs/>
          <w:kern w:val="2"/>
          <w:sz w:val="21"/>
          <w:szCs w:val="21"/>
        </w:rPr>
        <w:t>系数：根据客户近三年赔付率，进行划分。</w:t>
      </w:r>
    </w:p>
    <w:tbl>
      <w:tblPr>
        <w:tblStyle w:val="7"/>
        <w:tblW w:w="6593" w:type="dxa"/>
        <w:tblInd w:w="8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9"/>
        <w:gridCol w:w="29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</w:trPr>
        <w:tc>
          <w:tcPr>
            <w:tcW w:w="3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/>
                <w:sz w:val="21"/>
                <w:szCs w:val="21"/>
              </w:rPr>
              <w:t>历史赔付率</w:t>
            </w:r>
          </w:p>
        </w:tc>
        <w:tc>
          <w:tcPr>
            <w:tcW w:w="2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0%（含）-20%</w:t>
            </w:r>
          </w:p>
        </w:tc>
        <w:tc>
          <w:tcPr>
            <w:tcW w:w="2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[0.3,0.5）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3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20%（含）-30%</w:t>
            </w:r>
          </w:p>
        </w:tc>
        <w:tc>
          <w:tcPr>
            <w:tcW w:w="2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[0.5,0.7）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3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30%（含）-40%</w:t>
            </w:r>
          </w:p>
        </w:tc>
        <w:tc>
          <w:tcPr>
            <w:tcW w:w="2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[0.7,1.0）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3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40%（含）-50%</w:t>
            </w:r>
          </w:p>
        </w:tc>
        <w:tc>
          <w:tcPr>
            <w:tcW w:w="2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[1.0,1.2）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3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50%（含）以上</w:t>
            </w:r>
          </w:p>
        </w:tc>
        <w:tc>
          <w:tcPr>
            <w:tcW w:w="2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[1.2,1.8]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3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无历史赔付数据</w:t>
            </w:r>
          </w:p>
        </w:tc>
        <w:tc>
          <w:tcPr>
            <w:tcW w:w="2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1.0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eastAsia="宋体"/>
          <w:b w:val="0"/>
          <w:bCs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bCs/>
          <w:kern w:val="2"/>
          <w:sz w:val="21"/>
          <w:szCs w:val="21"/>
          <w:lang w:val="en-US" w:eastAsia="zh-CN"/>
        </w:rPr>
        <w:t>5、城市交通秩序风险调</w:t>
      </w:r>
      <w:r>
        <w:rPr>
          <w:rFonts w:hint="eastAsia" w:ascii="Times New Roman"/>
          <w:b w:val="0"/>
          <w:bCs/>
          <w:kern w:val="2"/>
          <w:sz w:val="21"/>
          <w:szCs w:val="21"/>
          <w:lang w:val="en-US" w:eastAsia="zh-CN"/>
        </w:rPr>
        <w:t>整系数</w:t>
      </w:r>
      <w:r>
        <w:rPr>
          <w:rFonts w:hint="eastAsia" w:hAnsi="宋体" w:cs="宋体"/>
          <w:b w:val="0"/>
          <w:bCs/>
          <w:sz w:val="21"/>
          <w:szCs w:val="21"/>
          <w:lang w:eastAsia="zh-CN"/>
        </w:rPr>
        <w:t>：</w:t>
      </w:r>
      <w:r>
        <w:rPr>
          <w:rFonts w:hint="eastAsia" w:hAnsi="宋体" w:cs="宋体"/>
          <w:b w:val="0"/>
          <w:bCs/>
          <w:sz w:val="21"/>
          <w:szCs w:val="21"/>
          <w:lang w:val="en-US" w:eastAsia="zh-CN"/>
        </w:rPr>
        <w:t>根据城市交通秩序风险进行划分。</w:t>
      </w:r>
    </w:p>
    <w:tbl>
      <w:tblPr>
        <w:tblStyle w:val="8"/>
        <w:tblW w:w="0" w:type="auto"/>
        <w:tblInd w:w="8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9"/>
        <w:gridCol w:w="3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3439" w:type="dxa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b/>
                <w:bCs w:val="0"/>
                <w:kern w:val="2"/>
                <w:sz w:val="21"/>
                <w:szCs w:val="21"/>
                <w:lang w:val="en-US" w:eastAsia="zh-CN"/>
              </w:rPr>
              <w:t>城市交通秩序风险</w:t>
            </w:r>
            <w:r>
              <w:rPr>
                <w:rFonts w:hint="eastAsia" w:hAnsi="宋体" w:cs="宋体"/>
                <w:b/>
                <w:bCs/>
                <w:sz w:val="21"/>
                <w:szCs w:val="21"/>
                <w:lang w:val="en-US" w:eastAsia="zh-CN"/>
              </w:rPr>
              <w:t>等级</w:t>
            </w:r>
          </w:p>
        </w:tc>
        <w:tc>
          <w:tcPr>
            <w:tcW w:w="3226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9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低风险</w:t>
            </w:r>
          </w:p>
        </w:tc>
        <w:tc>
          <w:tcPr>
            <w:tcW w:w="3226" w:type="dxa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0.9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9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中风险</w:t>
            </w:r>
          </w:p>
        </w:tc>
        <w:tc>
          <w:tcPr>
            <w:tcW w:w="3226" w:type="dxa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kern w:val="2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,1.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9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高风险</w:t>
            </w:r>
          </w:p>
        </w:tc>
        <w:tc>
          <w:tcPr>
            <w:tcW w:w="3226" w:type="dxa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1.3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eastAsia="宋体"/>
          <w:b w:val="0"/>
          <w:bCs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bCs/>
          <w:kern w:val="2"/>
          <w:sz w:val="21"/>
          <w:szCs w:val="21"/>
          <w:lang w:val="en-US" w:eastAsia="zh-CN"/>
        </w:rPr>
        <w:t>6、出行频</w:t>
      </w:r>
      <w:r>
        <w:rPr>
          <w:rFonts w:hint="eastAsia" w:ascii="Times New Roman"/>
          <w:b w:val="0"/>
          <w:bCs/>
          <w:kern w:val="2"/>
          <w:sz w:val="21"/>
          <w:szCs w:val="21"/>
          <w:lang w:val="en-US" w:eastAsia="zh-CN"/>
        </w:rPr>
        <w:t>率调整系数</w:t>
      </w:r>
      <w:r>
        <w:rPr>
          <w:rFonts w:hint="eastAsia" w:hAnsi="宋体" w:cs="宋体"/>
          <w:b w:val="0"/>
          <w:bCs/>
          <w:sz w:val="21"/>
          <w:szCs w:val="21"/>
          <w:lang w:eastAsia="zh-CN"/>
        </w:rPr>
        <w:t>：</w:t>
      </w:r>
      <w:r>
        <w:rPr>
          <w:rFonts w:hint="eastAsia" w:hAnsi="宋体" w:cs="宋体"/>
          <w:b w:val="0"/>
          <w:bCs/>
          <w:sz w:val="21"/>
          <w:szCs w:val="21"/>
          <w:lang w:val="en-US" w:eastAsia="zh-CN"/>
        </w:rPr>
        <w:t>根据被保险人出行频率进行划分。</w:t>
      </w:r>
    </w:p>
    <w:tbl>
      <w:tblPr>
        <w:tblStyle w:val="8"/>
        <w:tblW w:w="0" w:type="auto"/>
        <w:tblInd w:w="8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9"/>
        <w:gridCol w:w="3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9" w:type="dxa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  <w:lang w:val="en-US" w:eastAsia="zh-CN"/>
              </w:rPr>
              <w:t>出行频率</w:t>
            </w:r>
          </w:p>
        </w:tc>
        <w:tc>
          <w:tcPr>
            <w:tcW w:w="3226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9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低</w:t>
            </w:r>
          </w:p>
        </w:tc>
        <w:tc>
          <w:tcPr>
            <w:tcW w:w="3226" w:type="dxa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0.4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0.7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9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中</w:t>
            </w:r>
          </w:p>
        </w:tc>
        <w:tc>
          <w:tcPr>
            <w:tcW w:w="3226" w:type="dxa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kern w:val="2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,1.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9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高</w:t>
            </w:r>
          </w:p>
        </w:tc>
        <w:tc>
          <w:tcPr>
            <w:tcW w:w="3226" w:type="dxa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1.0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1.5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]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ascii="Times New Roman"/>
          <w:b/>
          <w:kern w:val="2"/>
          <w:sz w:val="21"/>
          <w:szCs w:val="21"/>
        </w:rPr>
      </w:pPr>
      <w:r>
        <w:rPr>
          <w:rFonts w:ascii="Times New Roman"/>
          <w:b/>
          <w:kern w:val="2"/>
          <w:sz w:val="21"/>
          <w:szCs w:val="21"/>
        </w:rPr>
        <w:t>三、保险费计算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hAnsi="宋体" w:cs="宋体"/>
          <w:bCs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bCs/>
          <w:kern w:val="2"/>
          <w:sz w:val="21"/>
          <w:szCs w:val="21"/>
          <w:lang w:val="en-US" w:eastAsia="zh-CN"/>
        </w:rPr>
        <w:t>1、个人业务保险费计算方式：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eastAsia="宋体"/>
          <w:kern w:val="2"/>
          <w:sz w:val="21"/>
          <w:szCs w:val="21"/>
          <w:lang w:val="en-US" w:eastAsia="zh-CN"/>
        </w:rPr>
      </w:pPr>
      <w:r>
        <w:rPr>
          <w:rFonts w:hint="eastAsia" w:ascii="Times New Roman" w:cs="宋体"/>
          <w:kern w:val="2"/>
          <w:sz w:val="21"/>
          <w:szCs w:val="21"/>
          <w:lang w:val="en-US" w:eastAsia="zh-CN"/>
        </w:rPr>
        <w:t>意外伤害身故</w:t>
      </w:r>
      <w:r>
        <w:rPr>
          <w:rFonts w:ascii="Times New Roman"/>
          <w:kern w:val="2"/>
          <w:sz w:val="21"/>
          <w:szCs w:val="21"/>
        </w:rPr>
        <w:t>年保险费＝</w:t>
      </w:r>
      <w:r>
        <w:rPr>
          <w:rFonts w:hint="eastAsia" w:ascii="Times New Roman"/>
          <w:kern w:val="2"/>
          <w:sz w:val="21"/>
          <w:szCs w:val="21"/>
          <w:lang w:val="en-US" w:eastAsia="zh-CN"/>
        </w:rPr>
        <w:t>年</w:t>
      </w:r>
      <w:r>
        <w:rPr>
          <w:rFonts w:ascii="Times New Roman"/>
          <w:kern w:val="2"/>
          <w:sz w:val="21"/>
          <w:szCs w:val="21"/>
        </w:rPr>
        <w:t>保险金额×</w:t>
      </w:r>
      <w:r>
        <w:rPr>
          <w:rFonts w:hint="eastAsia" w:hAnsi="宋体" w:cs="宋体"/>
          <w:kern w:val="2"/>
          <w:sz w:val="21"/>
          <w:szCs w:val="21"/>
        </w:rPr>
        <w:t>年基准费率</w:t>
      </w:r>
      <w:r>
        <w:rPr>
          <w:rFonts w:ascii="Times New Roman"/>
          <w:kern w:val="2"/>
          <w:sz w:val="21"/>
          <w:szCs w:val="21"/>
        </w:rPr>
        <w:t>×</w:t>
      </w:r>
      <w:r>
        <w:rPr>
          <w:rFonts w:hint="eastAsia" w:hAnsi="宋体" w:cs="宋体"/>
          <w:kern w:val="2"/>
          <w:sz w:val="21"/>
          <w:szCs w:val="21"/>
        </w:rPr>
        <w:t>销售渠道调整系数</w:t>
      </w:r>
      <w:r>
        <w:rPr>
          <w:rFonts w:ascii="Times New Roman"/>
          <w:kern w:val="2"/>
          <w:sz w:val="21"/>
          <w:szCs w:val="21"/>
        </w:rPr>
        <w:t>×</w:t>
      </w:r>
      <w:r>
        <w:rPr>
          <w:rFonts w:hint="eastAsia" w:hAnsi="宋体" w:cs="宋体"/>
          <w:bCs/>
          <w:kern w:val="2"/>
          <w:sz w:val="21"/>
          <w:szCs w:val="21"/>
        </w:rPr>
        <w:t>主要行驶区域调整系数</w:t>
      </w:r>
      <w:r>
        <w:rPr>
          <w:rFonts w:ascii="Times New Roman"/>
          <w:kern w:val="2"/>
          <w:sz w:val="21"/>
          <w:szCs w:val="21"/>
        </w:rPr>
        <w:t>×</w:t>
      </w:r>
      <w:r>
        <w:rPr>
          <w:rFonts w:hint="eastAsia" w:hAnsi="宋体" w:cs="宋体"/>
          <w:bCs/>
          <w:kern w:val="2"/>
          <w:sz w:val="21"/>
          <w:szCs w:val="21"/>
        </w:rPr>
        <w:t>历史赔付率调整系数</w:t>
      </w:r>
      <w:r>
        <w:rPr>
          <w:rFonts w:ascii="Times New Roman"/>
          <w:kern w:val="2"/>
          <w:sz w:val="21"/>
          <w:szCs w:val="21"/>
        </w:rPr>
        <w:t>×</w:t>
      </w:r>
      <w:r>
        <w:rPr>
          <w:rFonts w:hint="eastAsia" w:ascii="Times New Roman"/>
          <w:b w:val="0"/>
          <w:bCs/>
          <w:kern w:val="2"/>
          <w:sz w:val="21"/>
          <w:szCs w:val="21"/>
          <w:lang w:val="en-US" w:eastAsia="zh-CN"/>
        </w:rPr>
        <w:t>当地交通秩序风险调整系数</w:t>
      </w:r>
      <w:r>
        <w:rPr>
          <w:rFonts w:ascii="Times New Roman"/>
          <w:kern w:val="2"/>
          <w:sz w:val="21"/>
          <w:szCs w:val="21"/>
        </w:rPr>
        <w:t>×</w:t>
      </w:r>
      <w:r>
        <w:rPr>
          <w:rFonts w:hint="eastAsia" w:ascii="Times New Roman"/>
          <w:b w:val="0"/>
          <w:bCs/>
          <w:kern w:val="2"/>
          <w:sz w:val="21"/>
          <w:szCs w:val="21"/>
          <w:lang w:val="en-US" w:eastAsia="zh-CN"/>
        </w:rPr>
        <w:t>被保险人出行频率调整系数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/>
          <w:kern w:val="2"/>
          <w:sz w:val="21"/>
          <w:szCs w:val="21"/>
        </w:rPr>
      </w:pPr>
      <w:r>
        <w:rPr>
          <w:rFonts w:hint="eastAsia" w:ascii="Times New Roman" w:cs="宋体"/>
          <w:kern w:val="2"/>
          <w:sz w:val="21"/>
          <w:szCs w:val="21"/>
          <w:lang w:val="en-US" w:eastAsia="zh-CN"/>
        </w:rPr>
        <w:t>意外伤害伤残</w:t>
      </w:r>
      <w:r>
        <w:rPr>
          <w:rFonts w:ascii="Times New Roman"/>
          <w:kern w:val="2"/>
          <w:sz w:val="21"/>
          <w:szCs w:val="21"/>
        </w:rPr>
        <w:t>年保险费</w:t>
      </w:r>
      <w:r>
        <w:rPr>
          <w:rFonts w:hint="eastAsia" w:ascii="Times New Roman"/>
          <w:kern w:val="2"/>
          <w:sz w:val="21"/>
          <w:szCs w:val="21"/>
          <w:lang w:eastAsia="zh-CN"/>
        </w:rPr>
        <w:t>（</w:t>
      </w:r>
      <w:r>
        <w:rPr>
          <w:rFonts w:hint="eastAsia" w:ascii="Times New Roman"/>
          <w:kern w:val="2"/>
          <w:sz w:val="21"/>
          <w:szCs w:val="21"/>
          <w:lang w:val="en-US" w:eastAsia="zh-CN"/>
        </w:rPr>
        <w:t>可选</w:t>
      </w:r>
      <w:r>
        <w:rPr>
          <w:rFonts w:hint="eastAsia" w:ascii="Times New Roman"/>
          <w:kern w:val="2"/>
          <w:sz w:val="21"/>
          <w:szCs w:val="21"/>
          <w:lang w:eastAsia="zh-CN"/>
        </w:rPr>
        <w:t>）</w:t>
      </w:r>
      <w:r>
        <w:rPr>
          <w:rFonts w:ascii="Times New Roman"/>
          <w:kern w:val="2"/>
          <w:sz w:val="21"/>
          <w:szCs w:val="21"/>
        </w:rPr>
        <w:t>＝</w:t>
      </w:r>
      <w:r>
        <w:rPr>
          <w:rFonts w:hint="eastAsia" w:ascii="Times New Roman"/>
          <w:kern w:val="2"/>
          <w:sz w:val="21"/>
          <w:szCs w:val="21"/>
          <w:lang w:val="en-US" w:eastAsia="zh-CN"/>
        </w:rPr>
        <w:t>年</w:t>
      </w:r>
      <w:r>
        <w:rPr>
          <w:rFonts w:ascii="Times New Roman"/>
          <w:kern w:val="2"/>
          <w:sz w:val="21"/>
          <w:szCs w:val="21"/>
        </w:rPr>
        <w:t>保险金额×</w:t>
      </w:r>
      <w:r>
        <w:rPr>
          <w:rFonts w:hint="eastAsia" w:hAnsi="宋体" w:cs="宋体"/>
          <w:kern w:val="2"/>
          <w:sz w:val="21"/>
          <w:szCs w:val="21"/>
        </w:rPr>
        <w:t>年基准费率</w:t>
      </w:r>
      <w:r>
        <w:rPr>
          <w:rFonts w:ascii="Times New Roman"/>
          <w:kern w:val="2"/>
          <w:sz w:val="21"/>
          <w:szCs w:val="21"/>
        </w:rPr>
        <w:t>×</w:t>
      </w:r>
      <w:r>
        <w:rPr>
          <w:rFonts w:hint="eastAsia" w:hAnsi="宋体" w:cs="宋体"/>
          <w:kern w:val="2"/>
          <w:sz w:val="21"/>
          <w:szCs w:val="21"/>
        </w:rPr>
        <w:t>销售渠道调整系数</w:t>
      </w:r>
      <w:r>
        <w:rPr>
          <w:rFonts w:ascii="Times New Roman"/>
          <w:kern w:val="2"/>
          <w:sz w:val="21"/>
          <w:szCs w:val="21"/>
        </w:rPr>
        <w:t>×</w:t>
      </w:r>
      <w:r>
        <w:rPr>
          <w:rFonts w:hint="eastAsia" w:hAnsi="宋体" w:cs="宋体"/>
          <w:bCs/>
          <w:kern w:val="2"/>
          <w:sz w:val="21"/>
          <w:szCs w:val="21"/>
        </w:rPr>
        <w:t>主要行驶区域调整系数</w:t>
      </w:r>
      <w:r>
        <w:rPr>
          <w:rFonts w:ascii="Times New Roman"/>
          <w:kern w:val="2"/>
          <w:sz w:val="21"/>
          <w:szCs w:val="21"/>
        </w:rPr>
        <w:t>×</w:t>
      </w:r>
      <w:r>
        <w:rPr>
          <w:rFonts w:hint="eastAsia" w:hAnsi="宋体" w:cs="宋体"/>
          <w:bCs/>
          <w:kern w:val="2"/>
          <w:sz w:val="21"/>
          <w:szCs w:val="21"/>
        </w:rPr>
        <w:t>历史赔付率调整系数</w:t>
      </w:r>
      <w:r>
        <w:rPr>
          <w:rFonts w:ascii="Times New Roman"/>
          <w:kern w:val="2"/>
          <w:sz w:val="21"/>
          <w:szCs w:val="21"/>
        </w:rPr>
        <w:t>×</w:t>
      </w:r>
      <w:r>
        <w:rPr>
          <w:rFonts w:hint="eastAsia" w:ascii="Times New Roman"/>
          <w:b w:val="0"/>
          <w:bCs/>
          <w:kern w:val="2"/>
          <w:sz w:val="21"/>
          <w:szCs w:val="21"/>
          <w:lang w:val="en-US" w:eastAsia="zh-CN"/>
        </w:rPr>
        <w:t>当地交通秩序风险调整系数</w:t>
      </w:r>
      <w:r>
        <w:rPr>
          <w:rFonts w:ascii="Times New Roman"/>
          <w:kern w:val="2"/>
          <w:sz w:val="21"/>
          <w:szCs w:val="21"/>
        </w:rPr>
        <w:t>×</w:t>
      </w:r>
      <w:r>
        <w:rPr>
          <w:rFonts w:hint="eastAsia" w:ascii="Times New Roman"/>
          <w:b w:val="0"/>
          <w:bCs/>
          <w:kern w:val="2"/>
          <w:sz w:val="21"/>
          <w:szCs w:val="21"/>
          <w:lang w:val="en-US" w:eastAsia="zh-CN"/>
        </w:rPr>
        <w:t>被保险人出行频率调整系数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eastAsia="宋体"/>
          <w:kern w:val="2"/>
          <w:sz w:val="21"/>
          <w:szCs w:val="21"/>
          <w:lang w:eastAsia="zh-CN"/>
        </w:rPr>
      </w:pPr>
      <w:r>
        <w:rPr>
          <w:rFonts w:hint="eastAsia" w:ascii="Times New Roman"/>
          <w:kern w:val="2"/>
          <w:sz w:val="21"/>
          <w:szCs w:val="21"/>
          <w:lang w:val="en-US" w:eastAsia="zh-CN"/>
        </w:rPr>
        <w:t>年保险费=</w:t>
      </w:r>
      <w:r>
        <w:rPr>
          <w:rFonts w:hint="eastAsia" w:ascii="Times New Roman" w:cs="宋体"/>
          <w:kern w:val="2"/>
          <w:sz w:val="21"/>
          <w:szCs w:val="21"/>
          <w:lang w:val="en-US" w:eastAsia="zh-CN"/>
        </w:rPr>
        <w:t>意外伤害身故</w:t>
      </w:r>
      <w:r>
        <w:rPr>
          <w:rFonts w:ascii="Times New Roman"/>
          <w:kern w:val="2"/>
          <w:sz w:val="21"/>
          <w:szCs w:val="21"/>
        </w:rPr>
        <w:t>年保险费</w:t>
      </w:r>
      <w:r>
        <w:rPr>
          <w:rFonts w:hint="eastAsia" w:ascii="Times New Roman"/>
          <w:kern w:val="2"/>
          <w:sz w:val="21"/>
          <w:szCs w:val="21"/>
          <w:lang w:val="en-US" w:eastAsia="zh-CN"/>
        </w:rPr>
        <w:t>+</w:t>
      </w:r>
      <w:r>
        <w:rPr>
          <w:rFonts w:hint="eastAsia" w:ascii="Times New Roman" w:cs="宋体"/>
          <w:kern w:val="2"/>
          <w:sz w:val="21"/>
          <w:szCs w:val="21"/>
          <w:lang w:val="en-US" w:eastAsia="zh-CN"/>
        </w:rPr>
        <w:t>意外伤害伤残</w:t>
      </w:r>
      <w:r>
        <w:rPr>
          <w:rFonts w:ascii="Times New Roman"/>
          <w:kern w:val="2"/>
          <w:sz w:val="21"/>
          <w:szCs w:val="21"/>
        </w:rPr>
        <w:t>年保险费</w:t>
      </w:r>
      <w:r>
        <w:rPr>
          <w:rFonts w:hint="eastAsia" w:ascii="Times New Roman"/>
          <w:kern w:val="2"/>
          <w:sz w:val="21"/>
          <w:szCs w:val="21"/>
          <w:lang w:eastAsia="zh-CN"/>
        </w:rPr>
        <w:t>（</w:t>
      </w:r>
      <w:r>
        <w:rPr>
          <w:rFonts w:hint="eastAsia" w:ascii="Times New Roman"/>
          <w:kern w:val="2"/>
          <w:sz w:val="21"/>
          <w:szCs w:val="21"/>
          <w:lang w:val="en-US" w:eastAsia="zh-CN"/>
        </w:rPr>
        <w:t>可选</w:t>
      </w:r>
      <w:r>
        <w:rPr>
          <w:rFonts w:hint="eastAsia" w:ascii="Times New Roman"/>
          <w:kern w:val="2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hAnsi="宋体" w:cs="宋体"/>
          <w:bCs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bCs/>
          <w:kern w:val="2"/>
          <w:sz w:val="21"/>
          <w:szCs w:val="21"/>
          <w:lang w:val="en-US" w:eastAsia="zh-CN"/>
        </w:rPr>
        <w:t>2、团体业务保险费计算方式：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  <w:bCs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bCs/>
          <w:kern w:val="2"/>
          <w:sz w:val="21"/>
          <w:szCs w:val="21"/>
          <w:lang w:val="en-US" w:eastAsia="zh-CN"/>
        </w:rPr>
        <w:t>每一被保险人的意外伤害身故年保险费＝年保险金额×年基准费率×人数规模调整系数×销售渠道调整系数×主要行驶区域调整系数×历史赔付率调整系数×当地交通秩序风险调整系数×被保险人出行频率调整系数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  <w:bCs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bCs/>
          <w:kern w:val="2"/>
          <w:sz w:val="21"/>
          <w:szCs w:val="21"/>
          <w:lang w:val="en-US" w:eastAsia="zh-CN"/>
        </w:rPr>
        <w:t>每一被保险人的意外伤害伤残年保险费</w:t>
      </w:r>
      <w:r>
        <w:rPr>
          <w:rFonts w:hint="eastAsia" w:ascii="Times New Roman"/>
          <w:kern w:val="2"/>
          <w:sz w:val="21"/>
          <w:szCs w:val="21"/>
          <w:lang w:eastAsia="zh-CN"/>
        </w:rPr>
        <w:t>（</w:t>
      </w:r>
      <w:r>
        <w:rPr>
          <w:rFonts w:hint="eastAsia" w:ascii="Times New Roman"/>
          <w:kern w:val="2"/>
          <w:sz w:val="21"/>
          <w:szCs w:val="21"/>
          <w:lang w:val="en-US" w:eastAsia="zh-CN"/>
        </w:rPr>
        <w:t>可选</w:t>
      </w:r>
      <w:r>
        <w:rPr>
          <w:rFonts w:hint="eastAsia" w:ascii="Times New Roman"/>
          <w:kern w:val="2"/>
          <w:sz w:val="21"/>
          <w:szCs w:val="21"/>
          <w:lang w:eastAsia="zh-CN"/>
        </w:rPr>
        <w:t>）</w:t>
      </w:r>
      <w:r>
        <w:rPr>
          <w:rFonts w:hint="eastAsia" w:hAnsi="宋体" w:cs="宋体"/>
          <w:bCs/>
          <w:kern w:val="2"/>
          <w:sz w:val="21"/>
          <w:szCs w:val="21"/>
          <w:lang w:val="en-US" w:eastAsia="zh-CN"/>
        </w:rPr>
        <w:t>＝年保险金额×年基准费率×人数规模调整系数×销售渠道调整系数×主要行驶区域调整系数×历史赔付率调整系数×当地交通秩序风险调整系数×被保险人出行频率调整系数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  <w:bCs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bCs/>
          <w:kern w:val="2"/>
          <w:sz w:val="21"/>
          <w:szCs w:val="21"/>
          <w:lang w:val="en-US" w:eastAsia="zh-CN"/>
        </w:rPr>
        <w:t>每一被保险人的年保险费=每一被保险人的意外伤害身故年保险费+每一被保险人的意外伤害伤残年保险费</w:t>
      </w:r>
      <w:r>
        <w:rPr>
          <w:rFonts w:hint="eastAsia" w:ascii="Times New Roman"/>
          <w:kern w:val="2"/>
          <w:sz w:val="21"/>
          <w:szCs w:val="21"/>
          <w:lang w:eastAsia="zh-CN"/>
        </w:rPr>
        <w:t>（</w:t>
      </w:r>
      <w:r>
        <w:rPr>
          <w:rFonts w:hint="eastAsia" w:ascii="Times New Roman"/>
          <w:kern w:val="2"/>
          <w:sz w:val="21"/>
          <w:szCs w:val="21"/>
          <w:lang w:val="en-US" w:eastAsia="zh-CN"/>
        </w:rPr>
        <w:t>可选</w:t>
      </w:r>
      <w:r>
        <w:rPr>
          <w:rFonts w:hint="eastAsia" w:ascii="Times New Roman"/>
          <w:kern w:val="2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cs="宋体"/>
          <w:bCs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bCs/>
          <w:kern w:val="2"/>
          <w:sz w:val="21"/>
          <w:szCs w:val="21"/>
          <w:lang w:val="en-US" w:eastAsia="zh-CN"/>
        </w:rPr>
        <w:t>年保险费=每一被保险人的年保险费之和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ascii="Times New Roman"/>
          <w:b/>
          <w:kern w:val="2"/>
          <w:sz w:val="21"/>
          <w:szCs w:val="21"/>
        </w:rPr>
      </w:pPr>
      <w:r>
        <w:rPr>
          <w:rFonts w:ascii="Times New Roman"/>
          <w:b/>
          <w:kern w:val="2"/>
          <w:sz w:val="21"/>
          <w:szCs w:val="21"/>
        </w:rPr>
        <w:t>四、短期费率表</w:t>
      </w:r>
    </w:p>
    <w:p>
      <w:pPr>
        <w:widowControl/>
        <w:spacing w:after="156" w:afterLines="50"/>
        <w:ind w:firstLine="420" w:firstLineChars="200"/>
        <w:rPr>
          <w:rFonts w:ascii="Times New Roman"/>
          <w:kern w:val="2"/>
          <w:sz w:val="21"/>
          <w:szCs w:val="21"/>
        </w:rPr>
      </w:pPr>
      <w:r>
        <w:rPr>
          <w:rFonts w:ascii="Times New Roman"/>
          <w:kern w:val="2"/>
          <w:sz w:val="21"/>
          <w:szCs w:val="21"/>
        </w:rPr>
        <w:t>保险期间不足一年的，按以下标准计算短期保险费（按年保险费的百分比计算，不足一个月的按一个月计算）</w:t>
      </w:r>
      <w:r>
        <w:rPr>
          <w:rFonts w:hint="eastAsia" w:ascii="Times New Roman"/>
          <w:kern w:val="2"/>
          <w:sz w:val="21"/>
          <w:szCs w:val="21"/>
        </w:rPr>
        <w:t>。</w:t>
      </w:r>
    </w:p>
    <w:tbl>
      <w:tblPr>
        <w:tblStyle w:val="7"/>
        <w:tblW w:w="82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976" w:type="dxa"/>
            <w:vAlign w:val="center"/>
          </w:tcPr>
          <w:p>
            <w:pPr>
              <w:jc w:val="center"/>
              <w:rPr>
                <w:rFonts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保险期间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一个月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二个月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三个月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四个月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五个月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六个月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七个月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八个月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九个月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十个月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十一个月</w:t>
            </w:r>
          </w:p>
        </w:tc>
        <w:tc>
          <w:tcPr>
            <w:tcW w:w="706" w:type="dxa"/>
            <w:vAlign w:val="center"/>
          </w:tcPr>
          <w:p>
            <w:pPr>
              <w:jc w:val="center"/>
              <w:rPr>
                <w:rFonts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十</w:t>
            </w:r>
          </w:p>
          <w:p>
            <w:pPr>
              <w:jc w:val="center"/>
              <w:rPr>
                <w:rFonts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二</w:t>
            </w:r>
          </w:p>
          <w:p>
            <w:pPr>
              <w:jc w:val="center"/>
              <w:rPr>
                <w:rFonts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个</w:t>
            </w:r>
          </w:p>
          <w:p>
            <w:pPr>
              <w:jc w:val="center"/>
              <w:rPr>
                <w:rFonts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6" w:type="dxa"/>
            <w:vAlign w:val="center"/>
          </w:tcPr>
          <w:p>
            <w:pPr>
              <w:jc w:val="center"/>
              <w:rPr>
                <w:rFonts w:ascii="Times New Roman"/>
                <w:kern w:val="2"/>
                <w:sz w:val="21"/>
                <w:szCs w:val="21"/>
              </w:rPr>
            </w:pPr>
            <w:r>
              <w:rPr>
                <w:rFonts w:ascii="Times New Roman"/>
                <w:kern w:val="2"/>
                <w:sz w:val="21"/>
                <w:szCs w:val="21"/>
              </w:rPr>
              <w:t>年保险费的百分比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10%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20%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30%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40%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50%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60%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70%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80%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85%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90%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95%</w:t>
            </w:r>
          </w:p>
        </w:tc>
        <w:tc>
          <w:tcPr>
            <w:tcW w:w="706" w:type="dxa"/>
            <w:vAlign w:val="center"/>
          </w:tcPr>
          <w:p>
            <w:pPr>
              <w:jc w:val="center"/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/>
                <w:b w:val="0"/>
                <w:bCs/>
                <w:kern w:val="2"/>
                <w:sz w:val="21"/>
                <w:szCs w:val="21"/>
              </w:rPr>
              <w:t>100%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OTg0ZTg2NjA3ZGU0MTY2MmU0Yjk5YzMyNzRlOGMifQ=="/>
  </w:docVars>
  <w:rsids>
    <w:rsidRoot w:val="000748F2"/>
    <w:rsid w:val="0001765F"/>
    <w:rsid w:val="000748F2"/>
    <w:rsid w:val="00101F75"/>
    <w:rsid w:val="00123759"/>
    <w:rsid w:val="004A3958"/>
    <w:rsid w:val="005118BF"/>
    <w:rsid w:val="007072FA"/>
    <w:rsid w:val="0071184B"/>
    <w:rsid w:val="008E2494"/>
    <w:rsid w:val="00B02E7C"/>
    <w:rsid w:val="00B84D0A"/>
    <w:rsid w:val="00CC0929"/>
    <w:rsid w:val="00CF5636"/>
    <w:rsid w:val="00E575CA"/>
    <w:rsid w:val="00ED508A"/>
    <w:rsid w:val="048542B5"/>
    <w:rsid w:val="08AC3846"/>
    <w:rsid w:val="0C457A97"/>
    <w:rsid w:val="0F471D2A"/>
    <w:rsid w:val="137C4B33"/>
    <w:rsid w:val="144D66E9"/>
    <w:rsid w:val="1503378F"/>
    <w:rsid w:val="16696ECF"/>
    <w:rsid w:val="175D60D7"/>
    <w:rsid w:val="1A5C3D10"/>
    <w:rsid w:val="1AFB4A68"/>
    <w:rsid w:val="1B6478EC"/>
    <w:rsid w:val="1CC75D47"/>
    <w:rsid w:val="1E8872C6"/>
    <w:rsid w:val="221F7848"/>
    <w:rsid w:val="246246CB"/>
    <w:rsid w:val="25EE5FCD"/>
    <w:rsid w:val="27B10680"/>
    <w:rsid w:val="310D12A9"/>
    <w:rsid w:val="313169A2"/>
    <w:rsid w:val="33D26ADA"/>
    <w:rsid w:val="3A015F9F"/>
    <w:rsid w:val="3A484FB4"/>
    <w:rsid w:val="3C17201C"/>
    <w:rsid w:val="3C594BB4"/>
    <w:rsid w:val="414C155A"/>
    <w:rsid w:val="42CF77E7"/>
    <w:rsid w:val="45AB0B3E"/>
    <w:rsid w:val="4AC543EC"/>
    <w:rsid w:val="4CBC3861"/>
    <w:rsid w:val="50A006DC"/>
    <w:rsid w:val="516B614C"/>
    <w:rsid w:val="51AD600C"/>
    <w:rsid w:val="549D10D4"/>
    <w:rsid w:val="58CB70A7"/>
    <w:rsid w:val="59E37648"/>
    <w:rsid w:val="5D3C274B"/>
    <w:rsid w:val="5F2E2567"/>
    <w:rsid w:val="60AA4872"/>
    <w:rsid w:val="60FC0087"/>
    <w:rsid w:val="6160607C"/>
    <w:rsid w:val="635E7EDA"/>
    <w:rsid w:val="65BF5A3E"/>
    <w:rsid w:val="669D235F"/>
    <w:rsid w:val="67760426"/>
    <w:rsid w:val="67A817FC"/>
    <w:rsid w:val="67F4131E"/>
    <w:rsid w:val="6E0B7F04"/>
    <w:rsid w:val="6E532CE5"/>
    <w:rsid w:val="6F9D088B"/>
    <w:rsid w:val="6FF037A4"/>
    <w:rsid w:val="70721B97"/>
    <w:rsid w:val="747618F4"/>
    <w:rsid w:val="77925F69"/>
    <w:rsid w:val="797E3479"/>
    <w:rsid w:val="7BA1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12">
    <w:name w:val="页脚 字符"/>
    <w:basedOn w:val="9"/>
    <w:link w:val="4"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13">
    <w:name w:val="批注文字 字符"/>
    <w:basedOn w:val="9"/>
    <w:link w:val="2"/>
    <w:qFormat/>
    <w:uiPriority w:val="0"/>
    <w:rPr>
      <w:rFonts w:ascii="宋体" w:hAnsi="Times New Roman" w:eastAsia="宋体" w:cs="Times New Roman"/>
      <w:sz w:val="34"/>
      <w:szCs w:val="22"/>
    </w:rPr>
  </w:style>
  <w:style w:type="character" w:customStyle="1" w:styleId="14">
    <w:name w:val="批注主题 字符"/>
    <w:basedOn w:val="13"/>
    <w:link w:val="6"/>
    <w:qFormat/>
    <w:uiPriority w:val="0"/>
    <w:rPr>
      <w:rFonts w:ascii="宋体" w:hAnsi="Times New Roman" w:eastAsia="宋体" w:cs="Times New Roman"/>
      <w:b/>
      <w:bCs/>
      <w:sz w:val="34"/>
      <w:szCs w:val="22"/>
    </w:rPr>
  </w:style>
  <w:style w:type="character" w:customStyle="1" w:styleId="15">
    <w:name w:val="批注框文本 字符"/>
    <w:basedOn w:val="9"/>
    <w:link w:val="3"/>
    <w:qFormat/>
    <w:uiPriority w:val="0"/>
    <w:rPr>
      <w:rFonts w:ascii="宋体" w:hAnsi="Times New Roman" w:eastAsia="宋体" w:cs="Times New Roman"/>
      <w:sz w:val="18"/>
      <w:szCs w:val="18"/>
    </w:rPr>
  </w:style>
  <w:style w:type="paragraph" w:customStyle="1" w:styleId="16">
    <w:name w:val="Revision"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1224</Words>
  <Characters>1531</Characters>
  <Lines>6</Lines>
  <Paragraphs>1</Paragraphs>
  <TotalTime>0</TotalTime>
  <ScaleCrop>false</ScaleCrop>
  <LinksUpToDate>false</LinksUpToDate>
  <CharactersWithSpaces>1532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Zixuan Shen</cp:lastModifiedBy>
  <dcterms:modified xsi:type="dcterms:W3CDTF">2022-08-05T08:18:45Z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4BC6967829E34179B236C0C1DF02D036</vt:lpwstr>
  </property>
</Properties>
</file>