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华农财产保险股份有限公司</w:t>
      </w:r>
    </w:p>
    <w:p>
      <w:pPr>
        <w:jc w:val="center"/>
        <w:rPr>
          <w:rFonts w:hint="eastAsia" w:eastAsia="宋体"/>
          <w:b/>
          <w:sz w:val="28"/>
          <w:szCs w:val="28"/>
          <w:lang w:eastAsia="zh-Hans"/>
        </w:rPr>
      </w:pPr>
      <w:r>
        <w:rPr>
          <w:rFonts w:hint="eastAsia"/>
          <w:b/>
          <w:sz w:val="28"/>
          <w:szCs w:val="28"/>
        </w:rPr>
        <w:t>广西地区学生意外伤害保险附加学生住院医疗保险费率表（2022版</w:t>
      </w:r>
      <w:r>
        <w:rPr>
          <w:rFonts w:hint="eastAsia"/>
          <w:b/>
          <w:sz w:val="28"/>
          <w:szCs w:val="28"/>
          <w:lang w:eastAsia="zh-Hans"/>
        </w:rPr>
        <w:t>）</w:t>
      </w:r>
    </w:p>
    <w:p>
      <w:pPr>
        <w:spacing w:after="156" w:afterLines="50"/>
        <w:ind w:firstLine="840"/>
        <w:jc w:val="left"/>
        <w:rPr>
          <w:rFonts w:asciiTheme="minorEastAsia" w:hAnsiTheme="minorEastAsia" w:eastAsiaTheme="minorEastAsia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一、基准保险费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Theme="minorEastAsia" w:hAnsiTheme="minorEastAsia" w:eastAsiaTheme="minorEastAsia"/>
          <w:szCs w:val="21"/>
        </w:rPr>
      </w:pPr>
      <w:r>
        <w:rPr>
          <w:rFonts w:ascii="宋体" w:cs="宋体"/>
          <w:szCs w:val="21"/>
        </w:rPr>
        <w:t>2.5</w:t>
      </w:r>
      <w:r>
        <w:rPr>
          <w:rFonts w:hint="eastAsia"/>
        </w:rPr>
        <w:t>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二、费率调整系数</w:t>
      </w:r>
    </w:p>
    <w:p>
      <w:pPr>
        <w:numPr>
          <w:ilvl w:val="0"/>
          <w:numId w:val="1"/>
        </w:numPr>
        <w:spacing w:before="156" w:beforeLines="50" w:after="156" w:afterLines="50" w:line="360" w:lineRule="auto"/>
        <w:ind w:firstLine="420" w:firstLineChars="200"/>
        <w:rPr>
          <w:rFonts w:ascii="宋体"/>
          <w:bCs/>
          <w:szCs w:val="21"/>
        </w:rPr>
      </w:pPr>
      <w:r>
        <w:rPr>
          <w:rFonts w:hint="eastAsia" w:ascii="宋体"/>
          <w:bCs/>
          <w:szCs w:val="21"/>
        </w:rPr>
        <w:t>预期人数规模调整系数</w:t>
      </w:r>
    </w:p>
    <w:tbl>
      <w:tblPr>
        <w:tblStyle w:val="5"/>
        <w:tblW w:w="0" w:type="auto"/>
        <w:tblInd w:w="17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9"/>
        <w:gridCol w:w="1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7" w:hRule="atLeast"/>
        </w:trPr>
        <w:tc>
          <w:tcPr>
            <w:tcW w:w="22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预期参保人数（人）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6" w:hRule="atLeast"/>
        </w:trPr>
        <w:tc>
          <w:tcPr>
            <w:tcW w:w="22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（0,500]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[0.9,1.0</w:t>
            </w:r>
            <w:r>
              <w:rPr>
                <w:rFonts w:ascii="宋体" w:hAnsi="宋体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6" w:hRule="atLeast"/>
        </w:trPr>
        <w:tc>
          <w:tcPr>
            <w:tcW w:w="22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(500,1000]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[0.8,0.9</w:t>
            </w:r>
            <w:r>
              <w:rPr>
                <w:rFonts w:ascii="宋体" w:hAnsi="宋体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6" w:hRule="atLeast"/>
        </w:trPr>
        <w:tc>
          <w:tcPr>
            <w:tcW w:w="22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(1000,5000]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[0.7,0.8</w:t>
            </w:r>
            <w:r>
              <w:rPr>
                <w:rFonts w:ascii="宋体" w:hAnsi="宋体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6" w:hRule="atLeast"/>
        </w:trPr>
        <w:tc>
          <w:tcPr>
            <w:tcW w:w="22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(5000,10000]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[0.6,0.7</w:t>
            </w:r>
            <w:r>
              <w:rPr>
                <w:rFonts w:ascii="宋体" w:hAnsi="宋体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6" w:hRule="atLeast"/>
        </w:trPr>
        <w:tc>
          <w:tcPr>
            <w:tcW w:w="22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10000以上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[0.5，0.6）</w:t>
            </w:r>
          </w:p>
        </w:tc>
      </w:tr>
    </w:tbl>
    <w:p>
      <w:pPr>
        <w:numPr>
          <w:ilvl w:val="0"/>
          <w:numId w:val="1"/>
        </w:numPr>
        <w:spacing w:before="156" w:beforeLines="50" w:after="156" w:afterLines="50" w:line="360" w:lineRule="auto"/>
        <w:ind w:firstLine="420" w:firstLineChars="200"/>
        <w:rPr>
          <w:rFonts w:ascii="宋体"/>
          <w:bCs/>
          <w:szCs w:val="21"/>
        </w:rPr>
      </w:pPr>
      <w:r>
        <w:rPr>
          <w:rFonts w:hint="eastAsia" w:ascii="宋体"/>
          <w:bCs/>
          <w:szCs w:val="21"/>
        </w:rPr>
        <w:t>学校类型调整系数</w:t>
      </w:r>
    </w:p>
    <w:tbl>
      <w:tblPr>
        <w:tblStyle w:val="5"/>
        <w:tblW w:w="0" w:type="auto"/>
        <w:tblInd w:w="17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4"/>
        <w:gridCol w:w="1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5" w:hRule="atLeast"/>
        </w:trPr>
        <w:tc>
          <w:tcPr>
            <w:tcW w:w="3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学校类型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8" w:hRule="atLeast"/>
        </w:trPr>
        <w:tc>
          <w:tcPr>
            <w:tcW w:w="3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小学、幼儿园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[</w:t>
            </w:r>
            <w:r>
              <w:rPr>
                <w:rFonts w:hint="eastAsia" w:ascii="宋体"/>
                <w:b w:val="0"/>
                <w:bCs w:val="0"/>
                <w:szCs w:val="21"/>
              </w:rPr>
              <w:t>1.0,2.0]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8" w:hRule="atLeast"/>
        </w:trPr>
        <w:tc>
          <w:tcPr>
            <w:tcW w:w="3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初中、高中、职业高中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[0.</w:t>
            </w:r>
            <w:r>
              <w:rPr>
                <w:rFonts w:hint="eastAsia" w:ascii="宋体"/>
                <w:b w:val="0"/>
                <w:bCs w:val="0"/>
                <w:szCs w:val="21"/>
              </w:rPr>
              <w:t>9</w:t>
            </w:r>
            <w:r>
              <w:rPr>
                <w:rFonts w:hint="eastAsia" w:ascii="宋体" w:hAnsi="宋体"/>
                <w:b w:val="0"/>
                <w:bCs w:val="0"/>
                <w:szCs w:val="21"/>
              </w:rPr>
              <w:t>,</w:t>
            </w:r>
            <w:r>
              <w:rPr>
                <w:rFonts w:hint="eastAsia" w:ascii="宋体"/>
                <w:b w:val="0"/>
                <w:bCs w:val="0"/>
                <w:szCs w:val="21"/>
              </w:rPr>
              <w:t>1.0)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8" w:hRule="atLeast"/>
        </w:trPr>
        <w:tc>
          <w:tcPr>
            <w:tcW w:w="3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大学、大专、中专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[</w:t>
            </w:r>
            <w:r>
              <w:rPr>
                <w:rFonts w:hint="eastAsia" w:ascii="宋体"/>
                <w:b w:val="0"/>
                <w:bCs w:val="0"/>
                <w:szCs w:val="21"/>
              </w:rPr>
              <w:t>0.6</w:t>
            </w:r>
            <w:r>
              <w:rPr>
                <w:rFonts w:hint="eastAsia" w:ascii="宋体" w:hAnsi="宋体"/>
                <w:b w:val="0"/>
                <w:bCs w:val="0"/>
                <w:szCs w:val="21"/>
              </w:rPr>
              <w:t>,</w:t>
            </w:r>
            <w:r>
              <w:rPr>
                <w:rFonts w:hint="eastAsia" w:ascii="宋体"/>
                <w:b w:val="0"/>
                <w:bCs w:val="0"/>
                <w:szCs w:val="21"/>
              </w:rPr>
              <w:t>0.9）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3" w:hRule="atLeast"/>
        </w:trPr>
        <w:tc>
          <w:tcPr>
            <w:tcW w:w="3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体育院校、艺术院校等其它学校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[</w:t>
            </w:r>
            <w:r>
              <w:rPr>
                <w:rFonts w:hint="eastAsia" w:ascii="宋体"/>
                <w:b w:val="0"/>
                <w:bCs w:val="0"/>
                <w:szCs w:val="21"/>
              </w:rPr>
              <w:t>0.9,1.5</w:t>
            </w:r>
            <w:r>
              <w:rPr>
                <w:rFonts w:hint="eastAsia" w:ascii="宋体" w:hAnsi="宋体"/>
                <w:b w:val="0"/>
                <w:bCs w:val="0"/>
                <w:szCs w:val="21"/>
              </w:rPr>
              <w:t>]</w:t>
            </w:r>
          </w:p>
        </w:tc>
      </w:tr>
    </w:tbl>
    <w:p>
      <w:pPr>
        <w:spacing w:before="156" w:beforeLines="50" w:after="156" w:afterLines="50" w:line="360" w:lineRule="auto"/>
        <w:ind w:left="-120" w:leftChars="-57" w:firstLine="630" w:firstLineChars="300"/>
        <w:rPr>
          <w:rFonts w:ascii="宋体" w:hAnsi="宋体"/>
          <w:color w:val="000000"/>
          <w:szCs w:val="21"/>
        </w:rPr>
      </w:pPr>
      <w:r>
        <w:rPr>
          <w:rFonts w:hint="eastAsia" w:ascii="宋体"/>
          <w:bCs/>
          <w:szCs w:val="21"/>
        </w:rPr>
        <w:t>3、免赔额调整系数</w:t>
      </w:r>
    </w:p>
    <w:tbl>
      <w:tblPr>
        <w:tblStyle w:val="6"/>
        <w:tblW w:w="5115" w:type="dxa"/>
        <w:tblInd w:w="17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7"/>
        <w:gridCol w:w="25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3" w:hRule="atLeast"/>
        </w:trPr>
        <w:tc>
          <w:tcPr>
            <w:tcW w:w="25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免赔额（元）</w:t>
            </w:r>
          </w:p>
        </w:tc>
        <w:tc>
          <w:tcPr>
            <w:tcW w:w="25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3" w:hRule="atLeast"/>
        </w:trPr>
        <w:tc>
          <w:tcPr>
            <w:tcW w:w="25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≤100</w:t>
            </w:r>
          </w:p>
        </w:tc>
        <w:tc>
          <w:tcPr>
            <w:tcW w:w="25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[1.0,1.2]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3" w:hRule="atLeast"/>
        </w:trPr>
        <w:tc>
          <w:tcPr>
            <w:tcW w:w="25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(100,300]</w:t>
            </w:r>
          </w:p>
        </w:tc>
        <w:tc>
          <w:tcPr>
            <w:tcW w:w="25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[0.8,1.0)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4" w:hRule="atLeast"/>
        </w:trPr>
        <w:tc>
          <w:tcPr>
            <w:tcW w:w="25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＞300</w:t>
            </w:r>
          </w:p>
        </w:tc>
        <w:tc>
          <w:tcPr>
            <w:tcW w:w="25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[0.6,0.8)</w:t>
            </w:r>
          </w:p>
        </w:tc>
      </w:tr>
    </w:tbl>
    <w:p>
      <w:pPr>
        <w:pStyle w:val="12"/>
        <w:spacing w:line="276" w:lineRule="auto"/>
        <w:rPr>
          <w:rFonts w:ascii="宋体" w:hAnsi="宋体"/>
          <w:color w:val="000000"/>
          <w:szCs w:val="21"/>
        </w:rPr>
      </w:pPr>
    </w:p>
    <w:p>
      <w:pPr>
        <w:pStyle w:val="12"/>
        <w:spacing w:line="276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4、赔付比例调整系数</w:t>
      </w:r>
    </w:p>
    <w:tbl>
      <w:tblPr>
        <w:tblStyle w:val="6"/>
        <w:tblW w:w="0" w:type="auto"/>
        <w:tblInd w:w="12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2"/>
        <w:gridCol w:w="2173"/>
      </w:tblGrid>
      <w:tr>
        <w:trPr>
          <w:trHeight w:val="310" w:hRule="atLeast"/>
        </w:trPr>
        <w:tc>
          <w:tcPr>
            <w:tcW w:w="30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赔付比例</w:t>
            </w:r>
          </w:p>
        </w:tc>
        <w:tc>
          <w:tcPr>
            <w:tcW w:w="21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调整系数</w:t>
            </w:r>
          </w:p>
        </w:tc>
      </w:tr>
      <w:tr>
        <w:trPr>
          <w:trHeight w:val="310" w:hRule="atLeast"/>
        </w:trPr>
        <w:tc>
          <w:tcPr>
            <w:tcW w:w="30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[90%,</w:t>
            </w:r>
            <w:r>
              <w:rPr>
                <w:rFonts w:hint="eastAsia" w:ascii="宋体" w:hAnsi="宋体" w:cs="宋体"/>
              </w:rPr>
              <w:t>100%</w:t>
            </w:r>
            <w:r>
              <w:rPr>
                <w:rFonts w:ascii="宋体" w:hAnsi="宋体" w:cs="宋体"/>
              </w:rPr>
              <w:t>]</w:t>
            </w:r>
          </w:p>
        </w:tc>
        <w:tc>
          <w:tcPr>
            <w:tcW w:w="21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[</w:t>
            </w:r>
            <w:r>
              <w:rPr>
                <w:rFonts w:hint="eastAsia" w:ascii="宋体" w:hAnsi="宋体" w:cs="宋体"/>
              </w:rPr>
              <w:t>1.</w:t>
            </w:r>
            <w:r>
              <w:rPr>
                <w:rFonts w:ascii="宋体" w:hAnsi="宋体" w:cs="宋体"/>
              </w:rPr>
              <w:t>0</w:t>
            </w:r>
            <w:r>
              <w:rPr>
                <w:rFonts w:hint="eastAsia" w:ascii="宋体" w:hAnsi="宋体" w:cs="宋体"/>
              </w:rPr>
              <w:t>,1.</w:t>
            </w:r>
            <w:r>
              <w:rPr>
                <w:rFonts w:ascii="宋体" w:hAnsi="宋体" w:cs="宋体"/>
              </w:rPr>
              <w:t>2</w:t>
            </w:r>
            <w:r>
              <w:rPr>
                <w:rFonts w:hint="eastAsia" w:ascii="宋体" w:hAnsi="宋体" w:cs="宋体"/>
              </w:rPr>
              <w:t>]</w:t>
            </w:r>
          </w:p>
        </w:tc>
      </w:tr>
      <w:tr>
        <w:trPr>
          <w:trHeight w:val="310" w:hRule="atLeast"/>
        </w:trPr>
        <w:tc>
          <w:tcPr>
            <w:tcW w:w="30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[80%,</w:t>
            </w:r>
            <w:r>
              <w:rPr>
                <w:rFonts w:hint="eastAsia" w:ascii="宋体" w:hAnsi="宋体" w:cs="宋体"/>
              </w:rPr>
              <w:t>90%</w:t>
            </w:r>
            <w:r>
              <w:rPr>
                <w:rFonts w:ascii="宋体" w:hAnsi="宋体" w:cs="宋体"/>
              </w:rPr>
              <w:t>)</w:t>
            </w:r>
          </w:p>
        </w:tc>
        <w:tc>
          <w:tcPr>
            <w:tcW w:w="21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[0.9</w:t>
            </w:r>
            <w:r>
              <w:rPr>
                <w:rFonts w:hint="eastAsia" w:ascii="宋体" w:hAnsi="宋体" w:cs="宋体"/>
              </w:rPr>
              <w:t>,1.</w:t>
            </w:r>
            <w:r>
              <w:rPr>
                <w:rFonts w:ascii="宋体" w:hAnsi="宋体" w:cs="宋体"/>
              </w:rPr>
              <w:t>0)</w:t>
            </w:r>
          </w:p>
        </w:tc>
      </w:tr>
      <w:tr>
        <w:trPr>
          <w:trHeight w:val="310" w:hRule="atLeast"/>
        </w:trPr>
        <w:tc>
          <w:tcPr>
            <w:tcW w:w="30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[70%,</w:t>
            </w:r>
            <w:r>
              <w:rPr>
                <w:rFonts w:hint="eastAsia" w:ascii="宋体" w:hAnsi="宋体" w:cs="宋体"/>
              </w:rPr>
              <w:t>80%</w:t>
            </w:r>
            <w:r>
              <w:rPr>
                <w:rFonts w:ascii="宋体" w:hAnsi="宋体" w:cs="宋体"/>
              </w:rPr>
              <w:t>)</w:t>
            </w:r>
          </w:p>
        </w:tc>
        <w:tc>
          <w:tcPr>
            <w:tcW w:w="21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[0.8</w:t>
            </w:r>
            <w:r>
              <w:rPr>
                <w:rFonts w:hint="eastAsia" w:ascii="宋体" w:hAnsi="宋体" w:cs="宋体"/>
              </w:rPr>
              <w:t>,</w:t>
            </w:r>
            <w:r>
              <w:rPr>
                <w:rFonts w:ascii="宋体" w:hAnsi="宋体" w:cs="宋体"/>
              </w:rPr>
              <w:t>0</w:t>
            </w:r>
            <w:r>
              <w:rPr>
                <w:rFonts w:hint="eastAsia" w:ascii="宋体" w:hAnsi="宋体" w:cs="宋体"/>
              </w:rPr>
              <w:t>.</w:t>
            </w:r>
            <w:r>
              <w:rPr>
                <w:rFonts w:ascii="宋体" w:hAnsi="宋体" w:cs="宋体"/>
              </w:rPr>
              <w:t>9)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0" w:hRule="atLeast"/>
        </w:trPr>
        <w:tc>
          <w:tcPr>
            <w:tcW w:w="30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lang w:eastAsia="zh-Hans"/>
              </w:rPr>
            </w:pPr>
            <w:r>
              <w:rPr>
                <w:rFonts w:ascii="宋体" w:hAnsi="宋体" w:cs="宋体"/>
                <w:lang w:eastAsia="zh-Hans"/>
              </w:rPr>
              <w:t>[50%,</w:t>
            </w:r>
            <w:r>
              <w:rPr>
                <w:rFonts w:hint="eastAsia" w:ascii="宋体" w:hAnsi="宋体" w:cs="宋体"/>
              </w:rPr>
              <w:t>70%</w:t>
            </w:r>
            <w:r>
              <w:rPr>
                <w:rFonts w:ascii="宋体" w:hAnsi="宋体" w:cs="宋体"/>
              </w:rPr>
              <w:t>)</w:t>
            </w:r>
          </w:p>
        </w:tc>
        <w:tc>
          <w:tcPr>
            <w:tcW w:w="21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[0.7</w:t>
            </w:r>
            <w:r>
              <w:rPr>
                <w:rFonts w:hint="eastAsia" w:ascii="宋体" w:hAnsi="宋体" w:cs="宋体"/>
              </w:rPr>
              <w:t>,</w:t>
            </w:r>
            <w:r>
              <w:rPr>
                <w:rFonts w:ascii="宋体" w:hAnsi="宋体" w:cs="宋体"/>
              </w:rPr>
              <w:t>0.8)</w:t>
            </w:r>
          </w:p>
        </w:tc>
      </w:tr>
    </w:tbl>
    <w:p>
      <w:pPr>
        <w:numPr>
          <w:ilvl w:val="255"/>
          <w:numId w:val="0"/>
        </w:numPr>
        <w:spacing w:before="156" w:beforeLines="50" w:after="156" w:afterLines="50" w:line="360" w:lineRule="auto"/>
        <w:ind w:left="420" w:leftChars="200"/>
        <w:rPr>
          <w:rFonts w:ascii="宋体"/>
          <w:bCs/>
          <w:szCs w:val="21"/>
        </w:rPr>
      </w:pPr>
      <w:r>
        <w:rPr>
          <w:rFonts w:hint="eastAsia" w:ascii="宋体"/>
          <w:bCs/>
          <w:szCs w:val="21"/>
        </w:rPr>
        <w:t>5、基本医疗调整系数</w:t>
      </w:r>
    </w:p>
    <w:tbl>
      <w:tblPr>
        <w:tblStyle w:val="6"/>
        <w:tblW w:w="0" w:type="auto"/>
        <w:tblInd w:w="12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7"/>
        <w:gridCol w:w="21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4" w:hRule="atLeast"/>
        </w:trPr>
        <w:tc>
          <w:tcPr>
            <w:tcW w:w="30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</w:rPr>
            </w:pPr>
            <w:r>
              <w:rPr>
                <w:rFonts w:hint="eastAsia" w:ascii="宋体" w:cs="宋体"/>
              </w:rPr>
              <w:t>是否参加基本医疗保险</w:t>
            </w:r>
          </w:p>
        </w:tc>
        <w:tc>
          <w:tcPr>
            <w:tcW w:w="21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调整系数</w:t>
            </w:r>
          </w:p>
        </w:tc>
      </w:tr>
      <w:tr>
        <w:trPr>
          <w:trHeight w:val="404" w:hRule="atLeast"/>
        </w:trPr>
        <w:tc>
          <w:tcPr>
            <w:tcW w:w="30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</w:rPr>
            </w:pPr>
            <w:r>
              <w:rPr>
                <w:rFonts w:hint="eastAsia" w:ascii="宋体" w:cs="宋体"/>
              </w:rPr>
              <w:t>是</w:t>
            </w:r>
          </w:p>
        </w:tc>
        <w:tc>
          <w:tcPr>
            <w:tcW w:w="21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[0.</w:t>
            </w:r>
            <w:r>
              <w:rPr>
                <w:rFonts w:hint="eastAsia" w:ascii="宋体" w:cs="宋体"/>
              </w:rPr>
              <w:t>8</w:t>
            </w:r>
            <w:r>
              <w:rPr>
                <w:rFonts w:hint="eastAsia" w:ascii="宋体" w:hAnsi="宋体" w:cs="宋体"/>
              </w:rPr>
              <w:t>,1.</w:t>
            </w:r>
            <w:r>
              <w:rPr>
                <w:rFonts w:ascii="宋体" w:hAnsi="宋体" w:cs="宋体"/>
              </w:rPr>
              <w:t>0</w:t>
            </w:r>
            <w:r>
              <w:rPr>
                <w:rFonts w:hint="eastAsia" w:ascii="宋体" w:cs="宋体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7" w:hRule="atLeast"/>
        </w:trPr>
        <w:tc>
          <w:tcPr>
            <w:tcW w:w="30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</w:rPr>
            </w:pPr>
            <w:r>
              <w:rPr>
                <w:rFonts w:hint="eastAsia" w:ascii="宋体" w:cs="宋体"/>
              </w:rPr>
              <w:t>否</w:t>
            </w:r>
          </w:p>
        </w:tc>
        <w:tc>
          <w:tcPr>
            <w:tcW w:w="21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</w:rPr>
            </w:pPr>
            <w:r>
              <w:rPr>
                <w:rFonts w:hint="default" w:ascii="宋体" w:hAnsi="宋体" w:cs="宋体"/>
              </w:rPr>
              <w:t>[</w:t>
            </w:r>
            <w:r>
              <w:rPr>
                <w:rFonts w:hint="eastAsia" w:ascii="宋体" w:hAnsi="宋体" w:cs="宋体"/>
              </w:rPr>
              <w:t>1.</w:t>
            </w:r>
            <w:r>
              <w:rPr>
                <w:rFonts w:hint="eastAsia" w:ascii="宋体" w:cs="宋体"/>
              </w:rPr>
              <w:t>2</w:t>
            </w:r>
            <w:r>
              <w:rPr>
                <w:rFonts w:hint="eastAsia" w:ascii="宋体" w:hAnsi="宋体" w:cs="宋体"/>
              </w:rPr>
              <w:t>,1.</w:t>
            </w:r>
            <w:r>
              <w:rPr>
                <w:rFonts w:hint="eastAsia" w:ascii="宋体" w:cs="宋体"/>
              </w:rPr>
              <w:t>5</w:t>
            </w:r>
            <w:r>
              <w:rPr>
                <w:rFonts w:hint="eastAsia" w:ascii="宋体" w:hAnsi="宋体" w:cs="宋体"/>
              </w:rPr>
              <w:t>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="宋体"/>
          <w:b/>
          <w:bCs/>
          <w:szCs w:val="21"/>
        </w:rPr>
      </w:pPr>
      <w:r>
        <w:rPr>
          <w:rFonts w:hint="eastAsia" w:ascii="宋体"/>
          <w:b/>
          <w:bCs/>
          <w:szCs w:val="21"/>
        </w:rPr>
        <w:t>三、</w:t>
      </w:r>
      <w:r>
        <w:rPr>
          <w:rFonts w:hint="eastAsia" w:asciiTheme="minorEastAsia" w:hAnsiTheme="minorEastAsia" w:eastAsiaTheme="minorEastAsia"/>
          <w:b/>
          <w:szCs w:val="21"/>
        </w:rPr>
        <w:t>保险费</w:t>
      </w:r>
      <w:r>
        <w:rPr>
          <w:rFonts w:hint="eastAsia" w:ascii="宋体"/>
          <w:b/>
          <w:bCs/>
          <w:szCs w:val="21"/>
        </w:rPr>
        <w:t>计算方法</w:t>
      </w:r>
    </w:p>
    <w:p>
      <w:pPr>
        <w:spacing w:before="156" w:beforeLines="50" w:line="360" w:lineRule="auto"/>
        <w:ind w:firstLine="403"/>
        <w:rPr>
          <w:rFonts w:hint="eastAsia" w:ascii="宋体"/>
          <w:bCs/>
          <w:szCs w:val="21"/>
          <w:lang w:eastAsia="zh-Hans"/>
        </w:rPr>
      </w:pPr>
      <w:r>
        <w:rPr>
          <w:rFonts w:hint="eastAsia" w:ascii="宋体"/>
          <w:bCs/>
          <w:szCs w:val="21"/>
        </w:rPr>
        <w:t>年保险费=每一被保险人保险金额×年基础费率×</w:t>
      </w:r>
      <w:r>
        <w:rPr>
          <w:rFonts w:hint="eastAsia" w:ascii="宋体"/>
          <w:bCs/>
          <w:szCs w:val="21"/>
          <w:lang w:eastAsia="zh-Hans"/>
        </w:rPr>
        <w:t>各项费率调整系数之积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="宋体"/>
          <w:b/>
          <w:bCs/>
          <w:szCs w:val="21"/>
        </w:rPr>
      </w:pPr>
      <w:r>
        <w:rPr>
          <w:rFonts w:hint="eastAsia" w:ascii="宋体"/>
          <w:b/>
          <w:bCs/>
          <w:szCs w:val="21"/>
        </w:rPr>
        <w:t>四、</w:t>
      </w:r>
      <w:r>
        <w:rPr>
          <w:rFonts w:hint="eastAsia" w:asciiTheme="minorEastAsia" w:hAnsiTheme="minorEastAsia" w:eastAsiaTheme="minorEastAsia"/>
          <w:b/>
          <w:szCs w:val="21"/>
        </w:rPr>
        <w:t>短期</w:t>
      </w:r>
      <w:r>
        <w:rPr>
          <w:rFonts w:hint="eastAsia" w:ascii="宋体"/>
          <w:b/>
          <w:bCs/>
          <w:szCs w:val="21"/>
        </w:rPr>
        <w:t>费率表</w:t>
      </w:r>
    </w:p>
    <w:tbl>
      <w:tblPr>
        <w:tblStyle w:val="5"/>
        <w:tblpPr w:leftFromText="180" w:rightFromText="180" w:vertAnchor="text" w:horzAnchor="margin" w:tblpXSpec="right" w:tblpY="9"/>
        <w:tblW w:w="789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1"/>
        <w:gridCol w:w="534"/>
        <w:gridCol w:w="534"/>
        <w:gridCol w:w="534"/>
        <w:gridCol w:w="534"/>
        <w:gridCol w:w="534"/>
        <w:gridCol w:w="534"/>
        <w:gridCol w:w="534"/>
        <w:gridCol w:w="534"/>
        <w:gridCol w:w="601"/>
        <w:gridCol w:w="600"/>
        <w:gridCol w:w="534"/>
        <w:gridCol w:w="5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227" w:hRule="atLeast"/>
        </w:trPr>
        <w:tc>
          <w:tcPr>
            <w:tcW w:w="135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/>
                <w:szCs w:val="21"/>
              </w:rPr>
            </w:pPr>
            <w:bookmarkStart w:id="0" w:name="_GoBack" w:colFirst="0" w:colLast="12"/>
            <w:r>
              <w:rPr>
                <w:rFonts w:hint="eastAsia" w:ascii="宋体"/>
                <w:szCs w:val="21"/>
              </w:rPr>
              <w:t>保险期间（月）</w:t>
            </w:r>
          </w:p>
        </w:tc>
        <w:tc>
          <w:tcPr>
            <w:tcW w:w="5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</w:t>
            </w:r>
          </w:p>
        </w:tc>
        <w:tc>
          <w:tcPr>
            <w:tcW w:w="5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2</w:t>
            </w:r>
          </w:p>
        </w:tc>
        <w:tc>
          <w:tcPr>
            <w:tcW w:w="5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3</w:t>
            </w:r>
          </w:p>
        </w:tc>
        <w:tc>
          <w:tcPr>
            <w:tcW w:w="5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4</w:t>
            </w:r>
          </w:p>
        </w:tc>
        <w:tc>
          <w:tcPr>
            <w:tcW w:w="5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5</w:t>
            </w:r>
          </w:p>
        </w:tc>
        <w:tc>
          <w:tcPr>
            <w:tcW w:w="5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6</w:t>
            </w:r>
          </w:p>
        </w:tc>
        <w:tc>
          <w:tcPr>
            <w:tcW w:w="5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7</w:t>
            </w:r>
          </w:p>
        </w:tc>
        <w:tc>
          <w:tcPr>
            <w:tcW w:w="5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8</w:t>
            </w:r>
          </w:p>
        </w:tc>
        <w:tc>
          <w:tcPr>
            <w:tcW w:w="60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9</w:t>
            </w:r>
          </w:p>
        </w:tc>
        <w:tc>
          <w:tcPr>
            <w:tcW w:w="6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10</w:t>
            </w:r>
          </w:p>
        </w:tc>
        <w:tc>
          <w:tcPr>
            <w:tcW w:w="5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11</w:t>
            </w:r>
          </w:p>
        </w:tc>
        <w:tc>
          <w:tcPr>
            <w:tcW w:w="5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227" w:hRule="atLeast"/>
        </w:trPr>
        <w:tc>
          <w:tcPr>
            <w:tcW w:w="135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年费率（</w:t>
            </w:r>
            <w:r>
              <w:rPr>
                <w:rFonts w:ascii="宋体"/>
                <w:szCs w:val="21"/>
              </w:rPr>
              <w:t>%</w:t>
            </w:r>
            <w:r>
              <w:rPr>
                <w:rFonts w:hint="eastAsia" w:ascii="宋体"/>
                <w:szCs w:val="21"/>
              </w:rPr>
              <w:t>）</w:t>
            </w:r>
          </w:p>
        </w:tc>
        <w:tc>
          <w:tcPr>
            <w:tcW w:w="5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bCs/>
                <w:szCs w:val="21"/>
              </w:rPr>
              <w:t>10</w:t>
            </w:r>
          </w:p>
        </w:tc>
        <w:tc>
          <w:tcPr>
            <w:tcW w:w="5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bCs/>
                <w:szCs w:val="21"/>
              </w:rPr>
              <w:t>20</w:t>
            </w:r>
          </w:p>
        </w:tc>
        <w:tc>
          <w:tcPr>
            <w:tcW w:w="5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bCs/>
                <w:szCs w:val="21"/>
              </w:rPr>
              <w:t>30</w:t>
            </w:r>
          </w:p>
        </w:tc>
        <w:tc>
          <w:tcPr>
            <w:tcW w:w="5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bCs/>
                <w:szCs w:val="21"/>
              </w:rPr>
              <w:t>40</w:t>
            </w:r>
          </w:p>
        </w:tc>
        <w:tc>
          <w:tcPr>
            <w:tcW w:w="5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bCs/>
                <w:szCs w:val="21"/>
              </w:rPr>
              <w:t>50</w:t>
            </w:r>
          </w:p>
        </w:tc>
        <w:tc>
          <w:tcPr>
            <w:tcW w:w="5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bCs/>
                <w:szCs w:val="21"/>
              </w:rPr>
              <w:t>60</w:t>
            </w:r>
          </w:p>
        </w:tc>
        <w:tc>
          <w:tcPr>
            <w:tcW w:w="5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bCs/>
                <w:szCs w:val="21"/>
              </w:rPr>
              <w:t>70</w:t>
            </w:r>
          </w:p>
        </w:tc>
        <w:tc>
          <w:tcPr>
            <w:tcW w:w="5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bCs/>
                <w:szCs w:val="21"/>
              </w:rPr>
              <w:t>80</w:t>
            </w:r>
          </w:p>
        </w:tc>
        <w:tc>
          <w:tcPr>
            <w:tcW w:w="60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bCs/>
                <w:szCs w:val="21"/>
              </w:rPr>
              <w:t>85</w:t>
            </w:r>
          </w:p>
        </w:tc>
        <w:tc>
          <w:tcPr>
            <w:tcW w:w="6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bCs/>
                <w:szCs w:val="21"/>
              </w:rPr>
              <w:t>90</w:t>
            </w:r>
          </w:p>
        </w:tc>
        <w:tc>
          <w:tcPr>
            <w:tcW w:w="5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bCs/>
                <w:szCs w:val="21"/>
              </w:rPr>
              <w:t>95</w:t>
            </w:r>
          </w:p>
        </w:tc>
        <w:tc>
          <w:tcPr>
            <w:tcW w:w="5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bCs/>
                <w:szCs w:val="21"/>
              </w:rPr>
              <w:t>100</w:t>
            </w:r>
          </w:p>
        </w:tc>
      </w:tr>
      <w:bookmarkEnd w:id="0"/>
    </w:tbl>
    <w:p>
      <w:pPr>
        <w:snapToGrid w:val="0"/>
        <w:spacing w:line="360" w:lineRule="auto"/>
        <w:ind w:left="315" w:leftChars="150" w:firstLine="420" w:firstLineChars="200"/>
        <w:rPr>
          <w:rFonts w:ascii="宋体"/>
          <w:bCs/>
          <w:szCs w:val="21"/>
        </w:rPr>
      </w:pPr>
      <w:r>
        <w:rPr>
          <w:rFonts w:hint="eastAsia" w:ascii="宋体"/>
          <w:szCs w:val="21"/>
        </w:rPr>
        <w:t>注：</w:t>
      </w:r>
      <w:r>
        <w:rPr>
          <w:rFonts w:ascii="宋体"/>
          <w:bCs/>
          <w:szCs w:val="21"/>
        </w:rPr>
        <w:t>1</w:t>
      </w:r>
      <w:r>
        <w:rPr>
          <w:rFonts w:hint="eastAsia" w:ascii="宋体"/>
          <w:bCs/>
          <w:szCs w:val="21"/>
        </w:rPr>
        <w:t>、保险期间在</w:t>
      </w:r>
      <w:r>
        <w:rPr>
          <w:rFonts w:ascii="宋体"/>
          <w:bCs/>
          <w:szCs w:val="21"/>
        </w:rPr>
        <w:t>1</w:t>
      </w:r>
      <w:r>
        <w:rPr>
          <w:rFonts w:hint="eastAsia" w:ascii="宋体"/>
          <w:bCs/>
          <w:szCs w:val="21"/>
        </w:rPr>
        <w:t>个月以上，不足</w:t>
      </w:r>
      <w:r>
        <w:rPr>
          <w:rFonts w:ascii="宋体"/>
          <w:bCs/>
          <w:szCs w:val="21"/>
        </w:rPr>
        <w:t>2</w:t>
      </w:r>
      <w:r>
        <w:rPr>
          <w:rFonts w:hint="eastAsia" w:ascii="宋体"/>
          <w:bCs/>
          <w:szCs w:val="21"/>
        </w:rPr>
        <w:t>个月的，按</w:t>
      </w:r>
      <w:r>
        <w:rPr>
          <w:rFonts w:ascii="宋体"/>
          <w:bCs/>
          <w:szCs w:val="21"/>
        </w:rPr>
        <w:t>2</w:t>
      </w:r>
      <w:r>
        <w:rPr>
          <w:rFonts w:hint="eastAsia" w:ascii="宋体"/>
          <w:bCs/>
          <w:szCs w:val="21"/>
        </w:rPr>
        <w:t>个月计算；保险期间在</w:t>
      </w:r>
      <w:r>
        <w:rPr>
          <w:rFonts w:ascii="宋体"/>
          <w:bCs/>
          <w:szCs w:val="21"/>
        </w:rPr>
        <w:t>2</w:t>
      </w:r>
      <w:r>
        <w:rPr>
          <w:rFonts w:hint="eastAsia" w:ascii="宋体"/>
          <w:bCs/>
          <w:szCs w:val="21"/>
        </w:rPr>
        <w:t>个月以上，不足</w:t>
      </w:r>
      <w:r>
        <w:rPr>
          <w:rFonts w:ascii="宋体"/>
          <w:bCs/>
          <w:szCs w:val="21"/>
        </w:rPr>
        <w:t>3</w:t>
      </w:r>
      <w:r>
        <w:rPr>
          <w:rFonts w:hint="eastAsia" w:ascii="宋体"/>
          <w:bCs/>
          <w:szCs w:val="21"/>
        </w:rPr>
        <w:t>个月的，按</w:t>
      </w:r>
      <w:r>
        <w:rPr>
          <w:rFonts w:ascii="宋体"/>
          <w:bCs/>
          <w:szCs w:val="21"/>
        </w:rPr>
        <w:t>3</w:t>
      </w:r>
      <w:r>
        <w:rPr>
          <w:rFonts w:hint="eastAsia" w:ascii="宋体"/>
          <w:bCs/>
          <w:szCs w:val="21"/>
        </w:rPr>
        <w:t>个月计算，依此类推。</w:t>
      </w:r>
    </w:p>
    <w:p>
      <w:pPr>
        <w:snapToGrid w:val="0"/>
        <w:spacing w:line="360" w:lineRule="auto"/>
        <w:ind w:firstLine="735" w:firstLineChars="350"/>
        <w:rPr>
          <w:rFonts w:ascii="宋体"/>
          <w:bCs/>
          <w:szCs w:val="21"/>
        </w:rPr>
      </w:pPr>
      <w:r>
        <w:rPr>
          <w:rFonts w:ascii="宋体"/>
          <w:bCs/>
          <w:szCs w:val="21"/>
        </w:rPr>
        <w:t>2</w:t>
      </w:r>
      <w:r>
        <w:rPr>
          <w:rFonts w:hint="eastAsia" w:ascii="宋体"/>
          <w:bCs/>
          <w:szCs w:val="21"/>
        </w:rPr>
        <w:t>、保险期间不足</w:t>
      </w:r>
      <w:r>
        <w:rPr>
          <w:rFonts w:ascii="宋体"/>
          <w:bCs/>
          <w:szCs w:val="21"/>
        </w:rPr>
        <w:t>1</w:t>
      </w:r>
      <w:r>
        <w:rPr>
          <w:rFonts w:hint="eastAsia" w:ascii="宋体"/>
          <w:bCs/>
          <w:szCs w:val="21"/>
        </w:rPr>
        <w:t>个月的，按</w:t>
      </w:r>
      <w:r>
        <w:rPr>
          <w:rFonts w:ascii="宋体"/>
          <w:bCs/>
          <w:szCs w:val="21"/>
        </w:rPr>
        <w:t>1</w:t>
      </w:r>
      <w:r>
        <w:rPr>
          <w:rFonts w:hint="eastAsia" w:ascii="宋体"/>
          <w:bCs/>
          <w:szCs w:val="21"/>
        </w:rPr>
        <w:t>个月费率计算。</w:t>
      </w:r>
    </w:p>
    <w:p>
      <w:pPr>
        <w:spacing w:line="360" w:lineRule="auto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冬青黑体简体中文">
    <w:panose1 w:val="020B0300000000000000"/>
    <w:charset w:val="86"/>
    <w:family w:val="auto"/>
    <w:pitch w:val="default"/>
    <w:sig w:usb0="00000000" w:usb1="00000000" w:usb2="00000000" w:usb3="00000000" w:csb0="0016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921691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67EF27"/>
    <w:multiLevelType w:val="singleLevel"/>
    <w:tmpl w:val="2867EF2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jZGVkODY3YzEyOWNmMjYzZTc4M2QzNmQwMzYzMDEifQ=="/>
  </w:docVars>
  <w:rsids>
    <w:rsidRoot w:val="00F667BC"/>
    <w:rsid w:val="00006A0F"/>
    <w:rsid w:val="000D0FC7"/>
    <w:rsid w:val="001D1D11"/>
    <w:rsid w:val="00211CF4"/>
    <w:rsid w:val="002667D1"/>
    <w:rsid w:val="002E3085"/>
    <w:rsid w:val="00332FF9"/>
    <w:rsid w:val="004B19F1"/>
    <w:rsid w:val="005622D7"/>
    <w:rsid w:val="00705430"/>
    <w:rsid w:val="00712BD1"/>
    <w:rsid w:val="009D796D"/>
    <w:rsid w:val="00A62DA5"/>
    <w:rsid w:val="00AA119C"/>
    <w:rsid w:val="00B11C9F"/>
    <w:rsid w:val="00B528CD"/>
    <w:rsid w:val="00C0222E"/>
    <w:rsid w:val="00C77C3C"/>
    <w:rsid w:val="00F15EF3"/>
    <w:rsid w:val="00F667BC"/>
    <w:rsid w:val="00F830CB"/>
    <w:rsid w:val="05E3299F"/>
    <w:rsid w:val="2AE12E7D"/>
    <w:rsid w:val="2BA94C6D"/>
    <w:rsid w:val="3D661428"/>
    <w:rsid w:val="46136FD4"/>
    <w:rsid w:val="5A7F4D1F"/>
    <w:rsid w:val="671FE34D"/>
    <w:rsid w:val="E7B679A6"/>
    <w:rsid w:val="FF9356E1"/>
    <w:rsid w:val="FFFFE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paragraph" w:customStyle="1" w:styleId="9">
    <w:name w:val="列表段落1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2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180</Words>
  <Characters>1026</Characters>
  <Lines>8</Lines>
  <Paragraphs>2</Paragraphs>
  <TotalTime>23</TotalTime>
  <ScaleCrop>false</ScaleCrop>
  <LinksUpToDate>false</LinksUpToDate>
  <CharactersWithSpaces>1204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2017-03-09T15:48:00Z</dcterms:created>
  <dc:creator>微软用户</dc:creator>
  <cp:lastModifiedBy>Zixuan Shen</cp:lastModifiedBy>
  <dcterms:modified xsi:type="dcterms:W3CDTF">2022-07-12T16:32:51Z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35AA64DDD16940E0A9247DBF09E74F52</vt:lpwstr>
  </property>
</Properties>
</file>