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0"/>
        <w:widowControl/>
        <w:spacing w:after="156" w:afterLines="50"/>
        <w:ind w:left="0" w:leftChars="0" w:firstLine="0" w:firstLineChars="0"/>
        <w:jc w:val="center"/>
        <w:rPr>
          <w:b/>
          <w:sz w:val="28"/>
        </w:rPr>
      </w:pPr>
      <w:r>
        <w:rPr>
          <w:rFonts w:hint="eastAsia"/>
          <w:b/>
          <w:sz w:val="28"/>
        </w:rPr>
        <w:t>华农财产保险股份有限公司</w:t>
      </w:r>
    </w:p>
    <w:p>
      <w:pPr>
        <w:pStyle w:val="10"/>
        <w:spacing w:after="156" w:afterLines="50"/>
        <w:ind w:left="0" w:leftChars="0" w:firstLine="0" w:firstLineChars="0"/>
        <w:jc w:val="center"/>
        <w:outlineLvl w:val="1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癌症医疗保险</w:t>
      </w:r>
      <w:r>
        <w:rPr>
          <w:rFonts w:hint="eastAsia" w:ascii="宋体" w:hAnsi="宋体"/>
          <w:b/>
          <w:sz w:val="28"/>
          <w:lang w:val="en-US" w:eastAsia="zh-CN"/>
        </w:rPr>
        <w:t>A款</w:t>
      </w:r>
      <w:r>
        <w:rPr>
          <w:rFonts w:hint="eastAsia" w:ascii="宋体" w:hAnsi="宋体"/>
          <w:b/>
          <w:sz w:val="28"/>
        </w:rPr>
        <w:t>费率表</w:t>
      </w:r>
    </w:p>
    <w:p>
      <w:pPr>
        <w:pStyle w:val="10"/>
        <w:spacing w:after="156" w:afterLines="50"/>
        <w:ind w:left="0" w:leftChars="0" w:firstLine="0" w:firstLineChars="0"/>
        <w:jc w:val="center"/>
        <w:rPr>
          <w:rFonts w:ascii="宋体" w:hAnsi="宋体"/>
          <w:b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2" w:firstLineChars="200"/>
        <w:textAlignment w:val="auto"/>
        <w:rPr>
          <w:rFonts w:hAnsi="宋体"/>
          <w:sz w:val="21"/>
        </w:rPr>
      </w:pPr>
      <w:r>
        <w:rPr>
          <w:rFonts w:hint="eastAsia" w:hAnsi="宋体"/>
          <w:b/>
          <w:sz w:val="21"/>
          <w:lang w:val="en-US" w:eastAsia="zh-CN"/>
        </w:rPr>
        <w:t>一、</w:t>
      </w:r>
      <w:r>
        <w:rPr>
          <w:rFonts w:hint="eastAsia" w:hAnsi="宋体"/>
          <w:b/>
          <w:sz w:val="21"/>
        </w:rPr>
        <w:t>年基准保险费</w:t>
      </w:r>
    </w:p>
    <w:p>
      <w:pPr>
        <w:spacing w:line="312" w:lineRule="auto"/>
        <w:jc w:val="center"/>
        <w:rPr>
          <w:rFonts w:hAnsi="宋体"/>
          <w:sz w:val="21"/>
        </w:rPr>
      </w:pPr>
      <w:r>
        <w:rPr>
          <w:rFonts w:hint="eastAsia" w:hAnsi="宋体"/>
          <w:b/>
          <w:sz w:val="21"/>
          <w:lang w:val="en-US" w:eastAsia="zh-CN"/>
        </w:rPr>
        <w:t xml:space="preserve">                                                </w:t>
      </w:r>
      <w:r>
        <w:rPr>
          <w:rFonts w:hint="eastAsia" w:hAnsi="宋体"/>
          <w:b/>
          <w:sz w:val="21"/>
        </w:rPr>
        <w:t>单位：人民币元</w:t>
      </w:r>
    </w:p>
    <w:tbl>
      <w:tblPr>
        <w:tblStyle w:val="7"/>
        <w:tblW w:w="61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956"/>
        <w:gridCol w:w="1080"/>
        <w:gridCol w:w="1080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保险金额</w:t>
            </w: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100万元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2</w:t>
            </w:r>
            <w:r>
              <w:rPr>
                <w:rFonts w:hint="eastAsia" w:hAnsi="宋体" w:cs="宋体"/>
                <w:sz w:val="21"/>
              </w:rPr>
              <w:t>00万元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</w:tcPr>
          <w:p>
            <w:pPr>
              <w:widowControl/>
              <w:jc w:val="left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 xml:space="preserve">        社保情况</w:t>
            </w:r>
          </w:p>
          <w:p>
            <w:pPr>
              <w:widowControl/>
              <w:jc w:val="left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年龄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有社保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无社保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有社保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无社保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0-4周岁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127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299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160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322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5-10周岁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71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143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78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154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11-15周岁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69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131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72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142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16-20周岁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78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142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82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154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21-25周岁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109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203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117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219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26-30周岁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153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293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164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314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31-35周岁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192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374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203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399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36-40周岁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267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517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287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555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41-45周岁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364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700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389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747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46-50周岁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572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1062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609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1135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51-55周岁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769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1397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822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1492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56-60周岁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1002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1794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1070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1918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61-65周岁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1412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2512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1512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2686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66-70周岁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2015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3589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2153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3837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71-75周岁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2826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5016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3023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5363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76-80周岁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3522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6200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3765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6631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81-85周岁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4367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7707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4675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8247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86-90周岁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4811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8447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5149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9039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91-95周岁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5586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9798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5979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10485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96-100周岁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6228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11136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6667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2"/>
                <w:lang w:bidi="ar"/>
              </w:rPr>
              <w:t xml:space="preserve">11919 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cs="宋体"/>
          <w:b w:val="0"/>
          <w:bCs/>
          <w:sz w:val="21"/>
          <w:szCs w:val="21"/>
        </w:rPr>
      </w:pPr>
      <w:r>
        <w:rPr>
          <w:rFonts w:hint="eastAsia" w:hAnsi="宋体" w:cs="宋体"/>
          <w:b w:val="0"/>
          <w:bCs/>
          <w:sz w:val="21"/>
          <w:szCs w:val="21"/>
          <w:lang w:val="en-US" w:eastAsia="zh-CN"/>
        </w:rPr>
        <w:t>注：</w:t>
      </w:r>
      <w:r>
        <w:rPr>
          <w:rFonts w:hint="eastAsia" w:ascii="宋体" w:hAnsi="宋体" w:cs="宋体"/>
          <w:b w:val="0"/>
          <w:bCs/>
          <w:sz w:val="21"/>
          <w:szCs w:val="21"/>
        </w:rPr>
        <w:t>0周岁</w:t>
      </w:r>
      <w:r>
        <w:rPr>
          <w:rFonts w:hint="eastAsia" w:hAnsi="宋体" w:cs="宋体"/>
          <w:b w:val="0"/>
          <w:bCs/>
          <w:sz w:val="21"/>
          <w:szCs w:val="21"/>
          <w:lang w:val="en-US" w:eastAsia="zh-CN"/>
        </w:rPr>
        <w:t>指</w:t>
      </w:r>
      <w:r>
        <w:rPr>
          <w:rFonts w:hint="eastAsia" w:ascii="宋体" w:hAnsi="宋体" w:cs="宋体"/>
          <w:b w:val="0"/>
          <w:bCs/>
          <w:sz w:val="21"/>
          <w:szCs w:val="21"/>
        </w:rPr>
        <w:t>出生满</w:t>
      </w:r>
      <w:r>
        <w:rPr>
          <w:rFonts w:hint="eastAsia" w:hAnsi="宋体" w:cs="宋体"/>
          <w:b w:val="0"/>
          <w:bCs/>
          <w:sz w:val="21"/>
          <w:szCs w:val="21"/>
          <w:lang w:val="en-US" w:eastAsia="zh-CN"/>
        </w:rPr>
        <w:t>28</w:t>
      </w:r>
      <w:r>
        <w:rPr>
          <w:rFonts w:hint="eastAsia" w:ascii="宋体" w:hAnsi="宋体" w:cs="宋体"/>
          <w:b w:val="0"/>
          <w:bCs/>
          <w:sz w:val="21"/>
          <w:szCs w:val="21"/>
        </w:rPr>
        <w:t>日且已健康出院</w:t>
      </w:r>
    </w:p>
    <w:p>
      <w:pPr>
        <w:numPr>
          <w:ilvl w:val="255"/>
          <w:numId w:val="0"/>
        </w:numPr>
        <w:jc w:val="left"/>
        <w:rPr>
          <w:rFonts w:hint="eastAsia" w:ascii="宋体" w:hAnsi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2" w:firstLineChars="200"/>
        <w:textAlignment w:val="auto"/>
        <w:rPr>
          <w:rFonts w:hAnsi="宋体"/>
          <w:b/>
          <w:sz w:val="21"/>
        </w:rPr>
      </w:pPr>
      <w:r>
        <w:rPr>
          <w:rFonts w:hint="eastAsia" w:hAnsi="宋体"/>
          <w:b/>
          <w:sz w:val="21"/>
          <w:lang w:val="en-US" w:eastAsia="zh-CN"/>
        </w:rPr>
        <w:t>二、</w:t>
      </w:r>
      <w:r>
        <w:rPr>
          <w:rFonts w:hint="eastAsia" w:hAnsi="宋体"/>
          <w:b/>
          <w:sz w:val="21"/>
        </w:rPr>
        <w:t>调整系数</w:t>
      </w:r>
    </w:p>
    <w:p>
      <w:pPr>
        <w:spacing w:line="312" w:lineRule="auto"/>
        <w:ind w:firstLine="420" w:firstLineChars="200"/>
        <w:rPr>
          <w:rFonts w:hAnsi="宋体"/>
          <w:sz w:val="21"/>
        </w:rPr>
      </w:pPr>
      <w:r>
        <w:rPr>
          <w:rFonts w:hint="eastAsia" w:hAnsi="宋体"/>
          <w:sz w:val="21"/>
        </w:rPr>
        <w:t>1.免赔额调整系数</w:t>
      </w:r>
    </w:p>
    <w:tbl>
      <w:tblPr>
        <w:tblStyle w:val="7"/>
        <w:tblW w:w="101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1066"/>
        <w:gridCol w:w="1066"/>
        <w:gridCol w:w="1301"/>
        <w:gridCol w:w="1302"/>
        <w:gridCol w:w="1301"/>
        <w:gridCol w:w="1301"/>
        <w:gridCol w:w="13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免赔额(元)</w:t>
            </w:r>
          </w:p>
        </w:tc>
        <w:tc>
          <w:tcPr>
            <w:tcW w:w="10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0</w:t>
            </w:r>
          </w:p>
        </w:tc>
        <w:tc>
          <w:tcPr>
            <w:tcW w:w="106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5000</w:t>
            </w:r>
          </w:p>
        </w:tc>
        <w:tc>
          <w:tcPr>
            <w:tcW w:w="13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8000</w:t>
            </w:r>
          </w:p>
        </w:tc>
        <w:tc>
          <w:tcPr>
            <w:tcW w:w="13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10000</w:t>
            </w:r>
          </w:p>
        </w:tc>
        <w:tc>
          <w:tcPr>
            <w:tcW w:w="13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15000</w:t>
            </w:r>
          </w:p>
        </w:tc>
        <w:tc>
          <w:tcPr>
            <w:tcW w:w="13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20000</w:t>
            </w:r>
          </w:p>
        </w:tc>
        <w:tc>
          <w:tcPr>
            <w:tcW w:w="13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30000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5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调整系数</w:t>
            </w:r>
          </w:p>
        </w:tc>
        <w:tc>
          <w:tcPr>
            <w:tcW w:w="10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default" w:hAnsi="宋体" w:eastAsia="宋体"/>
                <w:sz w:val="21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1"/>
                <w:lang w:val="en-US" w:eastAsia="zh-CN" w:bidi="ar"/>
              </w:rPr>
              <w:t>1.0</w:t>
            </w:r>
          </w:p>
        </w:tc>
        <w:tc>
          <w:tcPr>
            <w:tcW w:w="1066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default" w:hAnsi="宋体" w:eastAsia="宋体"/>
                <w:sz w:val="21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1"/>
                <w:lang w:val="en-US" w:eastAsia="zh-CN" w:bidi="ar"/>
              </w:rPr>
              <w:t>0.9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default" w:hAnsi="宋体"/>
                <w:sz w:val="21"/>
                <w:lang w:val="en-US"/>
              </w:rPr>
            </w:pPr>
            <w:r>
              <w:rPr>
                <w:rFonts w:hint="eastAsia" w:hAnsi="宋体" w:cs="Arial"/>
                <w:sz w:val="21"/>
                <w:szCs w:val="21"/>
                <w:lang w:val="en-US" w:eastAsia="zh-CN" w:bidi="ar"/>
              </w:rPr>
              <w:t>0.8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default" w:hAnsi="宋体"/>
                <w:sz w:val="21"/>
                <w:lang w:val="en-US"/>
              </w:rPr>
            </w:pPr>
            <w:r>
              <w:rPr>
                <w:rFonts w:hint="eastAsia" w:hAnsi="宋体" w:cs="Arial"/>
                <w:sz w:val="21"/>
                <w:szCs w:val="21"/>
                <w:lang w:val="en-US" w:eastAsia="zh-CN" w:bidi="ar"/>
              </w:rPr>
              <w:t>0.7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default" w:hAnsi="宋体" w:eastAsia="宋体"/>
                <w:sz w:val="21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1"/>
                <w:lang w:val="en-US" w:eastAsia="zh-CN" w:bidi="ar"/>
              </w:rPr>
              <w:t>0.6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default" w:hAnsi="宋体" w:eastAsia="宋体"/>
                <w:sz w:val="21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1"/>
                <w:lang w:val="en-US" w:eastAsia="zh-CN" w:bidi="ar"/>
              </w:rPr>
              <w:t>0.5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default" w:hAnsi="宋体" w:eastAsia="宋体"/>
                <w:sz w:val="21"/>
                <w:lang w:val="en-US" w:eastAsia="zh-CN"/>
              </w:rPr>
            </w:pPr>
            <w:r>
              <w:rPr>
                <w:rFonts w:hint="eastAsia" w:hAnsi="宋体" w:cs="Arial"/>
                <w:sz w:val="21"/>
                <w:szCs w:val="21"/>
                <w:lang w:val="en-US" w:eastAsia="zh-CN" w:bidi="ar"/>
              </w:rPr>
              <w:t>0.4</w:t>
            </w:r>
          </w:p>
        </w:tc>
      </w:tr>
    </w:tbl>
    <w:p>
      <w:pPr>
        <w:spacing w:line="312" w:lineRule="auto"/>
        <w:ind w:firstLine="420" w:firstLineChars="200"/>
        <w:rPr>
          <w:rFonts w:hAnsi="宋体"/>
          <w:sz w:val="21"/>
        </w:rPr>
      </w:pPr>
      <w:r>
        <w:rPr>
          <w:rFonts w:hint="eastAsia" w:hAnsi="宋体"/>
          <w:sz w:val="21"/>
        </w:rPr>
        <w:t>2.</w:t>
      </w:r>
      <w:r>
        <w:rPr>
          <w:rFonts w:hint="eastAsia" w:hAnsi="宋体"/>
          <w:sz w:val="21"/>
          <w:lang w:val="en-US" w:eastAsia="zh-CN"/>
        </w:rPr>
        <w:t>给付</w:t>
      </w:r>
      <w:r>
        <w:rPr>
          <w:rFonts w:hint="eastAsia" w:hAnsi="宋体"/>
          <w:sz w:val="21"/>
        </w:rPr>
        <w:t>比例调整系数</w:t>
      </w:r>
    </w:p>
    <w:tbl>
      <w:tblPr>
        <w:tblStyle w:val="7"/>
        <w:tblW w:w="960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1380"/>
        <w:gridCol w:w="1276"/>
        <w:gridCol w:w="1276"/>
        <w:gridCol w:w="1417"/>
        <w:gridCol w:w="1276"/>
        <w:gridCol w:w="15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  <w:lang w:val="en-US" w:eastAsia="zh-CN"/>
              </w:rPr>
              <w:t>给付</w:t>
            </w:r>
            <w:r>
              <w:rPr>
                <w:rFonts w:hint="eastAsia" w:hAnsi="宋体"/>
                <w:sz w:val="21"/>
              </w:rPr>
              <w:t>比例</w:t>
            </w:r>
          </w:p>
        </w:tc>
        <w:tc>
          <w:tcPr>
            <w:tcW w:w="13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≤50%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（50%,60%]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（60%,70%]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（70%,80%]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（80%,90%]</w:t>
            </w:r>
          </w:p>
        </w:tc>
        <w:tc>
          <w:tcPr>
            <w:tcW w:w="15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（90%,100%]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调整系数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0,0.5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0.5,0.6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0.6,0.7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0.7,0.8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0.8,0.9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0.9,1.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</w:tr>
    </w:tbl>
    <w:p>
      <w:pPr>
        <w:spacing w:line="312" w:lineRule="auto"/>
        <w:ind w:firstLine="420" w:firstLineChars="200"/>
        <w:rPr>
          <w:rFonts w:hAnsi="宋体"/>
          <w:sz w:val="21"/>
        </w:rPr>
      </w:pPr>
      <w:r>
        <w:rPr>
          <w:rFonts w:hint="eastAsia" w:hAnsi="宋体"/>
          <w:sz w:val="21"/>
        </w:rPr>
        <w:t>3.规模调整系数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年度投保人数（N人）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N&gt;1200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800&lt;N≤1200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300&lt;N≤800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N≤300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[1.1,1.5]</w:t>
            </w:r>
          </w:p>
        </w:tc>
      </w:tr>
    </w:tbl>
    <w:p>
      <w:pPr>
        <w:spacing w:line="312" w:lineRule="auto"/>
        <w:ind w:firstLine="420" w:firstLineChars="200"/>
        <w:rPr>
          <w:rFonts w:hAnsi="宋体"/>
          <w:sz w:val="21"/>
        </w:rPr>
      </w:pPr>
      <w:r>
        <w:rPr>
          <w:rFonts w:hint="eastAsia" w:hAnsi="宋体"/>
          <w:sz w:val="21"/>
        </w:rPr>
        <w:t>4.历史赔付率调整系数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历史赔付率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0%-30%（含）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[</w:t>
            </w:r>
            <w:r>
              <w:rPr>
                <w:rFonts w:hint="eastAsia" w:hAnsi="宋体"/>
                <w:sz w:val="21"/>
              </w:rPr>
              <w:t>0.5,0.7</w:t>
            </w:r>
            <w:r>
              <w:rPr>
                <w:rFonts w:hAnsi="宋体"/>
                <w:sz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30%-50%（含）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(</w:t>
            </w:r>
            <w:r>
              <w:rPr>
                <w:rFonts w:hint="eastAsia" w:hAnsi="宋体"/>
                <w:sz w:val="21"/>
              </w:rPr>
              <w:t>0.7,0.9</w:t>
            </w:r>
            <w:r>
              <w:rPr>
                <w:rFonts w:hAnsi="宋体"/>
                <w:sz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50%-80%（含）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(</w:t>
            </w:r>
            <w:r>
              <w:rPr>
                <w:rFonts w:hint="eastAsia" w:hAnsi="宋体"/>
                <w:sz w:val="21"/>
              </w:rPr>
              <w:t>0.9,1.1</w:t>
            </w:r>
            <w:r>
              <w:rPr>
                <w:rFonts w:hAnsi="宋体"/>
                <w:sz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80%以上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(</w:t>
            </w:r>
            <w:r>
              <w:rPr>
                <w:rFonts w:hint="eastAsia" w:hAnsi="宋体"/>
                <w:sz w:val="21"/>
              </w:rPr>
              <w:t>1.1,1.5</w:t>
            </w:r>
            <w:r>
              <w:rPr>
                <w:rFonts w:hAnsi="宋体"/>
                <w:sz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无历史赔付率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1.0</w:t>
            </w:r>
          </w:p>
        </w:tc>
      </w:tr>
    </w:tbl>
    <w:p>
      <w:pPr>
        <w:spacing w:line="288" w:lineRule="auto"/>
        <w:ind w:firstLine="421"/>
        <w:rPr>
          <w:rFonts w:hAnsi="宋体"/>
          <w:sz w:val="21"/>
          <w:lang w:bidi="ar"/>
        </w:rPr>
      </w:pPr>
      <w:r>
        <w:rPr>
          <w:rFonts w:hint="eastAsia" w:hAnsi="宋体"/>
          <w:sz w:val="21"/>
          <w:lang w:val="en-US" w:eastAsia="zh-CN" w:bidi="ar"/>
        </w:rPr>
        <w:t>5.</w:t>
      </w:r>
      <w:r>
        <w:rPr>
          <w:rFonts w:hint="eastAsia" w:hAnsi="宋体"/>
          <w:sz w:val="21"/>
          <w:lang w:bidi="ar"/>
        </w:rPr>
        <w:t>等待期调整系数</w:t>
      </w:r>
    </w:p>
    <w:tbl>
      <w:tblPr>
        <w:tblStyle w:val="7"/>
        <w:tblW w:w="4678" w:type="dxa"/>
        <w:tblInd w:w="19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</w:rPr>
              <w:t>等待期</w:t>
            </w: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</w:rPr>
              <w:t>0天</w:t>
            </w: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Ansi="宋体"/>
                <w:kern w:val="2"/>
                <w:sz w:val="21"/>
                <w:szCs w:val="21"/>
              </w:rPr>
              <w:t>2</w:t>
            </w:r>
            <w:r>
              <w:rPr>
                <w:rFonts w:hint="eastAsia" w:hAnsi="宋体"/>
                <w:kern w:val="2"/>
                <w:sz w:val="21"/>
                <w:szCs w:val="21"/>
              </w:rPr>
              <w:t>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</w:rPr>
              <w:t>30天</w:t>
            </w: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</w:rPr>
              <w:t>1.</w:t>
            </w:r>
            <w:r>
              <w:rPr>
                <w:rFonts w:hAnsi="宋体"/>
                <w:kern w:val="2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</w:rPr>
              <w:t>60天</w:t>
            </w: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Ansi="宋体"/>
                <w:kern w:val="2"/>
                <w:sz w:val="21"/>
                <w:szCs w:val="21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</w:rPr>
              <w:t>90天</w:t>
            </w: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Ansi="宋体"/>
                <w:kern w:val="2"/>
                <w:sz w:val="21"/>
                <w:szCs w:val="21"/>
              </w:rPr>
              <w:t>1</w:t>
            </w:r>
            <w:r>
              <w:rPr>
                <w:rFonts w:hint="eastAsia" w:hAnsi="宋体"/>
                <w:kern w:val="2"/>
                <w:sz w:val="21"/>
                <w:szCs w:val="21"/>
              </w:rPr>
              <w:t>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</w:rPr>
              <w:t>120天</w:t>
            </w: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ascii="Calibri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</w:rPr>
              <w:t>0.</w:t>
            </w:r>
            <w:r>
              <w:rPr>
                <w:rFonts w:hAnsi="宋体"/>
                <w:kern w:val="2"/>
                <w:sz w:val="21"/>
                <w:szCs w:val="21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shd w:val="clear" w:color="auto" w:fill="auto"/>
          </w:tcPr>
          <w:p>
            <w:pPr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</w:rPr>
              <w:t>1</w:t>
            </w:r>
            <w:r>
              <w:rPr>
                <w:rFonts w:hAnsi="宋体"/>
                <w:kern w:val="2"/>
                <w:sz w:val="21"/>
                <w:szCs w:val="21"/>
              </w:rPr>
              <w:t>50天</w:t>
            </w: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/>
                <w:kern w:val="2"/>
                <w:sz w:val="21"/>
                <w:szCs w:val="21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shd w:val="clear" w:color="auto" w:fill="auto"/>
          </w:tcPr>
          <w:p>
            <w:pPr>
              <w:jc w:val="center"/>
              <w:rPr>
                <w:rFonts w:hint="eastAsia" w:hAnsi="宋体" w:eastAsia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val="en-US" w:eastAsia="zh-CN"/>
              </w:rPr>
              <w:t>180天</w:t>
            </w: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hint="eastAsia" w:hAnsi="宋体" w:eastAsia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val="en-US" w:eastAsia="zh-CN"/>
              </w:rPr>
              <w:t>0.7</w:t>
            </w:r>
          </w:p>
        </w:tc>
      </w:tr>
    </w:tbl>
    <w:p>
      <w:pPr>
        <w:numPr>
          <w:ilvl w:val="255"/>
          <w:numId w:val="0"/>
        </w:numPr>
        <w:ind w:firstLine="630" w:firstLineChars="300"/>
        <w:rPr>
          <w:rFonts w:hint="eastAsia" w:hAnsi="宋体" w:cs="Arial"/>
          <w:bCs/>
          <w:color w:val="000000"/>
          <w:kern w:val="2"/>
          <w:sz w:val="21"/>
          <w:szCs w:val="21"/>
          <w:lang w:val="en-US" w:eastAsia="zh-CN"/>
        </w:rPr>
      </w:pPr>
    </w:p>
    <w:p>
      <w:pPr>
        <w:numPr>
          <w:ilvl w:val="255"/>
          <w:numId w:val="0"/>
        </w:numPr>
        <w:ind w:firstLine="420" w:firstLineChars="200"/>
        <w:rPr>
          <w:rFonts w:hAnsi="宋体" w:cs="Arial"/>
          <w:bCs/>
          <w:color w:val="000000"/>
          <w:kern w:val="2"/>
          <w:sz w:val="21"/>
          <w:szCs w:val="21"/>
          <w:lang w:bidi="ar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  <w:lang w:val="en-US" w:eastAsia="zh-CN"/>
        </w:rPr>
        <w:t>6.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缴费方式调整系数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  <w:lang w:bidi="ar"/>
        </w:rPr>
      </w:pPr>
    </w:p>
    <w:tbl>
      <w:tblPr>
        <w:tblStyle w:val="7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bookmarkStart w:id="0" w:name="OLE_LINK3"/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缴费方式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[1.0,1.10]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一次性缴清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[0.95,1.0]</w:t>
            </w:r>
          </w:p>
        </w:tc>
      </w:tr>
      <w:bookmarkEnd w:id="0"/>
    </w:tbl>
    <w:p>
      <w:pPr>
        <w:spacing w:line="240" w:lineRule="auto"/>
        <w:ind w:firstLine="210" w:firstLineChars="100"/>
        <w:rPr>
          <w:rFonts w:hint="eastAsia" w:hAnsi="宋体"/>
          <w:b w:val="0"/>
          <w:sz w:val="21"/>
          <w:lang w:val="en-US" w:eastAsia="zh-CN" w:bidi="ar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 xml:space="preserve"> 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2" w:firstLineChars="200"/>
        <w:textAlignment w:val="auto"/>
        <w:rPr>
          <w:rFonts w:hint="eastAsia" w:hAnsi="宋体"/>
          <w:b/>
          <w:sz w:val="21"/>
        </w:rPr>
      </w:pPr>
      <w:r>
        <w:rPr>
          <w:rFonts w:hint="eastAsia" w:hAnsi="宋体"/>
          <w:b/>
          <w:sz w:val="21"/>
          <w:lang w:val="en-US" w:eastAsia="zh-CN"/>
        </w:rPr>
        <w:t>三、保险费</w:t>
      </w:r>
      <w:r>
        <w:rPr>
          <w:rFonts w:hint="eastAsia" w:hAnsi="宋体"/>
          <w:b/>
          <w:sz w:val="21"/>
        </w:rPr>
        <w:t>计算</w:t>
      </w:r>
    </w:p>
    <w:p>
      <w:pPr>
        <w:spacing w:line="360" w:lineRule="auto"/>
        <w:ind w:firstLine="420" w:firstLineChars="200"/>
        <w:jc w:val="left"/>
        <w:rPr>
          <w:rFonts w:hint="eastAsia" w:hAnsi="宋体" w:cs="Arial"/>
          <w:kern w:val="2"/>
          <w:sz w:val="21"/>
          <w:szCs w:val="21"/>
        </w:rPr>
      </w:pPr>
      <w:r>
        <w:rPr>
          <w:rFonts w:hint="eastAsia" w:hAnsi="宋体"/>
          <w:b w:val="0"/>
          <w:color w:val="auto"/>
          <w:sz w:val="21"/>
          <w:lang w:val="en-US" w:eastAsia="zh-CN"/>
        </w:rPr>
        <w:t>1.</w:t>
      </w:r>
      <w:r>
        <w:rPr>
          <w:rFonts w:hint="eastAsia" w:hAnsi="宋体"/>
          <w:color w:val="auto"/>
          <w:sz w:val="21"/>
        </w:rPr>
        <w:t>年保</w:t>
      </w:r>
      <w:r>
        <w:rPr>
          <w:rFonts w:hint="eastAsia" w:hAnsi="宋体"/>
          <w:sz w:val="21"/>
        </w:rPr>
        <w:t>险费=年基准保险费×免赔额调整系数×</w:t>
      </w:r>
      <w:r>
        <w:rPr>
          <w:rFonts w:hint="eastAsia" w:hAnsi="宋体"/>
          <w:sz w:val="21"/>
          <w:lang w:val="en-US" w:eastAsia="zh-CN"/>
        </w:rPr>
        <w:t>给付</w:t>
      </w:r>
      <w:r>
        <w:rPr>
          <w:rFonts w:hint="eastAsia" w:hAnsi="宋体"/>
          <w:sz w:val="21"/>
        </w:rPr>
        <w:t>比例调整系数×规模调整系数×历史赔付率调整系数</w:t>
      </w:r>
      <w:r>
        <w:rPr>
          <w:rFonts w:hint="eastAsia" w:hAnsi="宋体" w:cs="Arial"/>
          <w:kern w:val="2"/>
          <w:sz w:val="21"/>
          <w:szCs w:val="21"/>
        </w:rPr>
        <w:t>×等待期调整系数</w:t>
      </w:r>
      <w:r>
        <w:rPr>
          <w:rFonts w:hint="eastAsia" w:hAnsi="宋体"/>
          <w:sz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缴费方式调整系数</w:t>
      </w:r>
    </w:p>
    <w:p>
      <w:pPr>
        <w:spacing w:line="360" w:lineRule="auto"/>
        <w:ind w:firstLine="420" w:firstLineChars="200"/>
        <w:jc w:val="left"/>
        <w:rPr>
          <w:rFonts w:hint="eastAsia" w:hAnsi="宋体" w:cs="Times New Roman"/>
          <w:color w:val="auto"/>
          <w:kern w:val="0"/>
          <w:sz w:val="21"/>
          <w:szCs w:val="22"/>
          <w:lang w:val="en-US" w:eastAsia="zh-CN"/>
        </w:rPr>
      </w:pPr>
      <w:r>
        <w:rPr>
          <w:rFonts w:hint="eastAsia" w:hAnsi="宋体" w:cs="Times New Roman"/>
          <w:color w:val="auto"/>
          <w:kern w:val="0"/>
          <w:sz w:val="21"/>
          <w:szCs w:val="22"/>
          <w:lang w:val="en-US" w:eastAsia="zh-CN"/>
        </w:rPr>
        <w:t>2.保险合同按分期缴付保险费，</w:t>
      </w:r>
      <w:r>
        <w:rPr>
          <w:rFonts w:hint="eastAsia" w:hAnsi="宋体" w:cs="Times New Roman"/>
          <w:color w:val="auto"/>
          <w:kern w:val="0"/>
          <w:sz w:val="21"/>
          <w:szCs w:val="22"/>
        </w:rPr>
        <w:t>根据保险费分期支付期数</w:t>
      </w:r>
      <w:r>
        <w:rPr>
          <w:rFonts w:hint="eastAsia" w:hAnsi="宋体" w:cs="Times New Roman"/>
          <w:color w:val="auto"/>
          <w:kern w:val="0"/>
          <w:sz w:val="21"/>
          <w:szCs w:val="22"/>
          <w:lang w:eastAsia="zh-CN"/>
        </w:rPr>
        <w:t>，</w:t>
      </w:r>
      <w:r>
        <w:rPr>
          <w:rFonts w:hint="eastAsia" w:hAnsi="宋体" w:cs="Times New Roman"/>
          <w:color w:val="auto"/>
          <w:kern w:val="0"/>
          <w:sz w:val="21"/>
          <w:szCs w:val="22"/>
          <w:lang w:val="en-US" w:eastAsia="zh-CN"/>
        </w:rPr>
        <w:t>使用如下</w:t>
      </w:r>
      <w:r>
        <w:rPr>
          <w:rFonts w:hint="eastAsia" w:hAnsi="宋体" w:cs="Times New Roman"/>
          <w:color w:val="auto"/>
          <w:kern w:val="0"/>
          <w:sz w:val="21"/>
          <w:szCs w:val="22"/>
        </w:rPr>
        <w:t>公式计收每期保险费：</w:t>
      </w:r>
    </w:p>
    <w:p>
      <w:pPr>
        <w:spacing w:line="360" w:lineRule="auto"/>
        <w:ind w:firstLine="420" w:firstLineChars="200"/>
        <w:jc w:val="left"/>
        <w:rPr>
          <w:rFonts w:hint="eastAsia" w:hAnsi="宋体" w:cs="Times New Roman"/>
          <w:color w:val="auto"/>
          <w:kern w:val="0"/>
          <w:sz w:val="21"/>
          <w:szCs w:val="22"/>
        </w:rPr>
      </w:pPr>
      <w:r>
        <w:rPr>
          <w:rFonts w:hint="eastAsia" w:hAnsi="宋体" w:cs="Times New Roman"/>
          <w:color w:val="auto"/>
          <w:kern w:val="0"/>
          <w:sz w:val="21"/>
          <w:szCs w:val="22"/>
        </w:rPr>
        <w:t>每期保险费</w:t>
      </w:r>
      <w:r>
        <w:rPr>
          <w:rFonts w:hint="eastAsia" w:hAnsi="宋体" w:cs="Times New Roman"/>
          <w:color w:val="auto"/>
          <w:kern w:val="0"/>
          <w:sz w:val="21"/>
          <w:szCs w:val="22"/>
          <w:lang w:eastAsia="zh-CN"/>
        </w:rPr>
        <w:t>（</w:t>
      </w:r>
      <w:r>
        <w:rPr>
          <w:rFonts w:hint="eastAsia" w:hAnsi="宋体" w:cs="Times New Roman"/>
          <w:color w:val="auto"/>
          <w:kern w:val="0"/>
          <w:sz w:val="21"/>
          <w:szCs w:val="22"/>
          <w:lang w:val="en-US" w:eastAsia="zh-CN"/>
        </w:rPr>
        <w:t>按四舍五入计算）</w:t>
      </w:r>
      <w:r>
        <w:rPr>
          <w:rFonts w:hint="eastAsia" w:hAnsi="宋体" w:cs="Times New Roman"/>
          <w:color w:val="auto"/>
          <w:kern w:val="0"/>
          <w:sz w:val="21"/>
          <w:szCs w:val="22"/>
        </w:rPr>
        <w:t>=</w:t>
      </w:r>
      <w:r>
        <w:rPr>
          <w:rFonts w:hint="eastAsia" w:hAnsi="宋体" w:cs="Times New Roman"/>
          <w:color w:val="auto"/>
          <w:kern w:val="0"/>
          <w:sz w:val="21"/>
          <w:szCs w:val="22"/>
          <w:lang w:val="en-US" w:eastAsia="zh-CN"/>
        </w:rPr>
        <w:t>年保险费</w:t>
      </w:r>
      <w:r>
        <w:rPr>
          <w:rFonts w:hint="eastAsia" w:hAnsi="宋体" w:cs="Times New Roman"/>
          <w:color w:val="auto"/>
          <w:kern w:val="0"/>
          <w:sz w:val="21"/>
          <w:szCs w:val="22"/>
        </w:rPr>
        <w:t>÷分期</w:t>
      </w:r>
      <w:r>
        <w:rPr>
          <w:rFonts w:hint="eastAsia" w:hAnsi="宋体" w:cs="Times New Roman"/>
          <w:color w:val="auto"/>
          <w:kern w:val="0"/>
          <w:sz w:val="21"/>
          <w:szCs w:val="22"/>
          <w:lang w:val="en-US" w:eastAsia="zh-CN"/>
        </w:rPr>
        <w:t>缴</w:t>
      </w:r>
      <w:r>
        <w:rPr>
          <w:rFonts w:hint="eastAsia" w:hAnsi="宋体" w:cs="Times New Roman"/>
          <w:color w:val="auto"/>
          <w:kern w:val="0"/>
          <w:sz w:val="21"/>
          <w:szCs w:val="22"/>
        </w:rPr>
        <w:t>费期数</w:t>
      </w:r>
    </w:p>
    <w:p>
      <w:pPr>
        <w:spacing w:line="360" w:lineRule="auto"/>
        <w:ind w:firstLine="420" w:firstLineChars="200"/>
        <w:jc w:val="left"/>
        <w:rPr>
          <w:rFonts w:hint="eastAsia" w:hAnsi="宋体" w:cs="Times New Roman"/>
          <w:color w:val="auto"/>
          <w:kern w:val="0"/>
          <w:sz w:val="21"/>
          <w:szCs w:val="22"/>
        </w:rPr>
      </w:pPr>
      <w:r>
        <w:rPr>
          <w:rFonts w:hint="eastAsia" w:hAnsi="宋体"/>
          <w:color w:val="auto"/>
          <w:sz w:val="21"/>
        </w:rPr>
        <w:t>注：本产品涉及分期缴费，每期缴费金额一致。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2" w:firstLineChars="200"/>
        <w:textAlignment w:val="auto"/>
        <w:rPr>
          <w:rFonts w:hAnsi="宋体"/>
          <w:b/>
          <w:sz w:val="21"/>
        </w:rPr>
      </w:pPr>
      <w:r>
        <w:rPr>
          <w:rFonts w:hint="eastAsia" w:hAnsi="宋体"/>
          <w:b/>
          <w:sz w:val="21"/>
        </w:rPr>
        <w:t>四、短期费率表</w:t>
      </w:r>
    </w:p>
    <w:p>
      <w:pPr>
        <w:snapToGrid w:val="0"/>
        <w:spacing w:line="288" w:lineRule="auto"/>
        <w:ind w:firstLine="482"/>
        <w:rPr>
          <w:rFonts w:hAnsi="宋体"/>
          <w:sz w:val="21"/>
        </w:rPr>
      </w:pPr>
      <w:r>
        <w:rPr>
          <w:rFonts w:hint="eastAsia" w:hAnsi="宋体"/>
          <w:sz w:val="21"/>
        </w:rPr>
        <w:t>保险期间不足一年的，按以下标准计算短期保险费（按年保险费的百分比计算，不足一个月的按一个月计算）：</w:t>
      </w:r>
    </w:p>
    <w:tbl>
      <w:tblPr>
        <w:tblStyle w:val="7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保险期间（月）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5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6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7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8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9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10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100%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B5B0E66"/>
    <w:rsid w:val="00002D5C"/>
    <w:rsid w:val="00074012"/>
    <w:rsid w:val="000D047F"/>
    <w:rsid w:val="00173657"/>
    <w:rsid w:val="001A78DD"/>
    <w:rsid w:val="00250A54"/>
    <w:rsid w:val="00296E30"/>
    <w:rsid w:val="002A103F"/>
    <w:rsid w:val="0034578F"/>
    <w:rsid w:val="0037753C"/>
    <w:rsid w:val="00545284"/>
    <w:rsid w:val="00571737"/>
    <w:rsid w:val="0060173C"/>
    <w:rsid w:val="006C7DD1"/>
    <w:rsid w:val="008E214D"/>
    <w:rsid w:val="009440E7"/>
    <w:rsid w:val="009516BA"/>
    <w:rsid w:val="009C370E"/>
    <w:rsid w:val="00A5099B"/>
    <w:rsid w:val="00AA34F9"/>
    <w:rsid w:val="00AE2F5B"/>
    <w:rsid w:val="00B02D30"/>
    <w:rsid w:val="00B05FEC"/>
    <w:rsid w:val="00B16ACF"/>
    <w:rsid w:val="00C049CB"/>
    <w:rsid w:val="00C25771"/>
    <w:rsid w:val="00CF7C25"/>
    <w:rsid w:val="00E46353"/>
    <w:rsid w:val="00EF1ED1"/>
    <w:rsid w:val="00F536B6"/>
    <w:rsid w:val="00F91E73"/>
    <w:rsid w:val="00FA4D54"/>
    <w:rsid w:val="00FB402C"/>
    <w:rsid w:val="05FA0328"/>
    <w:rsid w:val="074B518D"/>
    <w:rsid w:val="08F644C0"/>
    <w:rsid w:val="0C7D530C"/>
    <w:rsid w:val="0D502222"/>
    <w:rsid w:val="0DB8110E"/>
    <w:rsid w:val="11A7776D"/>
    <w:rsid w:val="13A53C0C"/>
    <w:rsid w:val="14A32C59"/>
    <w:rsid w:val="217837A4"/>
    <w:rsid w:val="22B811E0"/>
    <w:rsid w:val="27D60AEC"/>
    <w:rsid w:val="2B697738"/>
    <w:rsid w:val="2EF146C7"/>
    <w:rsid w:val="30DD699C"/>
    <w:rsid w:val="3BA400EF"/>
    <w:rsid w:val="3D356E64"/>
    <w:rsid w:val="40AB4788"/>
    <w:rsid w:val="45CF5FBA"/>
    <w:rsid w:val="48837966"/>
    <w:rsid w:val="4AD50EDB"/>
    <w:rsid w:val="4D252B1B"/>
    <w:rsid w:val="503A778E"/>
    <w:rsid w:val="52406AE7"/>
    <w:rsid w:val="5B5B0E66"/>
    <w:rsid w:val="5EE21E69"/>
    <w:rsid w:val="63AF0098"/>
    <w:rsid w:val="65F36DA4"/>
    <w:rsid w:val="673C0A1C"/>
    <w:rsid w:val="6D8E55F4"/>
    <w:rsid w:val="70CF2785"/>
    <w:rsid w:val="75744DD0"/>
    <w:rsid w:val="76C7121D"/>
    <w:rsid w:val="7700267B"/>
    <w:rsid w:val="776F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条款正文"/>
    <w:basedOn w:val="1"/>
    <w:unhideWhenUsed/>
    <w:qFormat/>
    <w:uiPriority w:val="0"/>
    <w:pPr>
      <w:adjustRightInd w:val="0"/>
      <w:snapToGrid w:val="0"/>
      <w:ind w:left="840" w:leftChars="400" w:firstLine="420" w:firstLineChars="200"/>
    </w:pPr>
    <w:rPr>
      <w:rFonts w:ascii="Times New Roman"/>
      <w:sz w:val="21"/>
    </w:rPr>
  </w:style>
  <w:style w:type="character" w:customStyle="1" w:styleId="11">
    <w:name w:val="批注框文本 Char"/>
    <w:basedOn w:val="8"/>
    <w:link w:val="3"/>
    <w:qFormat/>
    <w:uiPriority w:val="0"/>
    <w:rPr>
      <w:rFonts w:ascii="宋体"/>
      <w:sz w:val="18"/>
      <w:szCs w:val="18"/>
    </w:rPr>
  </w:style>
  <w:style w:type="character" w:customStyle="1" w:styleId="12">
    <w:name w:val="页眉 Char"/>
    <w:basedOn w:val="8"/>
    <w:link w:val="5"/>
    <w:qFormat/>
    <w:uiPriority w:val="0"/>
    <w:rPr>
      <w:rFonts w:ascii="宋体"/>
      <w:sz w:val="18"/>
      <w:szCs w:val="18"/>
    </w:rPr>
  </w:style>
  <w:style w:type="character" w:customStyle="1" w:styleId="13">
    <w:name w:val="页脚 Char"/>
    <w:basedOn w:val="8"/>
    <w:link w:val="4"/>
    <w:qFormat/>
    <w:uiPriority w:val="0"/>
    <w:rPr>
      <w:rFonts w:ascii="宋体"/>
      <w:sz w:val="18"/>
      <w:szCs w:val="18"/>
    </w:rPr>
  </w:style>
  <w:style w:type="character" w:customStyle="1" w:styleId="14">
    <w:name w:val="批注文字 Char"/>
    <w:basedOn w:val="8"/>
    <w:link w:val="2"/>
    <w:qFormat/>
    <w:uiPriority w:val="0"/>
    <w:rPr>
      <w:rFonts w:ascii="宋体"/>
      <w:sz w:val="34"/>
      <w:szCs w:val="22"/>
    </w:rPr>
  </w:style>
  <w:style w:type="character" w:customStyle="1" w:styleId="15">
    <w:name w:val="批注主题 Char"/>
    <w:basedOn w:val="14"/>
    <w:link w:val="6"/>
    <w:qFormat/>
    <w:uiPriority w:val="0"/>
    <w:rPr>
      <w:rFonts w:ascii="宋体"/>
      <w:b/>
      <w:bCs/>
      <w:sz w:val="3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703</Words>
  <Characters>1288</Characters>
  <Lines>13</Lines>
  <Paragraphs>3</Paragraphs>
  <TotalTime>1</TotalTime>
  <ScaleCrop>false</ScaleCrop>
  <LinksUpToDate>false</LinksUpToDate>
  <CharactersWithSpaces>1425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2021-04-12T03:23:00Z</dcterms:created>
  <dc:creator>Lenovo</dc:creator>
  <cp:lastModifiedBy>Zixuan Shen</cp:lastModifiedBy>
  <dcterms:modified xsi:type="dcterms:W3CDTF">2022-04-23T09:08:33Z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5CB008CA1677497486352329099D9237</vt:lpwstr>
  </property>
  <property fmtid="{D5CDD505-2E9C-101B-9397-08002B2CF9AE}" pid="4" name="commondata">
    <vt:lpwstr>eyJoZGlkIjoiMDRiMmE0ZjljZDExM2YyODdkMDQ1ZGRhYjY0YmQ5MmQifQ==</vt:lpwstr>
  </property>
</Properties>
</file>