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73CBF">
      <w:pPr>
        <w:snapToGrid w:val="0"/>
        <w:spacing w:afterLines="0" w:line="24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华农财产保险股份有限公司租赁住房财产保障保险</w:t>
      </w:r>
    </w:p>
    <w:p w14:paraId="3AC92850">
      <w:pPr>
        <w:snapToGrid w:val="0"/>
        <w:spacing w:afterLines="0" w:line="24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附加承租人家庭成员意外伤害保险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2025版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/>
          <w:sz w:val="28"/>
          <w:szCs w:val="28"/>
        </w:rPr>
        <w:t>费率表</w:t>
      </w:r>
    </w:p>
    <w:p w14:paraId="54A8D853">
      <w:pPr>
        <w:snapToGrid w:val="0"/>
        <w:spacing w:afterLines="0" w:line="24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</w:p>
    <w:p w14:paraId="521C68CB">
      <w:pPr>
        <w:snapToGrid w:val="0"/>
        <w:spacing w:afterLines="0" w:line="240" w:lineRule="auto"/>
        <w:rPr>
          <w:rFonts w:ascii="宋体" w:hAnsi="宋体" w:eastAsia="宋体" w:cs="宋体"/>
          <w:b/>
          <w:szCs w:val="21"/>
        </w:rPr>
      </w:pPr>
    </w:p>
    <w:p w14:paraId="26ED0485">
      <w:pPr>
        <w:spacing w:after="0" w:afterLines="0"/>
        <w:ind w:firstLine="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一、基准费率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5"/>
        <w:gridCol w:w="2497"/>
      </w:tblGrid>
      <w:tr w14:paraId="76FBC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25" w:type="dxa"/>
            <w:shd w:val="clear" w:color="auto" w:fill="auto"/>
            <w:vAlign w:val="center"/>
          </w:tcPr>
          <w:p w14:paraId="6DD334CF">
            <w:pPr>
              <w:spacing w:afterLines="0"/>
              <w:jc w:val="center"/>
              <w:rPr>
                <w:rFonts w:hint="default" w:ascii="宋体" w:hAnsi="宋体" w:eastAsia="宋体" w:cs="宋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lang w:val="en-US" w:eastAsia="zh-CN"/>
              </w:rPr>
              <w:t>意外事故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5A9DE8E0">
            <w:pPr>
              <w:spacing w:afterLines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基准费率</w:t>
            </w:r>
          </w:p>
        </w:tc>
      </w:tr>
      <w:tr w14:paraId="7E282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25" w:type="dxa"/>
            <w:shd w:val="clear" w:color="auto" w:fill="auto"/>
            <w:vAlign w:val="center"/>
          </w:tcPr>
          <w:p w14:paraId="340DF483">
            <w:pPr>
              <w:spacing w:afterLine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火灾爆炸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166A1158">
            <w:pPr>
              <w:spacing w:afterLine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0.024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%</w:t>
            </w:r>
          </w:p>
        </w:tc>
      </w:tr>
      <w:tr w14:paraId="3641F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25" w:type="dxa"/>
            <w:shd w:val="clear" w:color="auto" w:fill="auto"/>
            <w:vAlign w:val="center"/>
          </w:tcPr>
          <w:p w14:paraId="65B7ACCB">
            <w:pPr>
              <w:spacing w:afterLines="0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燃气泄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漏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526CE2B4">
            <w:pPr>
              <w:spacing w:afterLine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0.012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%</w:t>
            </w:r>
          </w:p>
        </w:tc>
      </w:tr>
      <w:tr w14:paraId="2C758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25" w:type="dxa"/>
            <w:shd w:val="clear" w:color="auto" w:fill="auto"/>
            <w:vAlign w:val="center"/>
          </w:tcPr>
          <w:p w14:paraId="1AA11D53">
            <w:pPr>
              <w:spacing w:afterLine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电气线路或电器设备漏电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31EEAD27">
            <w:pPr>
              <w:spacing w:afterLine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0.017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%</w:t>
            </w:r>
          </w:p>
        </w:tc>
      </w:tr>
      <w:tr w14:paraId="16A9E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25" w:type="dxa"/>
            <w:shd w:val="clear" w:color="auto" w:fill="auto"/>
            <w:vAlign w:val="center"/>
          </w:tcPr>
          <w:p w14:paraId="34B8D985">
            <w:pPr>
              <w:spacing w:afterLine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盗窃或入室抢劫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327D942A">
            <w:pPr>
              <w:spacing w:afterLine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0.019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%</w:t>
            </w:r>
          </w:p>
        </w:tc>
      </w:tr>
    </w:tbl>
    <w:p w14:paraId="0F51D667">
      <w:pPr>
        <w:spacing w:after="0" w:afterLines="0"/>
        <w:ind w:firstLine="42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 xml:space="preserve"> </w:t>
      </w:r>
    </w:p>
    <w:p w14:paraId="519AF50C">
      <w:pPr>
        <w:spacing w:after="0" w:afterLines="0"/>
        <w:ind w:firstLine="420"/>
        <w:rPr>
          <w:rFonts w:ascii="宋体" w:hAnsi="宋体" w:eastAsia="宋体" w:cs="宋体"/>
          <w:szCs w:val="21"/>
        </w:rPr>
      </w:pPr>
    </w:p>
    <w:p w14:paraId="40B7C013">
      <w:pPr>
        <w:spacing w:after="0" w:afterLines="0"/>
        <w:ind w:firstLine="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二、费率调整系数</w:t>
      </w:r>
    </w:p>
    <w:p w14:paraId="0B36431C">
      <w:pPr>
        <w:spacing w:after="0" w:afterLines="0"/>
        <w:ind w:left="0" w:firstLine="420" w:firstLineChars="200"/>
        <w:rPr>
          <w:rStyle w:val="11"/>
          <w:rFonts w:hint="default" w:ascii="宋体" w:hAnsi="宋体" w:eastAsia="宋体" w:cs="宋体"/>
          <w:lang w:val="en-US" w:eastAsia="zh-CN"/>
        </w:rPr>
      </w:pPr>
      <w:r>
        <w:rPr>
          <w:rStyle w:val="11"/>
          <w:rFonts w:hint="eastAsia" w:ascii="宋体" w:hAnsi="宋体" w:eastAsia="宋体" w:cs="宋体"/>
        </w:rPr>
        <w:t>1</w:t>
      </w:r>
      <w:r>
        <w:rPr>
          <w:rStyle w:val="11"/>
          <w:rFonts w:hint="eastAsia" w:ascii="宋体" w:hAnsi="宋体" w:eastAsia="宋体" w:cs="宋体"/>
          <w:lang w:eastAsia="zh-CN"/>
        </w:rPr>
        <w:t>、家庭</w:t>
      </w:r>
      <w:r>
        <w:rPr>
          <w:rStyle w:val="11"/>
          <w:rFonts w:hint="eastAsia" w:ascii="宋体" w:hAnsi="宋体" w:eastAsia="宋体" w:cs="宋体"/>
          <w:lang w:val="en-US" w:eastAsia="zh-CN"/>
        </w:rPr>
        <w:t>意外伤害</w:t>
      </w:r>
      <w:r>
        <w:rPr>
          <w:rStyle w:val="11"/>
          <w:rFonts w:hint="eastAsia" w:ascii="宋体" w:hAnsi="宋体" w:eastAsia="宋体" w:cs="宋体"/>
          <w:lang w:eastAsia="zh-CN"/>
        </w:rPr>
        <w:t>保险金额分配方式</w:t>
      </w:r>
      <w:r>
        <w:rPr>
          <w:rStyle w:val="11"/>
          <w:rFonts w:hint="eastAsia" w:ascii="宋体" w:hAnsi="宋体" w:eastAsia="宋体" w:cs="宋体"/>
          <w:lang w:val="en-US" w:eastAsia="zh-CN"/>
        </w:rPr>
        <w:t>调整系数（F1）</w:t>
      </w:r>
    </w:p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3"/>
        <w:gridCol w:w="2479"/>
      </w:tblGrid>
      <w:tr w14:paraId="7060F7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7F7B95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家庭意外伤害保险金额分配方式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189DCA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调整系数</w:t>
            </w:r>
          </w:p>
        </w:tc>
      </w:tr>
      <w:tr w14:paraId="4A3E0D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A31A0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均分家庭意外伤害保险金额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579E9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 </w:t>
            </w:r>
          </w:p>
        </w:tc>
      </w:tr>
      <w:tr w14:paraId="7F9E8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78D00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共享家庭意外伤害保险金额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30CAFE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</w:t>
            </w:r>
          </w:p>
        </w:tc>
      </w:tr>
    </w:tbl>
    <w:p w14:paraId="7DD5CE9D">
      <w:pPr>
        <w:spacing w:after="0" w:afterLines="0"/>
        <w:ind w:left="0" w:firstLine="420" w:firstLineChars="200"/>
        <w:rPr>
          <w:rFonts w:ascii="宋体" w:hAnsi="宋体" w:eastAsia="宋体" w:cs="宋体"/>
          <w:szCs w:val="21"/>
        </w:rPr>
      </w:pPr>
      <w:r>
        <w:rPr>
          <w:rStyle w:val="11"/>
          <w:rFonts w:hint="eastAsia" w:ascii="宋体" w:hAnsi="宋体" w:eastAsia="宋体" w:cs="宋体"/>
          <w:lang w:val="en-US" w:eastAsia="zh-CN"/>
        </w:rPr>
        <w:t>2、</w:t>
      </w:r>
      <w:r>
        <w:rPr>
          <w:rFonts w:hint="eastAsia" w:ascii="宋体" w:hAnsi="宋体" w:cs="宋体"/>
          <w:b w:val="0"/>
          <w:bCs/>
          <w:color w:val="auto"/>
          <w:szCs w:val="21"/>
        </w:rPr>
        <w:t>被保险家庭成员人数调整系数</w:t>
      </w:r>
      <w:r>
        <w:rPr>
          <w:rStyle w:val="11"/>
          <w:rFonts w:hint="eastAsia" w:ascii="宋体" w:hAnsi="宋体" w:eastAsia="宋体" w:cs="宋体"/>
        </w:rPr>
        <w:t>（F</w:t>
      </w:r>
      <w:r>
        <w:rPr>
          <w:rStyle w:val="11"/>
          <w:rFonts w:hint="eastAsia" w:ascii="宋体" w:hAnsi="宋体" w:eastAsia="宋体" w:cs="宋体"/>
          <w:lang w:val="en-US" w:eastAsia="zh-CN"/>
        </w:rPr>
        <w:t>2</w:t>
      </w:r>
      <w:r>
        <w:rPr>
          <w:rStyle w:val="11"/>
          <w:rFonts w:hint="eastAsia" w:ascii="宋体" w:hAnsi="宋体" w:eastAsia="宋体" w:cs="宋体"/>
        </w:rPr>
        <w:t>）</w:t>
      </w:r>
    </w:p>
    <w:tbl>
      <w:tblPr>
        <w:tblStyle w:val="9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0"/>
        <w:gridCol w:w="2522"/>
      </w:tblGrid>
      <w:tr w14:paraId="265C42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6000" w:type="dxa"/>
            <w:vAlign w:val="top"/>
          </w:tcPr>
          <w:p w14:paraId="7E232D1C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Cs w:val="21"/>
              </w:rPr>
              <w:t>被保险家庭成员人数（人）</w:t>
            </w:r>
          </w:p>
        </w:tc>
        <w:tc>
          <w:tcPr>
            <w:tcW w:w="2522" w:type="dxa"/>
            <w:vAlign w:val="top"/>
          </w:tcPr>
          <w:p w14:paraId="1A16F36C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Cs w:val="21"/>
              </w:rPr>
              <w:t>调整系数</w:t>
            </w:r>
          </w:p>
        </w:tc>
      </w:tr>
      <w:tr w14:paraId="4F6788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  <w:jc w:val="center"/>
        </w:trPr>
        <w:tc>
          <w:tcPr>
            <w:tcW w:w="6000" w:type="dxa"/>
            <w:vAlign w:val="top"/>
          </w:tcPr>
          <w:p w14:paraId="52ACD238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</w:t>
            </w:r>
          </w:p>
        </w:tc>
        <w:tc>
          <w:tcPr>
            <w:tcW w:w="2522" w:type="dxa"/>
            <w:vAlign w:val="top"/>
          </w:tcPr>
          <w:p w14:paraId="7FEC2E09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rPr>
                <w:rFonts w:hint="eastAsia" w:ascii="宋体" w:hAnsi="宋体" w:eastAsia="PMingLiU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0.</w:t>
            </w:r>
            <w:r>
              <w:rPr>
                <w:rFonts w:hint="eastAsia" w:ascii="宋体" w:hAnsi="宋体" w:eastAsia="PMingLiU" w:cs="宋体"/>
                <w:szCs w:val="21"/>
                <w:lang w:eastAsia="zh-TW"/>
              </w:rPr>
              <w:t>625</w:t>
            </w:r>
          </w:p>
        </w:tc>
      </w:tr>
      <w:tr w14:paraId="0CEF93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6000" w:type="dxa"/>
            <w:vAlign w:val="top"/>
          </w:tcPr>
          <w:p w14:paraId="1684973C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2</w:t>
            </w:r>
          </w:p>
        </w:tc>
        <w:tc>
          <w:tcPr>
            <w:tcW w:w="2522" w:type="dxa"/>
            <w:vAlign w:val="top"/>
          </w:tcPr>
          <w:p w14:paraId="22E11E98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1.0</w:t>
            </w:r>
          </w:p>
        </w:tc>
      </w:tr>
      <w:tr w14:paraId="40C2A0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  <w:jc w:val="center"/>
        </w:trPr>
        <w:tc>
          <w:tcPr>
            <w:tcW w:w="6000" w:type="dxa"/>
            <w:vAlign w:val="top"/>
          </w:tcPr>
          <w:p w14:paraId="5E3E8360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[3,6]</w:t>
            </w:r>
          </w:p>
        </w:tc>
        <w:tc>
          <w:tcPr>
            <w:tcW w:w="2522" w:type="dxa"/>
            <w:vAlign w:val="top"/>
          </w:tcPr>
          <w:p w14:paraId="158EDC22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[1.2,2.0]</w:t>
            </w:r>
          </w:p>
        </w:tc>
      </w:tr>
      <w:tr w14:paraId="3ABF1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6000" w:type="dxa"/>
            <w:vAlign w:val="top"/>
          </w:tcPr>
          <w:p w14:paraId="51FFCD39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＞6</w:t>
            </w:r>
          </w:p>
        </w:tc>
        <w:tc>
          <w:tcPr>
            <w:tcW w:w="2522" w:type="dxa"/>
            <w:vAlign w:val="top"/>
          </w:tcPr>
          <w:p w14:paraId="66A9F400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color w:val="auto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0</w:t>
            </w:r>
            <w:r>
              <w:rPr>
                <w:rFonts w:hint="eastAsia" w:ascii="宋体" w:hAnsi="宋体" w:cs="宋体"/>
                <w:color w:val="auto"/>
                <w:szCs w:val="21"/>
              </w:rPr>
              <w:t>,3.0]</w:t>
            </w:r>
          </w:p>
        </w:tc>
      </w:tr>
    </w:tbl>
    <w:p w14:paraId="638B777F">
      <w:pPr>
        <w:autoSpaceDE w:val="0"/>
        <w:autoSpaceDN w:val="0"/>
        <w:adjustRightInd w:val="0"/>
        <w:spacing w:after="0" w:afterLines="0" w:line="240" w:lineRule="auto"/>
        <w:ind w:firstLine="420" w:firstLineChars="200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注：</w:t>
      </w:r>
      <w:r>
        <w:rPr>
          <w:rFonts w:hint="eastAsia" w:ascii="宋体" w:hAnsi="宋体" w:cs="宋体"/>
          <w:b w:val="0"/>
          <w:bCs/>
          <w:color w:val="auto"/>
          <w:szCs w:val="21"/>
        </w:rPr>
        <w:t>仅适用于共享家庭保险金额的分配方式</w:t>
      </w:r>
      <w:r>
        <w:rPr>
          <w:rFonts w:hint="default" w:ascii="宋体" w:hAnsi="宋体" w:eastAsia="宋体" w:cs="宋体"/>
          <w:color w:val="000000"/>
          <w:szCs w:val="21"/>
          <w:lang w:val="en-US" w:eastAsia="zh-CN"/>
        </w:rPr>
        <w:t>。</w:t>
      </w:r>
    </w:p>
    <w:p w14:paraId="28C4C7B4">
      <w:pPr>
        <w:spacing w:after="0" w:afterLines="0"/>
        <w:ind w:left="0" w:firstLine="420" w:firstLineChars="200"/>
        <w:rPr>
          <w:rStyle w:val="11"/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3、经验/预期赔付率调整系数</w:t>
      </w:r>
      <w:r>
        <w:rPr>
          <w:rStyle w:val="11"/>
          <w:rFonts w:hint="eastAsia" w:ascii="宋体" w:hAnsi="宋体" w:eastAsia="宋体" w:cs="宋体"/>
          <w:lang w:val="en-US" w:eastAsia="zh-CN"/>
        </w:rPr>
        <w:t>（F3）</w:t>
      </w:r>
    </w:p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3"/>
        <w:gridCol w:w="2479"/>
      </w:tblGrid>
      <w:tr w14:paraId="4F970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DC1B9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经验/预期赔付率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F22EE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调整系数</w:t>
            </w:r>
          </w:p>
        </w:tc>
      </w:tr>
      <w:tr w14:paraId="4EEC05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A27BD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0%-65%（含）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1D3AD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[0.7,1.0]</w:t>
            </w:r>
          </w:p>
        </w:tc>
      </w:tr>
      <w:tr w14:paraId="7F548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D9D87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65%以上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00B43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(1.0,1.3]</w:t>
            </w:r>
          </w:p>
        </w:tc>
      </w:tr>
    </w:tbl>
    <w:p w14:paraId="7ACA901F">
      <w:pPr>
        <w:spacing w:after="0" w:afterLines="0"/>
        <w:ind w:left="0" w:firstLine="420" w:firstLineChars="200"/>
        <w:rPr>
          <w:rStyle w:val="11"/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4、渠道调整系数</w:t>
      </w:r>
      <w:r>
        <w:rPr>
          <w:rStyle w:val="11"/>
          <w:rFonts w:hint="eastAsia" w:ascii="宋体" w:hAnsi="宋体" w:eastAsia="宋体" w:cs="宋体"/>
          <w:lang w:val="en-US" w:eastAsia="zh-CN"/>
        </w:rPr>
        <w:t>（F4）</w:t>
      </w:r>
    </w:p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3"/>
        <w:gridCol w:w="2479"/>
      </w:tblGrid>
      <w:tr w14:paraId="406ACC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B8DA5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渠道类型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2FC6A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调整系数</w:t>
            </w:r>
          </w:p>
        </w:tc>
      </w:tr>
      <w:tr w14:paraId="7616A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8C5CB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直销（或销售费用率等同直销的渠道）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2A72F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[0.7,1.0]</w:t>
            </w:r>
          </w:p>
        </w:tc>
      </w:tr>
      <w:tr w14:paraId="0C9BE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6B83F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其他第三方渠道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92553">
            <w:pPr>
              <w:keepNext w:val="0"/>
              <w:keepLines w:val="0"/>
              <w:widowControl/>
              <w:suppressLineNumbers w:val="0"/>
              <w:spacing w:afterLine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(1.0,1.3]</w:t>
            </w:r>
          </w:p>
        </w:tc>
      </w:tr>
    </w:tbl>
    <w:p w14:paraId="4E5F8C66">
      <w:pPr>
        <w:spacing w:after="0" w:afterLines="0"/>
        <w:ind w:left="0" w:firstLine="420" w:firstLineChars="200"/>
        <w:rPr>
          <w:rStyle w:val="11"/>
          <w:rFonts w:hint="eastAsia" w:ascii="宋体" w:hAnsi="宋体" w:eastAsia="宋体" w:cs="宋体"/>
          <w:lang w:val="en-US" w:eastAsia="zh-CN"/>
        </w:rPr>
      </w:pPr>
      <w:bookmarkStart w:id="0" w:name="OLE_LINK11"/>
      <w:r>
        <w:rPr>
          <w:rStyle w:val="11"/>
          <w:rFonts w:hint="eastAsia" w:ascii="宋体" w:hAnsi="宋体" w:eastAsia="宋体" w:cs="宋体"/>
          <w:lang w:val="en-US" w:eastAsia="zh-CN"/>
        </w:rPr>
        <w:t>注：根据渠道销售费用率水平按比例调整。</w:t>
      </w:r>
      <w:bookmarkStart w:id="1" w:name="_GoBack"/>
      <w:bookmarkEnd w:id="1"/>
    </w:p>
    <w:p w14:paraId="3AD5288B">
      <w:pPr>
        <w:spacing w:after="0" w:afterLines="0"/>
        <w:ind w:left="0" w:firstLine="420" w:firstLineChars="200"/>
        <w:rPr>
          <w:rStyle w:val="11"/>
          <w:rFonts w:ascii="宋体" w:hAnsi="宋体" w:eastAsia="宋体" w:cs="宋体"/>
        </w:rPr>
      </w:pPr>
      <w:r>
        <w:rPr>
          <w:rStyle w:val="11"/>
          <w:rFonts w:hint="eastAsia" w:ascii="宋体" w:hAnsi="宋体" w:eastAsia="宋体" w:cs="宋体"/>
          <w:lang w:val="en-US" w:eastAsia="zh-CN"/>
        </w:rPr>
        <w:t>5、</w:t>
      </w:r>
      <w:r>
        <w:rPr>
          <w:rStyle w:val="11"/>
          <w:rFonts w:ascii="宋体" w:hAnsi="宋体" w:eastAsia="宋体" w:cs="宋体"/>
        </w:rPr>
        <w:t>被保险人风险防范措施调整系数</w:t>
      </w:r>
      <w:r>
        <w:rPr>
          <w:rStyle w:val="11"/>
          <w:rFonts w:hint="eastAsia" w:ascii="宋体" w:hAnsi="宋体" w:eastAsia="宋体" w:cs="宋体"/>
        </w:rPr>
        <w:t>（F</w:t>
      </w:r>
      <w:r>
        <w:rPr>
          <w:rStyle w:val="11"/>
          <w:rFonts w:hint="eastAsia" w:ascii="宋体" w:hAnsi="宋体" w:eastAsia="宋体" w:cs="宋体"/>
          <w:lang w:val="en-US" w:eastAsia="zh-CN"/>
        </w:rPr>
        <w:t>5</w:t>
      </w:r>
      <w:r>
        <w:rPr>
          <w:rStyle w:val="11"/>
          <w:rFonts w:hint="eastAsia" w:ascii="宋体" w:hAnsi="宋体" w:eastAsia="宋体" w:cs="宋体"/>
        </w:rPr>
        <w:t>）</w:t>
      </w:r>
    </w:p>
    <w:tbl>
      <w:tblPr>
        <w:tblStyle w:val="8"/>
        <w:tblW w:w="4977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45"/>
        <w:gridCol w:w="2353"/>
      </w:tblGrid>
      <w:tr w14:paraId="19783B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4" w:hRule="atLeast"/>
        </w:trPr>
        <w:tc>
          <w:tcPr>
            <w:tcW w:w="59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1E814207">
            <w:pPr>
              <w:spacing w:after="0" w:afterLines="0"/>
              <w:jc w:val="center"/>
              <w:rPr>
                <w:rStyle w:val="11"/>
                <w:rFonts w:ascii="宋体" w:hAnsi="宋体" w:eastAsia="宋体" w:cs="宋体"/>
                <w:b/>
                <w:bCs/>
              </w:rPr>
            </w:pPr>
            <w:r>
              <w:rPr>
                <w:rStyle w:val="11"/>
                <w:rFonts w:hint="eastAsia" w:ascii="宋体" w:hAnsi="宋体" w:eastAsia="宋体" w:cs="宋体"/>
                <w:b/>
                <w:bCs/>
              </w:rPr>
              <w:t>被保险人风险防范措施</w:t>
            </w:r>
          </w:p>
        </w:tc>
        <w:tc>
          <w:tcPr>
            <w:tcW w:w="23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FCEBEBD">
            <w:pPr>
              <w:spacing w:after="0" w:afterLines="0"/>
              <w:ind w:left="0"/>
              <w:jc w:val="center"/>
              <w:rPr>
                <w:rStyle w:val="11"/>
                <w:rFonts w:ascii="宋体" w:hAnsi="宋体" w:eastAsia="宋体" w:cs="宋体"/>
                <w:b/>
                <w:bCs/>
              </w:rPr>
            </w:pPr>
            <w:r>
              <w:rPr>
                <w:rStyle w:val="11"/>
                <w:rFonts w:hint="eastAsia" w:ascii="宋体" w:hAnsi="宋体" w:eastAsia="宋体" w:cs="宋体"/>
                <w:b/>
                <w:bCs/>
              </w:rPr>
              <w:t>调整系数</w:t>
            </w:r>
          </w:p>
        </w:tc>
      </w:tr>
      <w:tr w14:paraId="61A730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59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4895AEA">
            <w:pPr>
              <w:spacing w:after="0" w:afterLines="0"/>
              <w:jc w:val="center"/>
              <w:rPr>
                <w:rStyle w:val="11"/>
                <w:rFonts w:ascii="宋体" w:hAnsi="宋体" w:eastAsia="宋体" w:cs="宋体"/>
              </w:rPr>
            </w:pPr>
            <w:r>
              <w:rPr>
                <w:rStyle w:val="11"/>
                <w:rFonts w:hint="eastAsia" w:ascii="宋体" w:hAnsi="宋体" w:eastAsia="宋体" w:cs="宋体"/>
              </w:rPr>
              <w:t>较好</w:t>
            </w:r>
          </w:p>
        </w:tc>
        <w:tc>
          <w:tcPr>
            <w:tcW w:w="23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1471827A">
            <w:pPr>
              <w:spacing w:after="0" w:afterLines="0"/>
              <w:ind w:left="0"/>
              <w:jc w:val="center"/>
              <w:rPr>
                <w:rStyle w:val="11"/>
                <w:rFonts w:ascii="宋体" w:hAnsi="宋体" w:eastAsia="宋体" w:cs="宋体"/>
              </w:rPr>
            </w:pPr>
            <w:r>
              <w:rPr>
                <w:rStyle w:val="11"/>
                <w:rFonts w:hint="eastAsia" w:ascii="宋体" w:hAnsi="宋体" w:eastAsia="宋体" w:cs="宋体"/>
              </w:rPr>
              <w:t>[0.7,</w:t>
            </w:r>
            <w:r>
              <w:rPr>
                <w:rStyle w:val="11"/>
                <w:rFonts w:hint="eastAsia" w:ascii="宋体" w:hAnsi="宋体" w:eastAsia="宋体" w:cs="宋体"/>
                <w:lang w:val="en-US" w:eastAsia="zh-CN"/>
              </w:rPr>
              <w:t>0.9</w:t>
            </w:r>
            <w:r>
              <w:rPr>
                <w:rStyle w:val="11"/>
                <w:rFonts w:hint="eastAsia" w:ascii="宋体" w:hAnsi="宋体" w:eastAsia="宋体" w:cs="宋体"/>
              </w:rPr>
              <w:t>)</w:t>
            </w:r>
          </w:p>
        </w:tc>
      </w:tr>
      <w:tr w14:paraId="49A888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59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5EA4EBD">
            <w:pPr>
              <w:spacing w:after="0" w:afterLines="0"/>
              <w:jc w:val="center"/>
              <w:rPr>
                <w:rStyle w:val="11"/>
                <w:rFonts w:ascii="宋体" w:hAnsi="宋体" w:eastAsia="宋体" w:cs="宋体"/>
              </w:rPr>
            </w:pPr>
            <w:r>
              <w:rPr>
                <w:rStyle w:val="11"/>
                <w:rFonts w:hint="eastAsia" w:ascii="宋体" w:hAnsi="宋体" w:eastAsia="宋体" w:cs="宋体"/>
              </w:rPr>
              <w:t>一般</w:t>
            </w:r>
          </w:p>
        </w:tc>
        <w:tc>
          <w:tcPr>
            <w:tcW w:w="23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8DB8C76">
            <w:pPr>
              <w:spacing w:after="0" w:afterLines="0"/>
              <w:ind w:left="0"/>
              <w:jc w:val="center"/>
              <w:rPr>
                <w:rStyle w:val="11"/>
                <w:rFonts w:ascii="宋体" w:hAnsi="宋体" w:eastAsia="宋体" w:cs="宋体"/>
              </w:rPr>
            </w:pPr>
            <w:r>
              <w:rPr>
                <w:rStyle w:val="11"/>
                <w:rFonts w:hint="eastAsia" w:ascii="宋体" w:hAnsi="宋体" w:eastAsia="宋体" w:cs="宋体"/>
              </w:rPr>
              <w:t>[</w:t>
            </w:r>
            <w:r>
              <w:rPr>
                <w:rStyle w:val="11"/>
                <w:rFonts w:hint="eastAsia" w:ascii="宋体" w:hAnsi="宋体" w:eastAsia="宋体" w:cs="宋体"/>
                <w:lang w:val="en-US" w:eastAsia="zh-CN"/>
              </w:rPr>
              <w:t>0.9</w:t>
            </w:r>
            <w:r>
              <w:rPr>
                <w:rStyle w:val="11"/>
                <w:rFonts w:hint="eastAsia" w:ascii="宋体" w:hAnsi="宋体" w:eastAsia="宋体" w:cs="宋体"/>
              </w:rPr>
              <w:t>,1.</w:t>
            </w:r>
            <w:r>
              <w:rPr>
                <w:rStyle w:val="11"/>
                <w:rFonts w:hint="eastAsia" w:ascii="宋体" w:hAnsi="宋体" w:eastAsia="宋体" w:cs="宋体"/>
                <w:lang w:val="en-US" w:eastAsia="zh-CN"/>
              </w:rPr>
              <w:t>0</w:t>
            </w:r>
            <w:r>
              <w:rPr>
                <w:rStyle w:val="11"/>
                <w:rFonts w:hint="eastAsia" w:ascii="宋体" w:hAnsi="宋体" w:eastAsia="宋体" w:cs="宋体"/>
              </w:rPr>
              <w:t>]</w:t>
            </w:r>
          </w:p>
        </w:tc>
      </w:tr>
      <w:tr w14:paraId="0E9B3D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3" w:hRule="atLeast"/>
        </w:trPr>
        <w:tc>
          <w:tcPr>
            <w:tcW w:w="59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19B86D5">
            <w:pPr>
              <w:spacing w:after="0" w:afterLines="0"/>
              <w:jc w:val="center"/>
              <w:rPr>
                <w:rStyle w:val="11"/>
                <w:rFonts w:ascii="宋体" w:hAnsi="宋体" w:eastAsia="宋体" w:cs="宋体"/>
              </w:rPr>
            </w:pPr>
            <w:r>
              <w:rPr>
                <w:rStyle w:val="11"/>
                <w:rFonts w:hint="eastAsia" w:ascii="宋体" w:hAnsi="宋体" w:eastAsia="宋体" w:cs="宋体"/>
              </w:rPr>
              <w:t>较差</w:t>
            </w:r>
          </w:p>
        </w:tc>
        <w:tc>
          <w:tcPr>
            <w:tcW w:w="23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26907312">
            <w:pPr>
              <w:spacing w:after="0" w:afterLines="0"/>
              <w:ind w:left="0"/>
              <w:jc w:val="center"/>
              <w:rPr>
                <w:rStyle w:val="11"/>
                <w:rFonts w:ascii="宋体" w:hAnsi="宋体" w:eastAsia="宋体" w:cs="宋体"/>
              </w:rPr>
            </w:pPr>
            <w:r>
              <w:rPr>
                <w:rStyle w:val="11"/>
                <w:rFonts w:hint="eastAsia" w:ascii="宋体" w:hAnsi="宋体" w:eastAsia="宋体" w:cs="宋体"/>
                <w:lang w:val="en-US" w:eastAsia="zh-CN"/>
              </w:rPr>
              <w:t>(</w:t>
            </w:r>
            <w:r>
              <w:rPr>
                <w:rStyle w:val="11"/>
                <w:rFonts w:hint="eastAsia" w:ascii="宋体" w:hAnsi="宋体" w:eastAsia="宋体" w:cs="宋体"/>
              </w:rPr>
              <w:t>1.</w:t>
            </w:r>
            <w:r>
              <w:rPr>
                <w:rStyle w:val="11"/>
                <w:rFonts w:hint="eastAsia" w:ascii="宋体" w:hAnsi="宋体" w:eastAsia="宋体" w:cs="宋体"/>
                <w:lang w:val="en-US" w:eastAsia="zh-CN"/>
              </w:rPr>
              <w:t>0</w:t>
            </w:r>
            <w:r>
              <w:rPr>
                <w:rStyle w:val="11"/>
                <w:rFonts w:hint="eastAsia" w:ascii="宋体" w:hAnsi="宋体" w:eastAsia="宋体" w:cs="宋体"/>
              </w:rPr>
              <w:t>,1.</w:t>
            </w:r>
            <w:r>
              <w:rPr>
                <w:rStyle w:val="11"/>
                <w:rFonts w:hint="eastAsia" w:ascii="宋体" w:hAnsi="宋体" w:eastAsia="宋体" w:cs="宋体"/>
                <w:lang w:val="en-US" w:eastAsia="zh-CN"/>
              </w:rPr>
              <w:t>3</w:t>
            </w:r>
            <w:r>
              <w:rPr>
                <w:rStyle w:val="11"/>
                <w:rFonts w:hint="eastAsia" w:ascii="宋体" w:hAnsi="宋体" w:eastAsia="宋体" w:cs="宋体"/>
              </w:rPr>
              <w:t>]</w:t>
            </w:r>
          </w:p>
        </w:tc>
      </w:tr>
      <w:bookmarkEnd w:id="0"/>
    </w:tbl>
    <w:p w14:paraId="293C4905">
      <w:pPr>
        <w:spacing w:after="0" w:afterLines="0"/>
        <w:ind w:firstLine="420" w:firstLineChars="20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6、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物业管理水平调整系数</w:t>
      </w:r>
      <w:r>
        <w:rPr>
          <w:rStyle w:val="11"/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F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6</w:t>
      </w:r>
      <w:r>
        <w:rPr>
          <w:rStyle w:val="11"/>
          <w:rFonts w:hint="eastAsia" w:ascii="宋体" w:hAnsi="宋体" w:eastAsia="宋体" w:cs="宋体"/>
        </w:rPr>
        <w:t>）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5"/>
        <w:gridCol w:w="2447"/>
      </w:tblGrid>
      <w:tr w14:paraId="07B3F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75" w:type="dxa"/>
            <w:shd w:val="clear" w:color="auto" w:fill="auto"/>
            <w:vAlign w:val="center"/>
          </w:tcPr>
          <w:p w14:paraId="08C9FC1E">
            <w:pPr>
              <w:spacing w:afterLines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物业管理水平</w:t>
            </w:r>
          </w:p>
        </w:tc>
        <w:tc>
          <w:tcPr>
            <w:tcW w:w="2447" w:type="dxa"/>
            <w:shd w:val="clear" w:color="auto" w:fill="auto"/>
            <w:vAlign w:val="center"/>
          </w:tcPr>
          <w:p w14:paraId="47D9C052">
            <w:pPr>
              <w:spacing w:afterLines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调整系数</w:t>
            </w:r>
          </w:p>
        </w:tc>
      </w:tr>
      <w:tr w14:paraId="0D073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75" w:type="dxa"/>
            <w:shd w:val="clear" w:color="auto" w:fill="auto"/>
            <w:vAlign w:val="center"/>
          </w:tcPr>
          <w:p w14:paraId="1E1EA769">
            <w:pPr>
              <w:spacing w:afterLine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较好</w:t>
            </w:r>
          </w:p>
        </w:tc>
        <w:tc>
          <w:tcPr>
            <w:tcW w:w="2447" w:type="dxa"/>
            <w:shd w:val="clear" w:color="auto" w:fill="auto"/>
            <w:vAlign w:val="center"/>
          </w:tcPr>
          <w:p w14:paraId="190918C0">
            <w:pPr>
              <w:spacing w:afterLine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0.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Cs w:val="21"/>
              </w:rPr>
              <w:t>,0.9)</w:t>
            </w:r>
          </w:p>
        </w:tc>
      </w:tr>
      <w:tr w14:paraId="2023F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75" w:type="dxa"/>
            <w:shd w:val="clear" w:color="auto" w:fill="auto"/>
            <w:vAlign w:val="center"/>
          </w:tcPr>
          <w:p w14:paraId="69627F72">
            <w:pPr>
              <w:spacing w:afterLine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一般</w:t>
            </w:r>
          </w:p>
        </w:tc>
        <w:tc>
          <w:tcPr>
            <w:tcW w:w="2447" w:type="dxa"/>
            <w:shd w:val="clear" w:color="auto" w:fill="auto"/>
            <w:vAlign w:val="center"/>
          </w:tcPr>
          <w:p w14:paraId="02C023A4">
            <w:pPr>
              <w:spacing w:afterLine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0.9</w:t>
            </w:r>
            <w:r>
              <w:rPr>
                <w:rFonts w:ascii="宋体" w:hAnsi="宋体" w:eastAsia="宋体" w:cs="宋体"/>
                <w:kern w:val="0"/>
                <w:szCs w:val="21"/>
              </w:rPr>
              <w:t>,1.0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]</w:t>
            </w:r>
          </w:p>
        </w:tc>
      </w:tr>
      <w:tr w14:paraId="2C510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75" w:type="dxa"/>
            <w:shd w:val="clear" w:color="auto" w:fill="auto"/>
            <w:vAlign w:val="center"/>
          </w:tcPr>
          <w:p w14:paraId="1F6BD58C">
            <w:pPr>
              <w:spacing w:afterLine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较差</w:t>
            </w:r>
          </w:p>
        </w:tc>
        <w:tc>
          <w:tcPr>
            <w:tcW w:w="2447" w:type="dxa"/>
            <w:shd w:val="clear" w:color="auto" w:fill="auto"/>
            <w:vAlign w:val="center"/>
          </w:tcPr>
          <w:p w14:paraId="06EC24EB">
            <w:pPr>
              <w:spacing w:afterLine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1.0</w:t>
            </w:r>
            <w:r>
              <w:rPr>
                <w:rFonts w:ascii="宋体" w:hAnsi="宋体" w:eastAsia="宋体" w:cs="宋体"/>
                <w:kern w:val="0"/>
                <w:szCs w:val="21"/>
              </w:rPr>
              <w:t>,1.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Cs w:val="21"/>
              </w:rPr>
              <w:t>]</w:t>
            </w:r>
          </w:p>
        </w:tc>
      </w:tr>
    </w:tbl>
    <w:p w14:paraId="3AE035E9">
      <w:pPr>
        <w:spacing w:after="0" w:afterLines="0"/>
        <w:ind w:left="0" w:leftChars="0" w:firstLine="909" w:firstLineChars="450"/>
        <w:rPr>
          <w:rFonts w:ascii="宋体" w:hAnsi="宋体" w:eastAsia="宋体" w:cs="宋体"/>
          <w:bCs/>
          <w:spacing w:val="-4"/>
          <w:szCs w:val="21"/>
        </w:rPr>
      </w:pPr>
    </w:p>
    <w:p w14:paraId="4680F2AD">
      <w:pPr>
        <w:spacing w:after="0" w:afterLines="0"/>
        <w:ind w:firstLine="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三、保险费计算公式</w:t>
      </w:r>
    </w:p>
    <w:p w14:paraId="113AE89A">
      <w:pPr>
        <w:spacing w:afterLines="0"/>
        <w:ind w:firstLine="424" w:firstLineChars="202"/>
        <w:jc w:val="right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单位：元</w:t>
      </w:r>
    </w:p>
    <w:p w14:paraId="5BEAB82E">
      <w:pPr>
        <w:spacing w:afterLines="0"/>
        <w:ind w:firstLine="420" w:firstLineChars="200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保险费=∑</w:t>
      </w:r>
      <w:r>
        <w:rPr>
          <w:rFonts w:hint="eastAsia" w:ascii="宋体" w:hAnsi="宋体" w:eastAsia="宋体" w:cs="宋体"/>
          <w:szCs w:val="21"/>
          <w:lang w:val="en-US" w:eastAsia="zh-CN"/>
        </w:rPr>
        <w:t>各意外事故</w:t>
      </w:r>
      <w:r>
        <w:rPr>
          <w:rFonts w:hint="eastAsia" w:ascii="宋体" w:hAnsi="宋体" w:eastAsia="宋体" w:cs="宋体"/>
          <w:szCs w:val="21"/>
        </w:rPr>
        <w:t>家庭意外伤害保险金额×</w:t>
      </w:r>
      <w:r>
        <w:rPr>
          <w:rFonts w:hint="eastAsia" w:ascii="宋体" w:hAnsi="宋体" w:eastAsia="宋体" w:cs="宋体"/>
          <w:szCs w:val="21"/>
          <w:lang w:val="en-US" w:eastAsia="zh-CN"/>
        </w:rPr>
        <w:t>各意外事故</w:t>
      </w:r>
      <w:r>
        <w:rPr>
          <w:rFonts w:hint="eastAsia" w:ascii="宋体" w:hAnsi="宋体" w:eastAsia="宋体" w:cs="宋体"/>
          <w:szCs w:val="21"/>
        </w:rPr>
        <w:t>保险责任的基准费率×</w:t>
      </w:r>
      <w:r>
        <w:rPr>
          <w:rFonts w:hint="eastAsia" w:ascii="宋体" w:hAnsi="宋体" w:eastAsia="宋体" w:cs="宋体"/>
          <w:szCs w:val="21"/>
          <w:lang w:val="en-US" w:eastAsia="zh-CN"/>
        </w:rPr>
        <w:t>F1</w:t>
      </w:r>
      <w:r>
        <w:rPr>
          <w:rFonts w:hint="eastAsia" w:ascii="宋体" w:hAnsi="宋体" w:eastAsia="宋体" w:cs="宋体"/>
          <w:szCs w:val="21"/>
        </w:rPr>
        <w:t>×</w:t>
      </w:r>
      <w:r>
        <w:rPr>
          <w:rFonts w:hint="eastAsia" w:ascii="宋体" w:hAnsi="宋体" w:eastAsia="宋体" w:cs="宋体"/>
          <w:szCs w:val="21"/>
          <w:lang w:val="en-US" w:eastAsia="zh-CN"/>
        </w:rPr>
        <w:t>F2</w:t>
      </w:r>
      <w:r>
        <w:rPr>
          <w:rFonts w:hint="eastAsia" w:ascii="宋体" w:hAnsi="宋体" w:eastAsia="宋体" w:cs="宋体"/>
          <w:szCs w:val="21"/>
        </w:rPr>
        <w:t>×</w:t>
      </w:r>
      <w:r>
        <w:rPr>
          <w:rFonts w:hint="eastAsia" w:ascii="宋体" w:hAnsi="宋体" w:eastAsia="宋体" w:cs="宋体"/>
          <w:szCs w:val="21"/>
          <w:lang w:val="en-US" w:eastAsia="zh-CN"/>
        </w:rPr>
        <w:t>F3</w:t>
      </w:r>
      <w:r>
        <w:rPr>
          <w:rFonts w:hint="eastAsia" w:ascii="宋体" w:hAnsi="宋体" w:eastAsia="宋体" w:cs="宋体"/>
          <w:szCs w:val="21"/>
        </w:rPr>
        <w:t>×</w:t>
      </w:r>
      <w:r>
        <w:rPr>
          <w:rFonts w:hint="eastAsia" w:ascii="宋体" w:hAnsi="宋体" w:eastAsia="宋体" w:cs="宋体"/>
          <w:szCs w:val="21"/>
          <w:lang w:val="en-US" w:eastAsia="zh-CN"/>
        </w:rPr>
        <w:t>F4</w:t>
      </w:r>
      <w:r>
        <w:rPr>
          <w:rFonts w:hint="eastAsia" w:ascii="宋体" w:hAnsi="宋体" w:eastAsia="宋体" w:cs="宋体"/>
          <w:szCs w:val="21"/>
        </w:rPr>
        <w:t>×</w:t>
      </w:r>
      <w:r>
        <w:rPr>
          <w:rFonts w:hint="eastAsia" w:ascii="宋体" w:hAnsi="宋体" w:eastAsia="宋体" w:cs="宋体"/>
          <w:szCs w:val="21"/>
          <w:lang w:val="en-US" w:eastAsia="zh-CN"/>
        </w:rPr>
        <w:t>F5</w:t>
      </w:r>
      <w:r>
        <w:rPr>
          <w:rFonts w:hint="eastAsia" w:ascii="宋体" w:hAnsi="宋体" w:eastAsia="宋体" w:cs="宋体"/>
          <w:szCs w:val="21"/>
        </w:rPr>
        <w:t>×</w:t>
      </w:r>
      <w:r>
        <w:rPr>
          <w:rFonts w:hint="eastAsia" w:ascii="宋体" w:hAnsi="宋体" w:eastAsia="宋体" w:cs="宋体"/>
          <w:szCs w:val="21"/>
          <w:lang w:val="en-US" w:eastAsia="zh-CN"/>
        </w:rPr>
        <w:t>F6</w:t>
      </w:r>
    </w:p>
    <w:p w14:paraId="26AB8351">
      <w:pPr>
        <w:spacing w:after="0" w:afterLines="0"/>
        <w:rPr>
          <w:rFonts w:ascii="宋体" w:hAnsi="宋体" w:eastAsia="宋体" w:cs="宋体"/>
          <w:b/>
          <w:szCs w:val="21"/>
        </w:rPr>
      </w:pPr>
    </w:p>
    <w:p w14:paraId="1CD97F4A">
      <w:pPr>
        <w:spacing w:after="0" w:afterLines="0"/>
        <w:ind w:firstLine="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四、短期费率表</w:t>
      </w:r>
    </w:p>
    <w:tbl>
      <w:tblPr>
        <w:tblStyle w:val="8"/>
        <w:tblW w:w="5000" w:type="pct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68"/>
        <w:gridCol w:w="542"/>
        <w:gridCol w:w="518"/>
        <w:gridCol w:w="646"/>
        <w:gridCol w:w="582"/>
        <w:gridCol w:w="582"/>
        <w:gridCol w:w="582"/>
        <w:gridCol w:w="582"/>
        <w:gridCol w:w="582"/>
        <w:gridCol w:w="582"/>
        <w:gridCol w:w="582"/>
        <w:gridCol w:w="582"/>
        <w:gridCol w:w="606"/>
      </w:tblGrid>
      <w:tr w14:paraId="246B5E16">
        <w:trPr>
          <w:trHeight w:val="452" w:hRule="atLeast"/>
          <w:jc w:val="center"/>
        </w:trPr>
        <w:tc>
          <w:tcPr>
            <w:tcW w:w="13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E723AEE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保险期间</w:t>
            </w:r>
          </w:p>
          <w:p w14:paraId="799BCA51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(个月)</w:t>
            </w:r>
          </w:p>
        </w:tc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8AD8C98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4F79722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6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096DCD1F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5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462C29A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5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BD06B74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5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5B7355B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5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086B368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5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A9D8455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5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7EA8BC4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5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2C00C4B5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5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48719D0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6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DF61408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</w:t>
            </w:r>
          </w:p>
        </w:tc>
      </w:tr>
      <w:tr w14:paraId="13188A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3" w:hRule="atLeast"/>
          <w:jc w:val="center"/>
        </w:trPr>
        <w:tc>
          <w:tcPr>
            <w:tcW w:w="13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6052A0A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保险费的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百分比(％)</w:t>
            </w:r>
          </w:p>
        </w:tc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F2A9660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</w:t>
            </w:r>
          </w:p>
        </w:tc>
        <w:tc>
          <w:tcPr>
            <w:tcW w:w="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2FD7CB6D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</w:t>
            </w:r>
          </w:p>
        </w:tc>
        <w:tc>
          <w:tcPr>
            <w:tcW w:w="6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04A3D351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</w:t>
            </w:r>
          </w:p>
        </w:tc>
        <w:tc>
          <w:tcPr>
            <w:tcW w:w="5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1BEE7F2E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</w:t>
            </w:r>
          </w:p>
        </w:tc>
        <w:tc>
          <w:tcPr>
            <w:tcW w:w="5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2791B665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</w:t>
            </w:r>
          </w:p>
        </w:tc>
        <w:tc>
          <w:tcPr>
            <w:tcW w:w="5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1C0EFA64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60</w:t>
            </w:r>
          </w:p>
        </w:tc>
        <w:tc>
          <w:tcPr>
            <w:tcW w:w="5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05A87C90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0</w:t>
            </w:r>
          </w:p>
        </w:tc>
        <w:tc>
          <w:tcPr>
            <w:tcW w:w="5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2BBF5690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80</w:t>
            </w:r>
          </w:p>
        </w:tc>
        <w:tc>
          <w:tcPr>
            <w:tcW w:w="5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6689944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85</w:t>
            </w:r>
          </w:p>
        </w:tc>
        <w:tc>
          <w:tcPr>
            <w:tcW w:w="5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5CCC66E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90</w:t>
            </w:r>
          </w:p>
        </w:tc>
        <w:tc>
          <w:tcPr>
            <w:tcW w:w="5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2BE5460D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95</w:t>
            </w:r>
          </w:p>
        </w:tc>
        <w:tc>
          <w:tcPr>
            <w:tcW w:w="6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15BD1D45">
            <w:pPr>
              <w:pStyle w:val="6"/>
              <w:widowControl/>
              <w:spacing w:beforeAutospacing="0" w:after="0" w:afterLines="0" w:afterAutospacing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100</w:t>
            </w:r>
          </w:p>
        </w:tc>
      </w:tr>
    </w:tbl>
    <w:p w14:paraId="57199F08">
      <w:pPr>
        <w:spacing w:after="0" w:afterLines="0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注：保险期间不足一个月的，按一个月计算。</w:t>
      </w:r>
    </w:p>
    <w:p w14:paraId="4DDF6916">
      <w:pPr>
        <w:snapToGrid w:val="0"/>
        <w:spacing w:afterLines="0" w:line="240" w:lineRule="auto"/>
        <w:rPr>
          <w:rFonts w:ascii="宋体" w:hAnsi="宋体" w:eastAsia="宋体" w:cs="宋体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196532"/>
    </w:sdtPr>
    <w:sdtContent>
      <w:p w14:paraId="087C8FB9"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2DA2599D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ODNhZmI4YWY4ZmYzMmUwNTU4NzQ2MTJhZGM5MGYifQ=="/>
  </w:docVars>
  <w:rsids>
    <w:rsidRoot w:val="00130DAD"/>
    <w:rsid w:val="000137D0"/>
    <w:rsid w:val="0001489F"/>
    <w:rsid w:val="0003503B"/>
    <w:rsid w:val="00041966"/>
    <w:rsid w:val="000468F5"/>
    <w:rsid w:val="000B12C1"/>
    <w:rsid w:val="00126B8A"/>
    <w:rsid w:val="00130DAD"/>
    <w:rsid w:val="00164DF9"/>
    <w:rsid w:val="001D0CA0"/>
    <w:rsid w:val="00271B98"/>
    <w:rsid w:val="002A514F"/>
    <w:rsid w:val="002C09B8"/>
    <w:rsid w:val="002C0E2C"/>
    <w:rsid w:val="002F5DF6"/>
    <w:rsid w:val="002F7EC2"/>
    <w:rsid w:val="00307F9F"/>
    <w:rsid w:val="00340B3D"/>
    <w:rsid w:val="003521B0"/>
    <w:rsid w:val="00352756"/>
    <w:rsid w:val="00360D99"/>
    <w:rsid w:val="0037622E"/>
    <w:rsid w:val="0039569F"/>
    <w:rsid w:val="0043289D"/>
    <w:rsid w:val="004575BA"/>
    <w:rsid w:val="004A2EF1"/>
    <w:rsid w:val="004E1296"/>
    <w:rsid w:val="00505A03"/>
    <w:rsid w:val="0054753E"/>
    <w:rsid w:val="00584090"/>
    <w:rsid w:val="00585791"/>
    <w:rsid w:val="00594A08"/>
    <w:rsid w:val="005B51F9"/>
    <w:rsid w:val="005B7F73"/>
    <w:rsid w:val="005C54FB"/>
    <w:rsid w:val="005D77C8"/>
    <w:rsid w:val="00632B02"/>
    <w:rsid w:val="00646F1B"/>
    <w:rsid w:val="006917F7"/>
    <w:rsid w:val="006A4295"/>
    <w:rsid w:val="00714935"/>
    <w:rsid w:val="00780CD3"/>
    <w:rsid w:val="0078586D"/>
    <w:rsid w:val="0079506A"/>
    <w:rsid w:val="007E131E"/>
    <w:rsid w:val="007E455F"/>
    <w:rsid w:val="00801C88"/>
    <w:rsid w:val="00812199"/>
    <w:rsid w:val="00812617"/>
    <w:rsid w:val="0081446A"/>
    <w:rsid w:val="00875131"/>
    <w:rsid w:val="008B729C"/>
    <w:rsid w:val="008C2038"/>
    <w:rsid w:val="009032C2"/>
    <w:rsid w:val="00931956"/>
    <w:rsid w:val="0095071F"/>
    <w:rsid w:val="009B563E"/>
    <w:rsid w:val="009B7D6D"/>
    <w:rsid w:val="009C1340"/>
    <w:rsid w:val="00A26F8F"/>
    <w:rsid w:val="00A303F2"/>
    <w:rsid w:val="00A30477"/>
    <w:rsid w:val="00A40F3B"/>
    <w:rsid w:val="00A64E46"/>
    <w:rsid w:val="00A66B6D"/>
    <w:rsid w:val="00A72333"/>
    <w:rsid w:val="00A97FAD"/>
    <w:rsid w:val="00B57DDF"/>
    <w:rsid w:val="00B75703"/>
    <w:rsid w:val="00B814A9"/>
    <w:rsid w:val="00BC078C"/>
    <w:rsid w:val="00BD0EF0"/>
    <w:rsid w:val="00C341B6"/>
    <w:rsid w:val="00C90B9B"/>
    <w:rsid w:val="00CA774B"/>
    <w:rsid w:val="00CC5EFF"/>
    <w:rsid w:val="00CE0D83"/>
    <w:rsid w:val="00CE60A9"/>
    <w:rsid w:val="00D115A7"/>
    <w:rsid w:val="00D20B8E"/>
    <w:rsid w:val="00D50D12"/>
    <w:rsid w:val="00D63992"/>
    <w:rsid w:val="00D81CC0"/>
    <w:rsid w:val="00DA03DB"/>
    <w:rsid w:val="00DA5B56"/>
    <w:rsid w:val="00DC175F"/>
    <w:rsid w:val="00DD69BF"/>
    <w:rsid w:val="00E5014F"/>
    <w:rsid w:val="00EC138B"/>
    <w:rsid w:val="00ED0212"/>
    <w:rsid w:val="00F015B3"/>
    <w:rsid w:val="00F518BE"/>
    <w:rsid w:val="00F803BC"/>
    <w:rsid w:val="00FF00D1"/>
    <w:rsid w:val="00FF6314"/>
    <w:rsid w:val="01DC16B9"/>
    <w:rsid w:val="07200570"/>
    <w:rsid w:val="07A92254"/>
    <w:rsid w:val="1471388E"/>
    <w:rsid w:val="16824EAD"/>
    <w:rsid w:val="1AB3586E"/>
    <w:rsid w:val="1B1764DD"/>
    <w:rsid w:val="26A91FB0"/>
    <w:rsid w:val="26F20A4D"/>
    <w:rsid w:val="285652CA"/>
    <w:rsid w:val="285C6DA0"/>
    <w:rsid w:val="29B41D0C"/>
    <w:rsid w:val="2C160452"/>
    <w:rsid w:val="312D7EC6"/>
    <w:rsid w:val="365F6D16"/>
    <w:rsid w:val="3B60677A"/>
    <w:rsid w:val="3E534C61"/>
    <w:rsid w:val="3FF019B5"/>
    <w:rsid w:val="42D718B6"/>
    <w:rsid w:val="45DA19BE"/>
    <w:rsid w:val="4D3868CA"/>
    <w:rsid w:val="53A313E6"/>
    <w:rsid w:val="679A0757"/>
    <w:rsid w:val="68D92243"/>
    <w:rsid w:val="6B4B5350"/>
    <w:rsid w:val="6B5C148A"/>
    <w:rsid w:val="6DEB4AA9"/>
    <w:rsid w:val="73C82F97"/>
    <w:rsid w:val="75687863"/>
    <w:rsid w:val="78E0107E"/>
    <w:rsid w:val="7BD03D53"/>
    <w:rsid w:val="7E8C0D5A"/>
    <w:rsid w:val="7FC0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styleId="15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批注框文本 字符"/>
    <w:basedOn w:val="10"/>
    <w:link w:val="3"/>
    <w:semiHidden/>
    <w:qFormat/>
    <w:uiPriority w:val="99"/>
    <w:rPr>
      <w:sz w:val="18"/>
      <w:szCs w:val="18"/>
    </w:rPr>
  </w:style>
  <w:style w:type="paragraph" w:customStyle="1" w:styleId="17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9">
    <w:name w:val="批注文字 字符"/>
    <w:basedOn w:val="10"/>
    <w:link w:val="2"/>
    <w:semiHidden/>
    <w:qFormat/>
    <w:uiPriority w:val="99"/>
    <w:rPr>
      <w:kern w:val="2"/>
      <w:sz w:val="21"/>
      <w:szCs w:val="22"/>
    </w:rPr>
  </w:style>
  <w:style w:type="character" w:customStyle="1" w:styleId="20">
    <w:name w:val="批注主题 字符"/>
    <w:basedOn w:val="19"/>
    <w:link w:val="7"/>
    <w:semiHidden/>
    <w:qFormat/>
    <w:uiPriority w:val="99"/>
    <w:rPr>
      <w:b/>
      <w:bCs/>
      <w:kern w:val="2"/>
      <w:sz w:val="21"/>
      <w:szCs w:val="22"/>
    </w:rPr>
  </w:style>
  <w:style w:type="paragraph" w:customStyle="1" w:styleId="21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">
    <w:name w:val="修订3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515</Words>
  <Characters>683</Characters>
  <Lines>3</Lines>
  <Paragraphs>1</Paragraphs>
  <TotalTime>3</TotalTime>
  <ScaleCrop>false</ScaleCrop>
  <LinksUpToDate>false</LinksUpToDate>
  <CharactersWithSpaces>685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2012-03-19T07:48:00Z</dcterms:created>
  <dc:creator>Administrator</dc:creator>
  <cp:lastModifiedBy>刘晴</cp:lastModifiedBy>
  <cp:lastPrinted>2012-11-07T02:36:00Z</cp:lastPrinted>
  <dcterms:modified xsi:type="dcterms:W3CDTF">2025-09-08T02:13:00Z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B567C4ECB88D4AE9847EDF6D4F39BED1</vt:lpwstr>
  </property>
  <property fmtid="{D5CDD505-2E9C-101B-9397-08002B2CF9AE}" pid="4" name="KSOTemplateDocerSaveRecord">
    <vt:lpwstr>eyJoZGlkIjoiYmY5NWE4NWE0OTFhOTViMDYwYmFjMTE2NmM1Njg1NzIiLCJ1c2VySWQiOiIzNjQ3NzU2MDkifQ==</vt:lpwstr>
  </property>
</Properties>
</file>