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0A47F">
      <w:pPr>
        <w:pStyle w:val="2"/>
        <w:spacing w:before="0" w:beforeLines="0" w:afterLines="0"/>
        <w:ind w:left="0" w:right="0"/>
        <w:rPr>
          <w:rFonts w:hint="eastAsia"/>
          <w:b/>
          <w:bCs/>
          <w:sz w:val="28"/>
          <w:szCs w:val="28"/>
          <w:lang w:val="en-US" w:bidi="ar-SA"/>
        </w:rPr>
      </w:pPr>
      <w:r>
        <w:rPr>
          <w:rFonts w:hint="eastAsia"/>
          <w:b/>
          <w:bCs/>
          <w:sz w:val="28"/>
          <w:szCs w:val="28"/>
          <w:lang w:val="en-US" w:bidi="ar-SA"/>
        </w:rPr>
        <w:t>华农财产保险股份有限公司自行车损失保险</w:t>
      </w:r>
    </w:p>
    <w:p w14:paraId="42E62894">
      <w:pPr>
        <w:pStyle w:val="2"/>
        <w:spacing w:before="0" w:beforeLines="0" w:afterLines="0"/>
        <w:ind w:left="0" w:right="0"/>
        <w:rPr>
          <w:b/>
          <w:bCs/>
          <w:sz w:val="28"/>
          <w:szCs w:val="28"/>
          <w:lang w:val="en-US" w:bidi="ar-SA"/>
        </w:rPr>
      </w:pPr>
      <w:r>
        <w:rPr>
          <w:rFonts w:hint="eastAsia"/>
          <w:b/>
          <w:bCs/>
          <w:sz w:val="28"/>
          <w:szCs w:val="28"/>
          <w:lang w:val="en-US" w:bidi="ar-SA"/>
        </w:rPr>
        <w:t>附加自行车骑行人意外伤害保险</w:t>
      </w:r>
      <w:r>
        <w:rPr>
          <w:rFonts w:hint="eastAsia"/>
          <w:b/>
          <w:bCs/>
          <w:sz w:val="28"/>
          <w:szCs w:val="28"/>
          <w:lang w:val="en-US" w:eastAsia="zh-CN" w:bidi="ar-SA"/>
        </w:rPr>
        <w:t>（2025版）</w:t>
      </w:r>
      <w:r>
        <w:rPr>
          <w:rFonts w:hint="eastAsia"/>
          <w:b/>
          <w:bCs/>
          <w:sz w:val="28"/>
          <w:szCs w:val="28"/>
          <w:lang w:val="en-US" w:bidi="ar-SA"/>
        </w:rPr>
        <w:t>费率表</w:t>
      </w:r>
    </w:p>
    <w:p w14:paraId="7619287A">
      <w:pPr>
        <w:spacing w:beforeLines="0" w:afterLines="0"/>
        <w:jc w:val="center"/>
        <w:rPr>
          <w:rFonts w:ascii="宋体" w:hAnsi="宋体" w:eastAsia="宋体" w:cs="宋体"/>
          <w:b/>
          <w:bCs/>
          <w:szCs w:val="21"/>
        </w:rPr>
      </w:pPr>
    </w:p>
    <w:p w14:paraId="3E32B58D">
      <w:pPr>
        <w:spacing w:beforeLines="0" w:afterLines="0"/>
        <w:rPr>
          <w:rFonts w:ascii="宋体" w:hAnsi="宋体" w:eastAsia="宋体" w:cs="宋体"/>
          <w:b/>
          <w:bCs/>
          <w:szCs w:val="21"/>
        </w:rPr>
      </w:pPr>
      <w:r>
        <w:rPr>
          <w:rFonts w:hint="eastAsia" w:ascii="宋体" w:hAnsi="宋体" w:eastAsia="宋体" w:cs="宋体"/>
          <w:b/>
          <w:bCs/>
          <w:szCs w:val="21"/>
        </w:rPr>
        <w:t>一、基</w:t>
      </w:r>
      <w:r>
        <w:rPr>
          <w:rFonts w:hint="eastAsia" w:ascii="宋体" w:hAnsi="宋体" w:eastAsia="宋体" w:cs="宋体"/>
          <w:b/>
          <w:bCs/>
          <w:szCs w:val="21"/>
          <w:lang w:eastAsia="zh-Hans"/>
        </w:rPr>
        <w:t>准</w:t>
      </w:r>
      <w:r>
        <w:rPr>
          <w:rFonts w:hint="eastAsia" w:ascii="宋体" w:hAnsi="宋体" w:eastAsia="宋体" w:cs="宋体"/>
          <w:b/>
          <w:bCs/>
          <w:szCs w:val="21"/>
        </w:rPr>
        <w:t>费率</w:t>
      </w:r>
    </w:p>
    <w:p w14:paraId="6A813CDC">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（一）意外伤害身故保险金（必选责任）：0.3‰</w:t>
      </w:r>
    </w:p>
    <w:p w14:paraId="6A2CF255">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（二）意外伤害伤残保险金（可选责任）：0.1‰</w:t>
      </w:r>
    </w:p>
    <w:p w14:paraId="064148C4">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（三）意外伤害医疗保险金（可选责任）：</w:t>
      </w:r>
    </w:p>
    <w:p w14:paraId="75F93836">
      <w:pPr>
        <w:numPr>
          <w:ilvl w:val="0"/>
          <w:numId w:val="0"/>
        </w:numPr>
        <w:adjustRightInd w:val="0"/>
        <w:snapToGrid w:val="0"/>
        <w:spacing w:beforeLines="0" w:after="0" w:afterLines="0" w:line="240" w:lineRule="auto"/>
        <w:rPr>
          <w:rFonts w:hint="default" w:ascii="宋体" w:hAnsi="宋体" w:eastAsia="宋体" w:cs="宋体"/>
          <w:b w:val="0"/>
          <w:bCs w:val="0"/>
          <w:sz w:val="21"/>
          <w:szCs w:val="21"/>
          <w:lang w:val="en-US" w:eastAsia="zh-CN"/>
        </w:rPr>
      </w:pPr>
      <w:r>
        <w:rPr>
          <w:rFonts w:hint="default" w:ascii="宋体" w:hAnsi="宋体" w:eastAsia="宋体" w:cs="宋体"/>
          <w:b w:val="0"/>
          <w:bCs w:val="0"/>
          <w:kern w:val="2"/>
          <w:sz w:val="21"/>
          <w:szCs w:val="21"/>
          <w:lang w:val="en-US" w:eastAsia="zh-CN" w:bidi="ar-SA"/>
        </w:rPr>
        <w:t>1、</w:t>
      </w:r>
      <w:r>
        <w:rPr>
          <w:rFonts w:hint="eastAsia" w:ascii="宋体" w:hAnsi="宋体" w:eastAsia="宋体" w:cs="宋体"/>
          <w:b w:val="0"/>
          <w:bCs w:val="0"/>
          <w:sz w:val="21"/>
          <w:szCs w:val="21"/>
          <w:lang w:val="en-US" w:eastAsia="zh-CN"/>
        </w:rPr>
        <w:t>免赔额：200元</w:t>
      </w:r>
    </w:p>
    <w:p w14:paraId="1B1C8523">
      <w:pPr>
        <w:numPr>
          <w:ilvl w:val="0"/>
          <w:numId w:val="0"/>
        </w:numPr>
        <w:adjustRightInd w:val="0"/>
        <w:snapToGrid w:val="0"/>
        <w:spacing w:beforeLines="0" w:after="0" w:afterLines="0" w:line="240" w:lineRule="auto"/>
        <w:rPr>
          <w:rFonts w:hint="eastAsia" w:ascii="宋体" w:hAnsi="宋体" w:eastAsia="宋体" w:cs="宋体"/>
          <w:b w:val="0"/>
          <w:bCs w:val="0"/>
          <w:sz w:val="21"/>
          <w:szCs w:val="21"/>
          <w:lang w:val="en-US" w:eastAsia="zh-CN"/>
        </w:rPr>
      </w:pPr>
      <w:r>
        <w:rPr>
          <w:rFonts w:hint="default" w:ascii="宋体" w:hAnsi="宋体" w:eastAsia="宋体" w:cs="宋体"/>
          <w:b w:val="0"/>
          <w:bCs w:val="0"/>
          <w:kern w:val="2"/>
          <w:sz w:val="21"/>
          <w:szCs w:val="21"/>
          <w:lang w:val="en-US" w:eastAsia="zh-CN" w:bidi="ar-SA"/>
        </w:rPr>
        <w:t>2、</w:t>
      </w:r>
      <w:r>
        <w:rPr>
          <w:rFonts w:hint="eastAsia" w:ascii="宋体" w:hAnsi="宋体" w:eastAsia="宋体" w:cs="宋体"/>
          <w:b w:val="0"/>
          <w:bCs w:val="0"/>
          <w:sz w:val="21"/>
          <w:szCs w:val="21"/>
          <w:lang w:val="en-US" w:eastAsia="zh-CN"/>
        </w:rPr>
        <w:t>赔付比例：</w:t>
      </w:r>
    </w:p>
    <w:p w14:paraId="7A94CA94">
      <w:pPr>
        <w:keepNext w:val="0"/>
        <w:keepLines w:val="0"/>
        <w:widowControl/>
        <w:suppressLineNumbers w:val="0"/>
        <w:adjustRightInd w:val="0"/>
        <w:snapToGrid w:val="0"/>
        <w:spacing w:beforeLines="0" w:afterLines="0"/>
        <w:jc w:val="left"/>
        <w:textAlignment w:val="center"/>
        <w:rPr>
          <w:rFonts w:hint="eastAsia" w:ascii="宋体" w:hAnsi="宋体" w:eastAsia="宋体" w:cs="宋体"/>
          <w:i w:val="0"/>
          <w:iCs w:val="0"/>
          <w:color w:val="000000"/>
          <w:kern w:val="0"/>
          <w:sz w:val="21"/>
          <w:szCs w:val="21"/>
          <w:u w:val="none"/>
          <w:lang w:val="en-US" w:eastAsia="zh-CN" w:bidi="ar"/>
        </w:rPr>
      </w:pPr>
      <w:bookmarkStart w:id="0" w:name="OLE_LINK30"/>
      <w:r>
        <w:rPr>
          <w:rFonts w:hint="eastAsia" w:ascii="宋体" w:hAnsi="宋体" w:eastAsia="宋体" w:cs="宋体"/>
          <w:b w:val="0"/>
          <w:bCs w:val="0"/>
          <w:sz w:val="21"/>
          <w:szCs w:val="21"/>
          <w:lang w:val="en-US" w:eastAsia="zh-CN"/>
        </w:rPr>
        <w:t>（1）</w:t>
      </w:r>
      <w:bookmarkStart w:id="1" w:name="OLE_LINK31"/>
      <w:bookmarkStart w:id="2" w:name="OLE_LINK32"/>
      <w:r>
        <w:rPr>
          <w:rFonts w:hint="eastAsia" w:ascii="宋体" w:hAnsi="宋体" w:eastAsia="宋体" w:cs="宋体"/>
          <w:i w:val="0"/>
          <w:iCs w:val="0"/>
          <w:color w:val="000000"/>
          <w:kern w:val="0"/>
          <w:sz w:val="21"/>
          <w:szCs w:val="21"/>
          <w:u w:val="none"/>
          <w:lang w:val="en-US" w:eastAsia="zh-CN" w:bidi="ar"/>
        </w:rPr>
        <w:t>被</w:t>
      </w:r>
      <w:bookmarkEnd w:id="1"/>
      <w:r>
        <w:rPr>
          <w:rFonts w:hint="eastAsia" w:ascii="宋体" w:hAnsi="宋体" w:eastAsia="宋体" w:cs="宋体"/>
          <w:i w:val="0"/>
          <w:iCs w:val="0"/>
          <w:color w:val="000000"/>
          <w:kern w:val="0"/>
          <w:sz w:val="21"/>
          <w:szCs w:val="21"/>
          <w:u w:val="none"/>
          <w:lang w:val="en-US" w:eastAsia="zh-CN" w:bidi="ar"/>
        </w:rPr>
        <w:t>保险人以参加基本医疗保险或公费医疗身份投保，并以基本医疗保险或公费医疗身份就诊并结算</w:t>
      </w:r>
      <w:bookmarkEnd w:id="2"/>
      <w:r>
        <w:rPr>
          <w:rFonts w:hint="eastAsia" w:ascii="宋体" w:hAnsi="宋体" w:eastAsia="宋体" w:cs="宋体"/>
          <w:i w:val="0"/>
          <w:iCs w:val="0"/>
          <w:color w:val="000000"/>
          <w:kern w:val="0"/>
          <w:sz w:val="21"/>
          <w:szCs w:val="21"/>
          <w:u w:val="none"/>
          <w:lang w:val="en-US" w:eastAsia="zh-CN" w:bidi="ar"/>
        </w:rPr>
        <w:t>：80%；</w:t>
      </w:r>
    </w:p>
    <w:p w14:paraId="70F24202">
      <w:pPr>
        <w:keepNext w:val="0"/>
        <w:keepLines w:val="0"/>
        <w:widowControl/>
        <w:suppressLineNumbers w:val="0"/>
        <w:adjustRightInd w:val="0"/>
        <w:snapToGrid w:val="0"/>
        <w:spacing w:beforeLines="0" w:afterLine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（2）被保险人以参加基本医疗保险或公费医疗身份投保，但未以基本医疗保险或公费医疗身份就诊并结算：48%；</w:t>
      </w:r>
    </w:p>
    <w:p w14:paraId="7325C422">
      <w:pPr>
        <w:widowControl/>
        <w:numPr>
          <w:ilvl w:val="-1"/>
          <w:numId w:val="0"/>
        </w:numPr>
        <w:adjustRightInd w:val="0"/>
        <w:snapToGrid w:val="0"/>
        <w:spacing w:beforeLines="0" w:after="0" w:afterLines="0"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bookmarkEnd w:id="0"/>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被保险人既未以参加基本医疗保险身份又未以参加公费医疗身份投保的：80%；</w:t>
      </w:r>
    </w:p>
    <w:p w14:paraId="2FBA63F5">
      <w:pPr>
        <w:widowControl/>
        <w:numPr>
          <w:ilvl w:val="-1"/>
          <w:numId w:val="0"/>
        </w:numPr>
        <w:adjustRightInd w:val="0"/>
        <w:snapToGrid w:val="0"/>
        <w:spacing w:beforeLines="0" w:after="0" w:afterLines="0" w:line="240" w:lineRule="auto"/>
        <w:jc w:val="left"/>
        <w:textAlignment w:val="center"/>
        <w:rPr>
          <w:rFonts w:hint="default" w:ascii="宋体" w:hAnsi="宋体" w:eastAsia="宋体" w:cs="宋体"/>
          <w:b w:val="0"/>
          <w:b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3、保险金额：2万元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3"/>
        <w:gridCol w:w="2909"/>
        <w:gridCol w:w="2770"/>
      </w:tblGrid>
      <w:tr w14:paraId="28601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3" w:type="dxa"/>
            <w:vMerge w:val="restart"/>
            <w:vAlign w:val="center"/>
          </w:tcPr>
          <w:p w14:paraId="5328CA27">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基准费率</w:t>
            </w:r>
          </w:p>
        </w:tc>
        <w:tc>
          <w:tcPr>
            <w:tcW w:w="2909" w:type="dxa"/>
            <w:vAlign w:val="center"/>
          </w:tcPr>
          <w:p w14:paraId="2B1B7628">
            <w:pPr>
              <w:widowControl/>
              <w:numPr>
                <w:ilvl w:val="-1"/>
                <w:numId w:val="0"/>
              </w:numPr>
              <w:adjustRightInd w:val="0"/>
              <w:snapToGrid w:val="0"/>
              <w:spacing w:beforeLines="0" w:after="0" w:afterLines="0" w:line="240" w:lineRule="auto"/>
              <w:jc w:val="center"/>
              <w:textAlignment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w:t>
            </w:r>
          </w:p>
        </w:tc>
        <w:tc>
          <w:tcPr>
            <w:tcW w:w="2770" w:type="dxa"/>
            <w:vAlign w:val="center"/>
          </w:tcPr>
          <w:p w14:paraId="688781D0">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r>
      <w:tr w14:paraId="5FB8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3" w:type="dxa"/>
            <w:vMerge w:val="continue"/>
            <w:vAlign w:val="center"/>
          </w:tcPr>
          <w:p w14:paraId="74642A57">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p>
        </w:tc>
        <w:tc>
          <w:tcPr>
            <w:tcW w:w="2909" w:type="dxa"/>
            <w:vAlign w:val="center"/>
          </w:tcPr>
          <w:p w14:paraId="1DAE8773">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0.8</w:t>
            </w:r>
            <w:r>
              <w:rPr>
                <w:rFonts w:hint="default" w:ascii="宋体" w:hAnsi="宋体" w:eastAsia="宋体" w:cs="宋体"/>
                <w:b w:val="0"/>
                <w:bCs w:val="0"/>
                <w:sz w:val="21"/>
                <w:szCs w:val="21"/>
                <w:vertAlign w:val="baseline"/>
                <w:lang w:val="en-US" w:eastAsia="zh-CN"/>
              </w:rPr>
              <w:t>‰</w:t>
            </w:r>
          </w:p>
        </w:tc>
        <w:tc>
          <w:tcPr>
            <w:tcW w:w="2770" w:type="dxa"/>
            <w:vAlign w:val="center"/>
          </w:tcPr>
          <w:p w14:paraId="1038FC73">
            <w:pPr>
              <w:numPr>
                <w:ilvl w:val="-1"/>
                <w:numId w:val="0"/>
              </w:numPr>
              <w:adjustRightInd w:val="0"/>
              <w:snapToGrid w:val="0"/>
              <w:spacing w:beforeLines="0" w:after="0" w:afterLines="0" w:line="240" w:lineRule="auto"/>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1.2‰</w:t>
            </w:r>
          </w:p>
        </w:tc>
      </w:tr>
    </w:tbl>
    <w:p w14:paraId="141C8AC8">
      <w:pPr>
        <w:spacing w:beforeLines="0" w:after="0" w:afterLines="0" w:line="240" w:lineRule="auto"/>
        <w:rPr>
          <w:rFonts w:hint="eastAsia" w:ascii="宋体" w:hAnsi="宋体" w:eastAsia="宋体" w:cs="宋体"/>
          <w:b/>
          <w:bCs/>
          <w:szCs w:val="21"/>
          <w:lang w:eastAsia="zh-Hans"/>
        </w:rPr>
      </w:pPr>
    </w:p>
    <w:p w14:paraId="09BBF556">
      <w:pPr>
        <w:spacing w:beforeLines="0" w:after="0" w:afterLines="0" w:line="240" w:lineRule="auto"/>
        <w:rPr>
          <w:rFonts w:ascii="宋体" w:hAnsi="宋体" w:eastAsia="宋体" w:cs="宋体"/>
          <w:b/>
          <w:bCs/>
          <w:szCs w:val="21"/>
        </w:rPr>
      </w:pPr>
      <w:r>
        <w:rPr>
          <w:rFonts w:hint="eastAsia" w:ascii="宋体" w:hAnsi="宋体" w:eastAsia="宋体" w:cs="宋体"/>
          <w:b/>
          <w:bCs/>
          <w:szCs w:val="21"/>
          <w:lang w:eastAsia="zh-Hans"/>
        </w:rPr>
        <w:t>二、</w:t>
      </w:r>
      <w:r>
        <w:rPr>
          <w:rFonts w:hint="eastAsia" w:ascii="宋体" w:hAnsi="宋体" w:eastAsia="宋体" w:cs="宋体"/>
          <w:b/>
          <w:bCs/>
          <w:szCs w:val="21"/>
        </w:rPr>
        <w:t>费率调整系数</w:t>
      </w:r>
    </w:p>
    <w:p w14:paraId="66FCAAD8">
      <w:pPr>
        <w:keepNext w:val="0"/>
        <w:keepLines w:val="0"/>
        <w:pageBreakBefore w:val="0"/>
        <w:widowControl w:val="0"/>
        <w:kinsoku/>
        <w:wordWrap/>
        <w:overflowPunct/>
        <w:topLinePunct w:val="0"/>
        <w:autoSpaceDE/>
        <w:autoSpaceDN/>
        <w:bidi w:val="0"/>
        <w:adjustRightInd/>
        <w:snapToGrid/>
        <w:spacing w:beforeLines="0" w:after="0" w:afterLines="0"/>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w:t>
      </w:r>
      <w:r>
        <w:rPr>
          <w:rFonts w:hint="eastAsia" w:ascii="宋体" w:hAnsi="宋体" w:eastAsia="宋体" w:cs="宋体"/>
          <w:szCs w:val="21"/>
          <w:lang w:val="en-US" w:eastAsia="zh-CN"/>
        </w:rPr>
        <w:t>意外伤害医疗保险金</w:t>
      </w:r>
      <w:r>
        <w:rPr>
          <w:rFonts w:hint="eastAsia" w:ascii="宋体" w:hAnsi="宋体" w:eastAsia="宋体" w:cs="宋体"/>
          <w:szCs w:val="21"/>
        </w:rPr>
        <w:t>免赔额调整系数</w:t>
      </w:r>
      <w:r>
        <w:rPr>
          <w:rFonts w:hint="eastAsia" w:ascii="宋体" w:hAnsi="宋体" w:eastAsia="宋体" w:cs="宋体"/>
          <w:szCs w:val="21"/>
          <w:lang w:eastAsia="zh-CN"/>
        </w:rPr>
        <w:t>（</w:t>
      </w:r>
      <w:r>
        <w:rPr>
          <w:rFonts w:hint="eastAsia" w:ascii="宋体" w:hAnsi="宋体" w:eastAsia="宋体" w:cs="宋体"/>
          <w:szCs w:val="21"/>
          <w:lang w:val="en-US" w:eastAsia="zh-CN"/>
        </w:rPr>
        <w:t>F1</w:t>
      </w:r>
      <w:r>
        <w:rPr>
          <w:rFonts w:hint="eastAsia" w:ascii="宋体" w:hAnsi="宋体" w:eastAsia="宋体" w:cs="宋体"/>
          <w:szCs w:val="21"/>
          <w:lang w:eastAsia="zh-CN"/>
        </w:rPr>
        <w:t>）</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44"/>
        <w:gridCol w:w="2078"/>
      </w:tblGrid>
      <w:tr w14:paraId="438D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25FC0D79">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szCs w:val="21"/>
                <w:lang w:val="en-US" w:eastAsia="zh-CN"/>
              </w:rPr>
              <w:t>意外伤害医疗保险金</w:t>
            </w:r>
            <w:r>
              <w:rPr>
                <w:rFonts w:hint="eastAsia" w:ascii="宋体" w:hAnsi="宋体" w:eastAsia="宋体" w:cs="宋体"/>
                <w:i w:val="0"/>
                <w:iCs w:val="0"/>
                <w:color w:val="000000"/>
                <w:kern w:val="0"/>
                <w:sz w:val="21"/>
                <w:szCs w:val="21"/>
                <w:u w:val="none"/>
                <w:lang w:val="en-US" w:eastAsia="zh-CN" w:bidi="ar"/>
              </w:rPr>
              <w:t>免赔额（元）</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7AA66E99">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5CD14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297F3832">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0（含）-50（含）</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3527CF56">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[1.2,1.3]</w:t>
            </w:r>
          </w:p>
        </w:tc>
      </w:tr>
      <w:tr w14:paraId="5054C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454F897D">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50（不含）-100（含）</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E067F6C">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[1.1,1.2)</w:t>
            </w:r>
          </w:p>
        </w:tc>
      </w:tr>
      <w:tr w14:paraId="095FC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06B519A3">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100（不含）-200（含）</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B3354BA">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[1.0,1.1)</w:t>
            </w:r>
          </w:p>
        </w:tc>
      </w:tr>
      <w:tr w14:paraId="76AC1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20D2E54F">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200（不含）-300（含）</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2EA4CD8F">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[0.9,1.0)</w:t>
            </w:r>
          </w:p>
        </w:tc>
      </w:tr>
      <w:tr w14:paraId="0A9D1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494F6F7D">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300（不含）-500（含）</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462892B5">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[0.8,0.9)</w:t>
            </w:r>
          </w:p>
        </w:tc>
      </w:tr>
      <w:tr w14:paraId="5CDCA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210" w:type="dxa"/>
            <w:tcBorders>
              <w:top w:val="single" w:color="auto" w:sz="4" w:space="0"/>
              <w:left w:val="single" w:color="auto" w:sz="4" w:space="0"/>
              <w:bottom w:val="single" w:color="auto" w:sz="4" w:space="0"/>
              <w:right w:val="single" w:color="auto" w:sz="4" w:space="0"/>
            </w:tcBorders>
            <w:shd w:val="clear" w:color="auto" w:fill="auto"/>
            <w:vAlign w:val="center"/>
          </w:tcPr>
          <w:p w14:paraId="267D2E30">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500以上</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6F0DF25F">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[0.7,0.8)</w:t>
            </w:r>
          </w:p>
        </w:tc>
      </w:tr>
    </w:tbl>
    <w:p w14:paraId="437D6F2C">
      <w:pPr>
        <w:keepNext w:val="0"/>
        <w:keepLines w:val="0"/>
        <w:pageBreakBefore w:val="0"/>
        <w:widowControl w:val="0"/>
        <w:kinsoku/>
        <w:wordWrap/>
        <w:overflowPunct/>
        <w:topLinePunct w:val="0"/>
        <w:autoSpaceDE/>
        <w:autoSpaceDN/>
        <w:bidi w:val="0"/>
        <w:adjustRightInd/>
        <w:snapToGrid/>
        <w:spacing w:beforeLines="0" w:after="0" w:afterLines="0"/>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w:t>
      </w:r>
      <w:r>
        <w:rPr>
          <w:rFonts w:hint="eastAsia" w:ascii="宋体" w:hAnsi="宋体" w:eastAsia="宋体" w:cs="宋体"/>
          <w:szCs w:val="21"/>
          <w:lang w:val="en-US" w:eastAsia="zh-CN"/>
        </w:rPr>
        <w:t>意外伤害医疗保险金</w:t>
      </w:r>
      <w:r>
        <w:rPr>
          <w:rFonts w:hint="eastAsia" w:ascii="宋体" w:hAnsi="宋体" w:eastAsia="宋体" w:cs="宋体"/>
          <w:szCs w:val="21"/>
        </w:rPr>
        <w:t>赔付比例调整系数</w:t>
      </w:r>
      <w:r>
        <w:rPr>
          <w:rFonts w:hint="eastAsia" w:ascii="宋体" w:hAnsi="宋体" w:eastAsia="宋体" w:cs="宋体"/>
          <w:szCs w:val="21"/>
          <w:lang w:eastAsia="zh-CN"/>
        </w:rPr>
        <w:t>（</w:t>
      </w:r>
      <w:r>
        <w:rPr>
          <w:rFonts w:hint="eastAsia" w:ascii="宋体" w:hAnsi="宋体" w:eastAsia="宋体" w:cs="宋体"/>
          <w:szCs w:val="21"/>
          <w:lang w:val="en-US" w:eastAsia="zh-CN"/>
        </w:rPr>
        <w:t>F2</w:t>
      </w:r>
      <w:r>
        <w:rPr>
          <w:rFonts w:hint="eastAsia" w:ascii="宋体" w:hAnsi="宋体" w:eastAsia="宋体" w:cs="宋体"/>
          <w:szCs w:val="21"/>
          <w:lang w:eastAsia="zh-CN"/>
        </w:rPr>
        <w:t>）</w:t>
      </w:r>
    </w:p>
    <w:tbl>
      <w:tblPr>
        <w:tblStyle w:val="9"/>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95"/>
        <w:gridCol w:w="2661"/>
        <w:gridCol w:w="1914"/>
        <w:gridCol w:w="1252"/>
      </w:tblGrid>
      <w:tr w14:paraId="362EA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899"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5117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bookmarkStart w:id="3" w:name="OLE_LINK21"/>
            <w:r>
              <w:rPr>
                <w:rFonts w:hint="eastAsia" w:ascii="宋体" w:hAnsi="宋体" w:eastAsia="宋体" w:cs="宋体"/>
                <w:i w:val="0"/>
                <w:iCs w:val="0"/>
                <w:color w:val="000000"/>
                <w:kern w:val="0"/>
                <w:sz w:val="21"/>
                <w:szCs w:val="21"/>
                <w:u w:val="none"/>
                <w:lang w:val="en-US" w:eastAsia="zh-CN" w:bidi="ar"/>
              </w:rPr>
              <w:t>被保险人以参加基本医疗保险或公费医疗身份投保，并以基本医疗保险或公费医疗身份就诊并结算</w:t>
            </w:r>
            <w:bookmarkEnd w:id="3"/>
          </w:p>
        </w:tc>
        <w:tc>
          <w:tcPr>
            <w:tcW w:w="2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3BD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lang w:val="en-US"/>
              </w:rPr>
            </w:pPr>
            <w:bookmarkStart w:id="4" w:name="OLE_LINK22"/>
            <w:bookmarkStart w:id="5" w:name="OLE_LINK23"/>
            <w:r>
              <w:rPr>
                <w:rFonts w:hint="eastAsia" w:ascii="宋体" w:hAnsi="宋体" w:eastAsia="宋体" w:cs="宋体"/>
                <w:i w:val="0"/>
                <w:iCs w:val="0"/>
                <w:color w:val="000000"/>
                <w:kern w:val="0"/>
                <w:sz w:val="21"/>
                <w:szCs w:val="21"/>
                <w:u w:val="none"/>
                <w:lang w:val="en-US" w:eastAsia="zh-CN" w:bidi="ar"/>
              </w:rPr>
              <w:t>被保险人以参加基本医疗保险或公费医疗身份投保，但未以基本医疗保险或公费医疗身份就诊并结</w:t>
            </w:r>
            <w:bookmarkEnd w:id="4"/>
            <w:r>
              <w:rPr>
                <w:rFonts w:hint="eastAsia" w:ascii="宋体" w:hAnsi="宋体" w:eastAsia="宋体" w:cs="宋体"/>
                <w:i w:val="0"/>
                <w:iCs w:val="0"/>
                <w:color w:val="000000"/>
                <w:kern w:val="0"/>
                <w:sz w:val="21"/>
                <w:szCs w:val="21"/>
                <w:u w:val="none"/>
                <w:lang w:val="en-US" w:eastAsia="zh-CN" w:bidi="ar"/>
              </w:rPr>
              <w:t>算</w:t>
            </w:r>
            <w:bookmarkEnd w:id="5"/>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1C48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817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26FD8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FBEC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9C8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20489">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C4E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r>
      <w:tr w14:paraId="7DCFD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8C6A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A8F9">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3C9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124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r>
      <w:tr w14:paraId="5226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169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D75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FEFD">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DAC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3F31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EDA0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FBD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B325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91C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0.88 </w:t>
            </w:r>
          </w:p>
        </w:tc>
      </w:tr>
      <w:tr w14:paraId="6C354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6C541">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D53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C832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501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0.75 </w:t>
            </w:r>
          </w:p>
        </w:tc>
      </w:tr>
      <w:tr w14:paraId="0EFA1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44"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E55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3D2F3">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C8A5">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BA82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0.63 </w:t>
            </w:r>
          </w:p>
        </w:tc>
      </w:tr>
      <w:tr w14:paraId="1094E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44"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629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8E5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B8E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6B131">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r w14:paraId="472F8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44"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5024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9D2F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E2C8">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DACC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0.38 </w:t>
            </w:r>
          </w:p>
        </w:tc>
      </w:tr>
      <w:tr w14:paraId="2247C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52" w:hRule="atLeast"/>
          <w:jc w:val="center"/>
        </w:trPr>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91A7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6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E77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EFE37">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8374B">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0.31 </w:t>
            </w:r>
          </w:p>
        </w:tc>
      </w:tr>
    </w:tbl>
    <w:p w14:paraId="1A3657A5">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24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szCs w:val="21"/>
          <w:lang w:val="en-US" w:eastAsia="zh-CN"/>
        </w:rPr>
        <w:t>3、意外伤害医疗</w:t>
      </w:r>
      <w:r>
        <w:rPr>
          <w:rFonts w:hint="eastAsia" w:ascii="宋体" w:hAnsi="宋体" w:eastAsia="宋体" w:cs="宋体"/>
          <w:b w:val="0"/>
          <w:bCs w:val="0"/>
          <w:sz w:val="21"/>
          <w:szCs w:val="21"/>
          <w:lang w:val="en-US" w:eastAsia="zh-CN"/>
        </w:rPr>
        <w:t>保险金额调整系数（F3）</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37"/>
        <w:gridCol w:w="2085"/>
      </w:tblGrid>
      <w:tr w14:paraId="21129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E3106">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意外伤害医疗保险金额（万元）</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68FB">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调整系数</w:t>
            </w:r>
          </w:p>
        </w:tc>
      </w:tr>
      <w:tr w14:paraId="0E531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A5B8">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8FDD">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w:t>
            </w:r>
          </w:p>
        </w:tc>
      </w:tr>
      <w:tr w14:paraId="3DECA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F933">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60D3">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r>
      <w:tr w14:paraId="5AF77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D811">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75409">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[0.9,1.0)</w:t>
            </w:r>
          </w:p>
        </w:tc>
      </w:tr>
      <w:tr w14:paraId="0956E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3486C">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DD38">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[0.8,0.9)</w:t>
            </w:r>
          </w:p>
        </w:tc>
      </w:tr>
      <w:tr w14:paraId="1BCF4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A784">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&lt;10</w:t>
            </w: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64D81">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[0.7,0.8)</w:t>
            </w:r>
          </w:p>
        </w:tc>
      </w:tr>
    </w:tbl>
    <w:p w14:paraId="0F83C0CE">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24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szCs w:val="21"/>
          <w:lang w:val="en-US" w:eastAsia="zh-CN"/>
        </w:rPr>
        <w:t>4、</w:t>
      </w:r>
      <w:r>
        <w:rPr>
          <w:rFonts w:hint="eastAsia" w:ascii="宋体" w:hAnsi="宋体" w:eastAsia="宋体" w:cs="宋体"/>
          <w:b w:val="0"/>
          <w:bCs w:val="0"/>
          <w:sz w:val="21"/>
          <w:szCs w:val="21"/>
          <w:lang w:val="en-US" w:eastAsia="zh-CN"/>
        </w:rPr>
        <w:t>渠道调整系数（F4）</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57"/>
        <w:gridCol w:w="2065"/>
      </w:tblGrid>
      <w:tr w14:paraId="7DF7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1F18F79F">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bookmarkStart w:id="6" w:name="OLE_LINK19" w:colFirst="0" w:colLast="1"/>
            <w:r>
              <w:rPr>
                <w:rFonts w:hint="eastAsia" w:ascii="宋体" w:hAnsi="宋体" w:eastAsia="宋体" w:cs="宋体"/>
                <w:i w:val="0"/>
                <w:iCs w:val="0"/>
                <w:color w:val="000000"/>
                <w:kern w:val="0"/>
                <w:sz w:val="21"/>
                <w:szCs w:val="21"/>
                <w:u w:val="none"/>
                <w:lang w:val="en-US" w:eastAsia="zh-CN" w:bidi="ar"/>
              </w:rPr>
              <w:t>渠道类型</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672A4FA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575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12B078F6">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直销（或销售费用率等同直销的渠道）</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756A04F2">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6EF5F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7234E51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其他第三方渠道</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7934103C">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bookmarkEnd w:id="6"/>
    </w:tbl>
    <w:p w14:paraId="46C05033">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24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注：根据渠道销售费用率水平按比例调整。</w:t>
      </w:r>
    </w:p>
    <w:p w14:paraId="29CBD538">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24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5、经验/预期赔付率调整系数（F5）</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27"/>
        <w:gridCol w:w="2095"/>
      </w:tblGrid>
      <w:tr w14:paraId="01348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6427" w:type="dxa"/>
            <w:tcBorders>
              <w:top w:val="single" w:color="auto" w:sz="4" w:space="0"/>
              <w:left w:val="single" w:color="auto" w:sz="4" w:space="0"/>
              <w:bottom w:val="single" w:color="auto" w:sz="4" w:space="0"/>
              <w:right w:val="single" w:color="auto" w:sz="4" w:space="0"/>
            </w:tcBorders>
            <w:shd w:val="clear" w:color="auto" w:fill="auto"/>
            <w:vAlign w:val="center"/>
          </w:tcPr>
          <w:p w14:paraId="0C3BF67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2095" w:type="dxa"/>
            <w:tcBorders>
              <w:top w:val="single" w:color="auto" w:sz="4" w:space="0"/>
              <w:left w:val="single" w:color="auto" w:sz="4" w:space="0"/>
              <w:bottom w:val="single" w:color="auto" w:sz="4" w:space="0"/>
              <w:right w:val="single" w:color="auto" w:sz="4" w:space="0"/>
            </w:tcBorders>
            <w:shd w:val="clear" w:color="auto" w:fill="auto"/>
            <w:vAlign w:val="center"/>
          </w:tcPr>
          <w:p w14:paraId="418A376E">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43252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6427" w:type="dxa"/>
            <w:tcBorders>
              <w:top w:val="single" w:color="auto" w:sz="4" w:space="0"/>
              <w:left w:val="single" w:color="auto" w:sz="4" w:space="0"/>
              <w:bottom w:val="single" w:color="auto" w:sz="4" w:space="0"/>
              <w:right w:val="single" w:color="auto" w:sz="4" w:space="0"/>
            </w:tcBorders>
            <w:shd w:val="clear" w:color="auto" w:fill="auto"/>
            <w:vAlign w:val="center"/>
          </w:tcPr>
          <w:p w14:paraId="43F2AA04">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0%-65%（含）</w:t>
            </w:r>
          </w:p>
        </w:tc>
        <w:tc>
          <w:tcPr>
            <w:tcW w:w="2095" w:type="dxa"/>
            <w:tcBorders>
              <w:top w:val="single" w:color="auto" w:sz="4" w:space="0"/>
              <w:left w:val="single" w:color="auto" w:sz="4" w:space="0"/>
              <w:bottom w:val="single" w:color="auto" w:sz="4" w:space="0"/>
              <w:right w:val="single" w:color="auto" w:sz="4" w:space="0"/>
            </w:tcBorders>
            <w:shd w:val="clear" w:color="auto" w:fill="auto"/>
            <w:vAlign w:val="center"/>
          </w:tcPr>
          <w:p w14:paraId="7A3B9DC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5DF26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6427" w:type="dxa"/>
            <w:tcBorders>
              <w:top w:val="single" w:color="auto" w:sz="4" w:space="0"/>
              <w:left w:val="single" w:color="auto" w:sz="4" w:space="0"/>
              <w:bottom w:val="single" w:color="auto" w:sz="4" w:space="0"/>
              <w:right w:val="single" w:color="auto" w:sz="4" w:space="0"/>
            </w:tcBorders>
            <w:shd w:val="clear" w:color="auto" w:fill="auto"/>
            <w:vAlign w:val="center"/>
          </w:tcPr>
          <w:p w14:paraId="5E38067A">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2095" w:type="dxa"/>
            <w:tcBorders>
              <w:top w:val="single" w:color="auto" w:sz="4" w:space="0"/>
              <w:left w:val="single" w:color="auto" w:sz="4" w:space="0"/>
              <w:bottom w:val="single" w:color="auto" w:sz="4" w:space="0"/>
              <w:right w:val="single" w:color="auto" w:sz="4" w:space="0"/>
            </w:tcBorders>
            <w:shd w:val="clear" w:color="auto" w:fill="auto"/>
            <w:vAlign w:val="center"/>
          </w:tcPr>
          <w:p w14:paraId="2B0CA5FF">
            <w:pPr>
              <w:keepNext w:val="0"/>
              <w:keepLines w:val="0"/>
              <w:widowControl/>
              <w:suppressLineNumbers w:val="0"/>
              <w:adjustRightInd w:val="0"/>
              <w:snapToGrid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529961BB">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240" w:lineRule="auto"/>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w:t>
      </w:r>
      <w:r>
        <w:rPr>
          <w:rFonts w:hint="eastAsia" w:ascii="宋体" w:hAnsi="宋体" w:eastAsia="宋体" w:cs="宋体"/>
          <w:i w:val="0"/>
          <w:iCs w:val="0"/>
          <w:color w:val="000000"/>
          <w:kern w:val="0"/>
          <w:sz w:val="21"/>
          <w:szCs w:val="21"/>
          <w:u w:val="none"/>
          <w:lang w:val="en-US" w:eastAsia="zh-CN" w:bidi="ar"/>
        </w:rPr>
        <w:t>被保险人主要生活区域</w:t>
      </w:r>
      <w:r>
        <w:rPr>
          <w:rStyle w:val="27"/>
          <w:lang w:val="en-US" w:eastAsia="zh-CN" w:bidi="ar"/>
        </w:rPr>
        <w:t>交通状况</w:t>
      </w:r>
      <w:r>
        <w:rPr>
          <w:rFonts w:hint="eastAsia" w:ascii="宋体" w:hAnsi="宋体" w:eastAsia="宋体" w:cs="宋体"/>
          <w:b w:val="0"/>
          <w:bCs w:val="0"/>
          <w:sz w:val="21"/>
          <w:szCs w:val="21"/>
          <w:lang w:val="en-US" w:eastAsia="zh-CN"/>
        </w:rPr>
        <w:t>（F6）</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57"/>
        <w:gridCol w:w="2065"/>
      </w:tblGrid>
      <w:tr w14:paraId="37701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7B7FBE57">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被保险人主要生活区域</w:t>
            </w:r>
            <w:r>
              <w:rPr>
                <w:rStyle w:val="27"/>
                <w:lang w:val="en-US" w:eastAsia="zh-CN" w:bidi="ar"/>
              </w:rPr>
              <w:t>交通状况</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368642D2">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60C7D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21C5ABEF">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7"/>
                <w:lang w:val="en-US" w:eastAsia="zh-CN" w:bidi="ar"/>
              </w:rPr>
              <w:t>况良好</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54EAD3BE">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[0.7,0.9)</w:t>
            </w:r>
          </w:p>
        </w:tc>
      </w:tr>
      <w:tr w14:paraId="0ABA2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2A0EEE61">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7"/>
                <w:lang w:val="en-US" w:eastAsia="zh-CN" w:bidi="ar"/>
              </w:rPr>
              <w:t>况一般</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4F774AE5">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w:t>
            </w:r>
            <w:r>
              <w:rPr>
                <w:rStyle w:val="27"/>
                <w:lang w:val="en-US" w:eastAsia="zh-CN" w:bidi="ar"/>
              </w:rPr>
              <w:t>[0.9,1.0］</w:t>
            </w:r>
          </w:p>
        </w:tc>
      </w:tr>
      <w:tr w14:paraId="73751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6457" w:type="dxa"/>
            <w:tcBorders>
              <w:top w:val="single" w:color="auto" w:sz="4" w:space="0"/>
              <w:left w:val="single" w:color="auto" w:sz="4" w:space="0"/>
              <w:bottom w:val="single" w:color="auto" w:sz="4" w:space="0"/>
              <w:right w:val="single" w:color="auto" w:sz="4" w:space="0"/>
            </w:tcBorders>
            <w:shd w:val="clear" w:color="auto" w:fill="auto"/>
            <w:vAlign w:val="center"/>
          </w:tcPr>
          <w:p w14:paraId="74ACC50E">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交通状</w:t>
            </w:r>
            <w:r>
              <w:rPr>
                <w:rStyle w:val="27"/>
                <w:lang w:val="en-US" w:eastAsia="zh-CN" w:bidi="ar"/>
              </w:rPr>
              <w:t>况较差</w:t>
            </w:r>
          </w:p>
        </w:tc>
        <w:tc>
          <w:tcPr>
            <w:tcW w:w="2065" w:type="dxa"/>
            <w:tcBorders>
              <w:top w:val="single" w:color="auto" w:sz="4" w:space="0"/>
              <w:left w:val="single" w:color="auto" w:sz="4" w:space="0"/>
              <w:bottom w:val="single" w:color="auto" w:sz="4" w:space="0"/>
              <w:right w:val="single" w:color="auto" w:sz="4" w:space="0"/>
            </w:tcBorders>
            <w:shd w:val="clear" w:color="auto" w:fill="auto"/>
            <w:vAlign w:val="center"/>
          </w:tcPr>
          <w:p w14:paraId="2C27C222">
            <w:pPr>
              <w:keepNext w:val="0"/>
              <w:keepLines w:val="0"/>
              <w:widowControl/>
              <w:suppressLineNumbers w:val="0"/>
              <w:spacing w:beforeLines="0" w:afterLine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68D90EB2">
      <w:pPr>
        <w:widowControl/>
        <w:spacing w:before="0" w:beforeLines="0" w:afterLines="0" w:line="240" w:lineRule="auto"/>
        <w:rPr>
          <w:rFonts w:ascii="宋体" w:hAnsi="宋体" w:eastAsia="宋体" w:cs="宋体"/>
          <w:szCs w:val="21"/>
        </w:rPr>
      </w:pPr>
    </w:p>
    <w:p w14:paraId="628A6A64">
      <w:pPr>
        <w:spacing w:beforeLines="0" w:after="0" w:afterLines="0" w:line="240" w:lineRule="auto"/>
        <w:rPr>
          <w:rFonts w:ascii="宋体" w:hAnsi="宋体" w:eastAsia="宋体" w:cs="宋体"/>
          <w:b/>
          <w:bCs/>
          <w:szCs w:val="21"/>
        </w:rPr>
      </w:pPr>
      <w:r>
        <w:rPr>
          <w:rFonts w:hint="eastAsia" w:ascii="宋体" w:hAnsi="宋体" w:eastAsia="宋体" w:cs="宋体"/>
          <w:b/>
          <w:bCs/>
          <w:szCs w:val="21"/>
        </w:rPr>
        <w:t>三、保险费计算公式</w:t>
      </w:r>
    </w:p>
    <w:p w14:paraId="30D690E3">
      <w:pPr>
        <w:keepNext w:val="0"/>
        <w:keepLines w:val="0"/>
        <w:pageBreakBefore w:val="0"/>
        <w:widowControl w:val="0"/>
        <w:kinsoku/>
        <w:wordWrap/>
        <w:overflowPunct/>
        <w:topLinePunct w:val="0"/>
        <w:autoSpaceDE/>
        <w:autoSpaceDN/>
        <w:bidi w:val="0"/>
        <w:adjustRightInd/>
        <w:snapToGrid/>
        <w:spacing w:beforeLines="0" w:after="0" w:afterLines="0" w:line="240" w:lineRule="auto"/>
        <w:ind w:firstLine="420" w:firstLineChars="200"/>
        <w:jc w:val="right"/>
        <w:textAlignment w:val="auto"/>
        <w:rPr>
          <w:rFonts w:hint="default" w:ascii="宋体" w:hAnsi="宋体" w:eastAsia="宋体" w:cs="宋体"/>
          <w:szCs w:val="21"/>
          <w:lang w:val="en-US" w:eastAsia="zh-CN"/>
        </w:rPr>
      </w:pPr>
      <w:r>
        <w:rPr>
          <w:rFonts w:hint="eastAsia" w:ascii="宋体" w:hAnsi="宋体" w:eastAsia="宋体" w:cs="宋体"/>
          <w:szCs w:val="21"/>
          <w:lang w:val="en-US" w:eastAsia="zh-CN"/>
        </w:rPr>
        <w:t>单位：元</w:t>
      </w:r>
    </w:p>
    <w:p w14:paraId="73206547">
      <w:pPr>
        <w:keepNext w:val="0"/>
        <w:keepLines w:val="0"/>
        <w:pageBreakBefore w:val="0"/>
        <w:widowControl w:val="0"/>
        <w:kinsoku/>
        <w:wordWrap/>
        <w:overflowPunct/>
        <w:topLinePunct w:val="0"/>
        <w:autoSpaceDE/>
        <w:autoSpaceDN/>
        <w:bidi w:val="0"/>
        <w:adjustRightInd/>
        <w:snapToGrid/>
        <w:spacing w:beforeLines="0" w:after="0" w:afterLines="0" w:line="240" w:lineRule="auto"/>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1、必选</w:t>
      </w:r>
      <w:r>
        <w:rPr>
          <w:rFonts w:hint="eastAsia" w:ascii="宋体" w:hAnsi="宋体" w:eastAsia="宋体" w:cs="宋体"/>
          <w:szCs w:val="21"/>
        </w:rPr>
        <w:t>责任保险费=意外伤害保险金额</w:t>
      </w:r>
      <w:r>
        <w:rPr>
          <w:rFonts w:hint="eastAsia" w:ascii="宋体" w:hAnsi="宋体" w:cs="宋体"/>
          <w:color w:val="000000" w:themeColor="text1"/>
          <w:szCs w:val="21"/>
          <w14:textFill>
            <w14:solidFill>
              <w14:schemeClr w14:val="tx1"/>
            </w14:solidFill>
          </w14:textFill>
        </w:rPr>
        <w:t>×意外伤害身故</w:t>
      </w:r>
      <w:r>
        <w:rPr>
          <w:rFonts w:hint="eastAsia" w:ascii="宋体" w:hAnsi="宋体" w:cs="宋体"/>
          <w:color w:val="000000" w:themeColor="text1"/>
          <w:szCs w:val="21"/>
          <w:lang w:val="en-US" w:eastAsia="zh-CN"/>
          <w14:textFill>
            <w14:solidFill>
              <w14:schemeClr w14:val="tx1"/>
            </w14:solidFill>
          </w14:textFill>
        </w:rPr>
        <w:t>保险金</w:t>
      </w:r>
      <w:r>
        <w:rPr>
          <w:rFonts w:hint="eastAsia" w:ascii="宋体" w:hAnsi="宋体" w:cs="宋体"/>
          <w:color w:val="000000" w:themeColor="text1"/>
          <w:szCs w:val="21"/>
          <w14:textFill>
            <w14:solidFill>
              <w14:schemeClr w14:val="tx1"/>
            </w14:solidFill>
          </w14:textFill>
        </w:rPr>
        <w:t>基</w:t>
      </w:r>
      <w:r>
        <w:rPr>
          <w:rFonts w:hint="eastAsia" w:ascii="宋体" w:hAnsi="宋体" w:cs="宋体"/>
          <w:color w:val="000000" w:themeColor="text1"/>
          <w:szCs w:val="21"/>
          <w:lang w:eastAsia="zh-Hans"/>
          <w14:textFill>
            <w14:solidFill>
              <w14:schemeClr w14:val="tx1"/>
            </w14:solidFill>
          </w14:textFill>
        </w:rPr>
        <w:t>准</w:t>
      </w:r>
      <w:r>
        <w:rPr>
          <w:rFonts w:hint="eastAsia" w:ascii="宋体" w:hAnsi="宋体" w:cs="宋体"/>
          <w:color w:val="000000" w:themeColor="text1"/>
          <w:szCs w:val="21"/>
          <w14:textFill>
            <w14:solidFill>
              <w14:schemeClr w14:val="tx1"/>
            </w14:solidFill>
          </w14:textFill>
        </w:rPr>
        <w:t>费率</w:t>
      </w:r>
      <w:r>
        <w:rPr>
          <w:rFonts w:hint="eastAsia" w:ascii="宋体" w:hAnsi="宋体" w:cs="宋体"/>
          <w:szCs w:val="21"/>
        </w:rPr>
        <w:t>×F</w:t>
      </w:r>
      <w:r>
        <w:rPr>
          <w:rFonts w:ascii="宋体" w:hAnsi="宋体" w:cs="宋体"/>
          <w:szCs w:val="21"/>
        </w:rPr>
        <w:t>4</w:t>
      </w:r>
      <w:r>
        <w:rPr>
          <w:rFonts w:hint="eastAsia" w:ascii="宋体" w:hAnsi="宋体" w:cs="宋体"/>
          <w:szCs w:val="21"/>
        </w:rPr>
        <w:t>×F</w:t>
      </w:r>
      <w:r>
        <w:rPr>
          <w:rFonts w:ascii="宋体" w:hAnsi="宋体" w:cs="宋体"/>
          <w:szCs w:val="21"/>
        </w:rPr>
        <w:t>5</w:t>
      </w:r>
      <w:r>
        <w:rPr>
          <w:rFonts w:hint="eastAsia" w:ascii="宋体" w:hAnsi="宋体" w:cs="宋体"/>
          <w:szCs w:val="21"/>
        </w:rPr>
        <w:t>×F6</w:t>
      </w:r>
    </w:p>
    <w:p w14:paraId="3CDA44A9">
      <w:pPr>
        <w:keepNext w:val="0"/>
        <w:keepLines w:val="0"/>
        <w:pageBreakBefore w:val="0"/>
        <w:widowControl w:val="0"/>
        <w:kinsoku/>
        <w:wordWrap/>
        <w:overflowPunct/>
        <w:topLinePunct w:val="0"/>
        <w:autoSpaceDE/>
        <w:autoSpaceDN/>
        <w:bidi w:val="0"/>
        <w:adjustRightInd/>
        <w:snapToGrid/>
        <w:spacing w:beforeLines="0" w:after="0" w:afterLines="0" w:line="240" w:lineRule="auto"/>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可选责任保险费=意外伤害保险金额</w:t>
      </w:r>
      <w:r>
        <w:rPr>
          <w:rFonts w:hint="eastAsia" w:ascii="宋体" w:hAnsi="宋体" w:cs="宋体"/>
          <w:color w:val="000000" w:themeColor="text1"/>
          <w:szCs w:val="21"/>
          <w14:textFill>
            <w14:solidFill>
              <w14:schemeClr w14:val="tx1"/>
            </w14:solidFill>
          </w14:textFill>
        </w:rPr>
        <w:t>×意外伤害伤残</w:t>
      </w:r>
      <w:r>
        <w:rPr>
          <w:rFonts w:hint="eastAsia" w:ascii="宋体" w:hAnsi="宋体" w:cs="宋体"/>
          <w:color w:val="000000" w:themeColor="text1"/>
          <w:szCs w:val="21"/>
          <w:lang w:val="en-US" w:eastAsia="zh-CN"/>
          <w14:textFill>
            <w14:solidFill>
              <w14:schemeClr w14:val="tx1"/>
            </w14:solidFill>
          </w14:textFill>
        </w:rPr>
        <w:t>保险金</w:t>
      </w:r>
      <w:r>
        <w:rPr>
          <w:rFonts w:hint="eastAsia" w:ascii="宋体" w:hAnsi="宋体" w:cs="宋体"/>
          <w:color w:val="000000" w:themeColor="text1"/>
          <w:szCs w:val="21"/>
          <w14:textFill>
            <w14:solidFill>
              <w14:schemeClr w14:val="tx1"/>
            </w14:solidFill>
          </w14:textFill>
        </w:rPr>
        <w:t>基</w:t>
      </w:r>
      <w:r>
        <w:rPr>
          <w:rFonts w:hint="eastAsia" w:ascii="宋体" w:hAnsi="宋体" w:cs="宋体"/>
          <w:color w:val="000000" w:themeColor="text1"/>
          <w:szCs w:val="21"/>
          <w:lang w:eastAsia="zh-Hans"/>
          <w14:textFill>
            <w14:solidFill>
              <w14:schemeClr w14:val="tx1"/>
            </w14:solidFill>
          </w14:textFill>
        </w:rPr>
        <w:t>准</w:t>
      </w:r>
      <w:r>
        <w:rPr>
          <w:rFonts w:hint="eastAsia" w:ascii="宋体" w:hAnsi="宋体" w:cs="宋体"/>
          <w:color w:val="000000" w:themeColor="text1"/>
          <w:szCs w:val="21"/>
          <w14:textFill>
            <w14:solidFill>
              <w14:schemeClr w14:val="tx1"/>
            </w14:solidFill>
          </w14:textFill>
        </w:rPr>
        <w:t>费率</w:t>
      </w:r>
      <w:r>
        <w:rPr>
          <w:rFonts w:hint="eastAsia" w:ascii="宋体" w:hAnsi="宋体" w:cs="宋体"/>
          <w:szCs w:val="21"/>
        </w:rPr>
        <w:t>×F</w:t>
      </w:r>
      <w:r>
        <w:rPr>
          <w:rFonts w:ascii="宋体" w:hAnsi="宋体" w:cs="宋体"/>
          <w:szCs w:val="21"/>
        </w:rPr>
        <w:t>4</w:t>
      </w:r>
      <w:r>
        <w:rPr>
          <w:rFonts w:hint="eastAsia" w:ascii="宋体" w:hAnsi="宋体" w:cs="宋体"/>
          <w:szCs w:val="21"/>
        </w:rPr>
        <w:t>×F</w:t>
      </w:r>
      <w:r>
        <w:rPr>
          <w:rFonts w:ascii="宋体" w:hAnsi="宋体" w:cs="宋体"/>
          <w:szCs w:val="21"/>
        </w:rPr>
        <w:t>5</w:t>
      </w:r>
      <w:r>
        <w:rPr>
          <w:rFonts w:hint="eastAsia" w:ascii="宋体" w:hAnsi="宋体" w:cs="宋体"/>
          <w:szCs w:val="21"/>
        </w:rPr>
        <w:t>×F6</w:t>
      </w:r>
      <w:r>
        <w:rPr>
          <w:rFonts w:hint="eastAsia" w:ascii="宋体" w:hAnsi="宋体" w:eastAsia="宋体" w:cs="宋体"/>
          <w:szCs w:val="21"/>
        </w:rPr>
        <w:t>+意外伤害医疗保险金额</w:t>
      </w:r>
      <w:r>
        <w:rPr>
          <w:rFonts w:hint="eastAsia" w:ascii="宋体" w:hAnsi="宋体" w:cs="宋体"/>
          <w:color w:val="000000" w:themeColor="text1"/>
          <w:szCs w:val="21"/>
          <w14:textFill>
            <w14:solidFill>
              <w14:schemeClr w14:val="tx1"/>
            </w14:solidFill>
          </w14:textFill>
        </w:rPr>
        <w:t>×意外伤害医疗</w:t>
      </w:r>
      <w:r>
        <w:rPr>
          <w:rFonts w:hint="eastAsia" w:ascii="宋体" w:hAnsi="宋体" w:cs="宋体"/>
          <w:color w:val="000000" w:themeColor="text1"/>
          <w:szCs w:val="21"/>
          <w:lang w:val="en-US" w:eastAsia="zh-CN"/>
          <w14:textFill>
            <w14:solidFill>
              <w14:schemeClr w14:val="tx1"/>
            </w14:solidFill>
          </w14:textFill>
        </w:rPr>
        <w:t>保险金</w:t>
      </w:r>
      <w:r>
        <w:rPr>
          <w:rFonts w:hint="eastAsia" w:ascii="宋体" w:hAnsi="宋体" w:cs="宋体"/>
          <w:color w:val="000000" w:themeColor="text1"/>
          <w:szCs w:val="21"/>
          <w:lang w:eastAsia="zh-Hans"/>
          <w14:textFill>
            <w14:solidFill>
              <w14:schemeClr w14:val="tx1"/>
            </w14:solidFill>
          </w14:textFill>
        </w:rPr>
        <w:t>基准</w:t>
      </w:r>
      <w:r>
        <w:rPr>
          <w:rFonts w:hint="eastAsia" w:ascii="宋体" w:hAnsi="宋体" w:cs="宋体"/>
          <w:color w:val="000000" w:themeColor="text1"/>
          <w:szCs w:val="21"/>
          <w14:textFill>
            <w14:solidFill>
              <w14:schemeClr w14:val="tx1"/>
            </w14:solidFill>
          </w14:textFill>
        </w:rPr>
        <w:t>费率×</w:t>
      </w:r>
      <w:r>
        <w:rPr>
          <w:rFonts w:hint="eastAsia" w:ascii="宋体" w:hAnsi="宋体"/>
          <w:szCs w:val="21"/>
        </w:rPr>
        <w:t>F</w:t>
      </w:r>
      <w:r>
        <w:rPr>
          <w:rFonts w:ascii="宋体" w:hAnsi="宋体"/>
          <w:szCs w:val="21"/>
        </w:rPr>
        <w:t>1</w:t>
      </w:r>
      <w:r>
        <w:rPr>
          <w:rFonts w:hint="eastAsia" w:ascii="宋体" w:hAnsi="宋体" w:cs="宋体"/>
          <w:szCs w:val="21"/>
        </w:rPr>
        <w:t>×F</w:t>
      </w:r>
      <w:r>
        <w:rPr>
          <w:rFonts w:ascii="宋体" w:hAnsi="宋体" w:cs="宋体"/>
          <w:szCs w:val="21"/>
        </w:rPr>
        <w:t>2</w:t>
      </w:r>
      <w:r>
        <w:rPr>
          <w:rFonts w:hint="eastAsia" w:ascii="宋体" w:hAnsi="宋体" w:cs="宋体"/>
          <w:szCs w:val="21"/>
        </w:rPr>
        <w:t>×F</w:t>
      </w:r>
      <w:r>
        <w:rPr>
          <w:rFonts w:ascii="宋体" w:hAnsi="宋体" w:cs="宋体"/>
          <w:szCs w:val="21"/>
        </w:rPr>
        <w:t>3</w:t>
      </w:r>
      <w:r>
        <w:rPr>
          <w:rFonts w:hint="eastAsia" w:ascii="宋体" w:hAnsi="宋体" w:cs="宋体"/>
          <w:szCs w:val="21"/>
        </w:rPr>
        <w:t>×F</w:t>
      </w:r>
      <w:r>
        <w:rPr>
          <w:rFonts w:ascii="宋体" w:hAnsi="宋体" w:cs="宋体"/>
          <w:szCs w:val="21"/>
        </w:rPr>
        <w:t>4</w:t>
      </w:r>
      <w:r>
        <w:rPr>
          <w:rFonts w:hint="eastAsia" w:ascii="宋体" w:hAnsi="宋体" w:cs="宋体"/>
          <w:szCs w:val="21"/>
        </w:rPr>
        <w:t>×F</w:t>
      </w:r>
      <w:r>
        <w:rPr>
          <w:rFonts w:ascii="宋体" w:hAnsi="宋体" w:cs="宋体"/>
          <w:szCs w:val="21"/>
        </w:rPr>
        <w:t>5</w:t>
      </w:r>
      <w:r>
        <w:rPr>
          <w:rFonts w:hint="eastAsia" w:ascii="宋体" w:hAnsi="宋体" w:cs="宋体"/>
          <w:szCs w:val="21"/>
        </w:rPr>
        <w:t>×F6</w:t>
      </w:r>
    </w:p>
    <w:p w14:paraId="1C88E894">
      <w:pPr>
        <w:keepNext w:val="0"/>
        <w:keepLines w:val="0"/>
        <w:pageBreakBefore w:val="0"/>
        <w:widowControl w:val="0"/>
        <w:kinsoku/>
        <w:wordWrap/>
        <w:overflowPunct/>
        <w:topLinePunct w:val="0"/>
        <w:autoSpaceDE/>
        <w:autoSpaceDN/>
        <w:bidi w:val="0"/>
        <w:adjustRightInd/>
        <w:snapToGrid/>
        <w:spacing w:beforeLines="0" w:after="0" w:afterLines="0" w:line="240" w:lineRule="auto"/>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保险费=</w:t>
      </w:r>
      <w:r>
        <w:rPr>
          <w:rFonts w:hint="eastAsia" w:ascii="宋体" w:hAnsi="宋体" w:eastAsia="宋体" w:cs="宋体"/>
          <w:szCs w:val="21"/>
          <w:lang w:val="en-US" w:eastAsia="zh-CN"/>
        </w:rPr>
        <w:t>必选</w:t>
      </w:r>
      <w:r>
        <w:rPr>
          <w:rFonts w:hint="eastAsia" w:ascii="宋体" w:hAnsi="宋体" w:eastAsia="宋体" w:cs="宋体"/>
          <w:szCs w:val="21"/>
        </w:rPr>
        <w:t>责任保险费+可选责任保险费</w:t>
      </w:r>
      <w:bookmarkStart w:id="7" w:name="_GoBack"/>
      <w:bookmarkEnd w:id="7"/>
    </w:p>
    <w:p w14:paraId="3F04D9FB">
      <w:pPr>
        <w:widowControl/>
        <w:spacing w:before="0" w:beforeLines="0" w:afterLines="0" w:line="240" w:lineRule="auto"/>
        <w:rPr>
          <w:rFonts w:hint="eastAsia" w:ascii="宋体" w:cs="Arial"/>
          <w:b/>
          <w:bCs/>
          <w:kern w:val="0"/>
          <w:szCs w:val="21"/>
          <w:lang w:eastAsia="zh-Hans"/>
        </w:rPr>
      </w:pPr>
    </w:p>
    <w:p w14:paraId="3A4F3A45">
      <w:pPr>
        <w:widowControl/>
        <w:spacing w:before="0" w:beforeLines="0" w:afterLines="0" w:line="240" w:lineRule="auto"/>
        <w:rPr>
          <w:rFonts w:ascii="宋体" w:cs="Arial"/>
          <w:b/>
          <w:bCs/>
          <w:kern w:val="0"/>
          <w:szCs w:val="21"/>
        </w:rPr>
      </w:pPr>
      <w:r>
        <w:rPr>
          <w:rFonts w:hint="eastAsia" w:ascii="宋体" w:cs="Arial"/>
          <w:b/>
          <w:bCs/>
          <w:kern w:val="0"/>
          <w:szCs w:val="21"/>
          <w:lang w:eastAsia="zh-Hans"/>
        </w:rPr>
        <w:t>四、</w:t>
      </w:r>
      <w:r>
        <w:rPr>
          <w:rFonts w:hint="eastAsia" w:ascii="宋体" w:cs="Arial"/>
          <w:b/>
          <w:bCs/>
          <w:kern w:val="0"/>
          <w:szCs w:val="21"/>
        </w:rPr>
        <w:t>短期费率表</w:t>
      </w: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550"/>
        <w:gridCol w:w="550"/>
        <w:gridCol w:w="550"/>
        <w:gridCol w:w="550"/>
        <w:gridCol w:w="550"/>
        <w:gridCol w:w="550"/>
        <w:gridCol w:w="550"/>
        <w:gridCol w:w="550"/>
        <w:gridCol w:w="550"/>
        <w:gridCol w:w="550"/>
        <w:gridCol w:w="550"/>
        <w:gridCol w:w="792"/>
      </w:tblGrid>
      <w:tr w14:paraId="5A13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exact"/>
        </w:trPr>
        <w:tc>
          <w:tcPr>
            <w:tcW w:w="1913" w:type="dxa"/>
            <w:vAlign w:val="center"/>
          </w:tcPr>
          <w:p w14:paraId="0C7B35A6">
            <w:pPr>
              <w:pStyle w:val="20"/>
              <w:spacing w:beforeLines="0" w:afterLines="0"/>
              <w:jc w:val="center"/>
              <w:rPr>
                <w:rFonts w:ascii="宋体" w:hAnsi="宋体"/>
                <w:color w:val="000000"/>
                <w:szCs w:val="21"/>
              </w:rPr>
            </w:pPr>
            <w:r>
              <w:rPr>
                <w:rFonts w:hint="eastAsia" w:ascii="宋体" w:hAnsi="宋体"/>
                <w:color w:val="000000"/>
                <w:szCs w:val="21"/>
              </w:rPr>
              <w:t>保险期间（个月）</w:t>
            </w:r>
          </w:p>
        </w:tc>
        <w:tc>
          <w:tcPr>
            <w:tcW w:w="550" w:type="dxa"/>
            <w:vAlign w:val="center"/>
          </w:tcPr>
          <w:p w14:paraId="6DC5C6D7">
            <w:pPr>
              <w:pStyle w:val="20"/>
              <w:spacing w:beforeLines="0" w:afterLines="0"/>
              <w:jc w:val="center"/>
              <w:rPr>
                <w:rFonts w:ascii="宋体" w:hAnsi="宋体"/>
                <w:color w:val="000000"/>
                <w:szCs w:val="21"/>
              </w:rPr>
            </w:pPr>
            <w:r>
              <w:rPr>
                <w:rFonts w:hint="eastAsia" w:ascii="宋体" w:hAnsi="宋体"/>
                <w:color w:val="000000"/>
                <w:szCs w:val="21"/>
              </w:rPr>
              <w:t>1</w:t>
            </w:r>
          </w:p>
        </w:tc>
        <w:tc>
          <w:tcPr>
            <w:tcW w:w="550" w:type="dxa"/>
            <w:vAlign w:val="center"/>
          </w:tcPr>
          <w:p w14:paraId="576A2662">
            <w:pPr>
              <w:pStyle w:val="20"/>
              <w:spacing w:beforeLines="0" w:afterLines="0"/>
              <w:jc w:val="center"/>
              <w:rPr>
                <w:rFonts w:ascii="宋体" w:hAnsi="宋体"/>
                <w:color w:val="000000"/>
                <w:szCs w:val="21"/>
              </w:rPr>
            </w:pPr>
            <w:r>
              <w:rPr>
                <w:rFonts w:hint="eastAsia" w:ascii="宋体" w:hAnsi="宋体"/>
                <w:color w:val="000000"/>
                <w:szCs w:val="21"/>
              </w:rPr>
              <w:t>2</w:t>
            </w:r>
          </w:p>
        </w:tc>
        <w:tc>
          <w:tcPr>
            <w:tcW w:w="550" w:type="dxa"/>
            <w:vAlign w:val="center"/>
          </w:tcPr>
          <w:p w14:paraId="1E4F563E">
            <w:pPr>
              <w:pStyle w:val="20"/>
              <w:spacing w:beforeLines="0" w:afterLines="0"/>
              <w:jc w:val="center"/>
              <w:rPr>
                <w:rFonts w:ascii="宋体" w:hAnsi="宋体"/>
                <w:color w:val="000000"/>
                <w:szCs w:val="21"/>
              </w:rPr>
            </w:pPr>
            <w:r>
              <w:rPr>
                <w:rFonts w:hint="eastAsia" w:ascii="宋体" w:hAnsi="宋体"/>
                <w:color w:val="000000"/>
                <w:szCs w:val="21"/>
              </w:rPr>
              <w:t>3</w:t>
            </w:r>
          </w:p>
        </w:tc>
        <w:tc>
          <w:tcPr>
            <w:tcW w:w="550" w:type="dxa"/>
            <w:vAlign w:val="center"/>
          </w:tcPr>
          <w:p w14:paraId="64AC5DCA">
            <w:pPr>
              <w:pStyle w:val="20"/>
              <w:spacing w:beforeLines="0" w:afterLines="0"/>
              <w:jc w:val="center"/>
              <w:rPr>
                <w:rFonts w:ascii="宋体" w:hAnsi="宋体"/>
                <w:color w:val="000000"/>
                <w:szCs w:val="21"/>
              </w:rPr>
            </w:pPr>
            <w:r>
              <w:rPr>
                <w:rFonts w:hint="eastAsia" w:ascii="宋体" w:hAnsi="宋体"/>
                <w:color w:val="000000"/>
                <w:szCs w:val="21"/>
              </w:rPr>
              <w:t>4</w:t>
            </w:r>
          </w:p>
        </w:tc>
        <w:tc>
          <w:tcPr>
            <w:tcW w:w="550" w:type="dxa"/>
            <w:vAlign w:val="center"/>
          </w:tcPr>
          <w:p w14:paraId="43970359">
            <w:pPr>
              <w:pStyle w:val="20"/>
              <w:spacing w:beforeLines="0" w:afterLines="0"/>
              <w:jc w:val="center"/>
              <w:rPr>
                <w:rFonts w:ascii="宋体" w:hAnsi="宋体"/>
                <w:color w:val="000000"/>
                <w:szCs w:val="21"/>
              </w:rPr>
            </w:pPr>
            <w:r>
              <w:rPr>
                <w:rFonts w:hint="eastAsia" w:ascii="宋体" w:hAnsi="宋体"/>
                <w:color w:val="000000"/>
                <w:szCs w:val="21"/>
              </w:rPr>
              <w:t>5</w:t>
            </w:r>
          </w:p>
        </w:tc>
        <w:tc>
          <w:tcPr>
            <w:tcW w:w="550" w:type="dxa"/>
            <w:vAlign w:val="center"/>
          </w:tcPr>
          <w:p w14:paraId="13683591">
            <w:pPr>
              <w:pStyle w:val="20"/>
              <w:spacing w:beforeLines="0" w:afterLines="0"/>
              <w:jc w:val="center"/>
              <w:rPr>
                <w:rFonts w:ascii="宋体" w:hAnsi="宋体"/>
                <w:color w:val="000000"/>
                <w:szCs w:val="21"/>
              </w:rPr>
            </w:pPr>
            <w:r>
              <w:rPr>
                <w:rFonts w:hint="eastAsia" w:ascii="宋体" w:hAnsi="宋体"/>
                <w:color w:val="000000"/>
                <w:szCs w:val="21"/>
              </w:rPr>
              <w:t>6</w:t>
            </w:r>
          </w:p>
        </w:tc>
        <w:tc>
          <w:tcPr>
            <w:tcW w:w="550" w:type="dxa"/>
            <w:vAlign w:val="center"/>
          </w:tcPr>
          <w:p w14:paraId="1FDBB30D">
            <w:pPr>
              <w:pStyle w:val="20"/>
              <w:spacing w:beforeLines="0" w:afterLines="0"/>
              <w:jc w:val="center"/>
              <w:rPr>
                <w:rFonts w:ascii="宋体" w:hAnsi="宋体"/>
                <w:color w:val="000000"/>
                <w:szCs w:val="21"/>
              </w:rPr>
            </w:pPr>
            <w:r>
              <w:rPr>
                <w:rFonts w:hint="eastAsia" w:ascii="宋体" w:hAnsi="宋体"/>
                <w:color w:val="000000"/>
                <w:szCs w:val="21"/>
              </w:rPr>
              <w:t>7</w:t>
            </w:r>
          </w:p>
        </w:tc>
        <w:tc>
          <w:tcPr>
            <w:tcW w:w="550" w:type="dxa"/>
            <w:vAlign w:val="center"/>
          </w:tcPr>
          <w:p w14:paraId="4A70B61D">
            <w:pPr>
              <w:pStyle w:val="20"/>
              <w:spacing w:beforeLines="0" w:afterLines="0"/>
              <w:jc w:val="center"/>
              <w:rPr>
                <w:rFonts w:ascii="宋体" w:hAnsi="宋体"/>
                <w:color w:val="000000"/>
                <w:szCs w:val="21"/>
              </w:rPr>
            </w:pPr>
            <w:r>
              <w:rPr>
                <w:rFonts w:hint="eastAsia" w:ascii="宋体" w:hAnsi="宋体"/>
                <w:color w:val="000000"/>
                <w:szCs w:val="21"/>
              </w:rPr>
              <w:t>8</w:t>
            </w:r>
          </w:p>
        </w:tc>
        <w:tc>
          <w:tcPr>
            <w:tcW w:w="550" w:type="dxa"/>
            <w:vAlign w:val="center"/>
          </w:tcPr>
          <w:p w14:paraId="61075FCF">
            <w:pPr>
              <w:pStyle w:val="20"/>
              <w:spacing w:beforeLines="0" w:afterLines="0"/>
              <w:jc w:val="center"/>
              <w:rPr>
                <w:rFonts w:ascii="宋体" w:hAnsi="宋体"/>
                <w:color w:val="000000"/>
                <w:szCs w:val="21"/>
              </w:rPr>
            </w:pPr>
            <w:r>
              <w:rPr>
                <w:rFonts w:hint="eastAsia" w:ascii="宋体" w:hAnsi="宋体"/>
                <w:color w:val="000000"/>
                <w:szCs w:val="21"/>
              </w:rPr>
              <w:t>9</w:t>
            </w:r>
          </w:p>
        </w:tc>
        <w:tc>
          <w:tcPr>
            <w:tcW w:w="550" w:type="dxa"/>
            <w:vAlign w:val="center"/>
          </w:tcPr>
          <w:p w14:paraId="72F369E7">
            <w:pPr>
              <w:pStyle w:val="20"/>
              <w:spacing w:beforeLines="0" w:afterLines="0"/>
              <w:jc w:val="center"/>
              <w:rPr>
                <w:rFonts w:ascii="宋体" w:hAnsi="宋体"/>
                <w:color w:val="000000"/>
                <w:szCs w:val="21"/>
              </w:rPr>
            </w:pPr>
            <w:r>
              <w:rPr>
                <w:rFonts w:hint="eastAsia" w:ascii="宋体" w:hAnsi="宋体"/>
                <w:color w:val="000000"/>
                <w:szCs w:val="21"/>
              </w:rPr>
              <w:t>10</w:t>
            </w:r>
          </w:p>
        </w:tc>
        <w:tc>
          <w:tcPr>
            <w:tcW w:w="550" w:type="dxa"/>
            <w:vAlign w:val="center"/>
          </w:tcPr>
          <w:p w14:paraId="7F32BDB9">
            <w:pPr>
              <w:pStyle w:val="20"/>
              <w:spacing w:beforeLines="0" w:afterLines="0"/>
              <w:jc w:val="center"/>
              <w:rPr>
                <w:rFonts w:ascii="宋体" w:hAnsi="宋体"/>
                <w:color w:val="000000"/>
                <w:szCs w:val="21"/>
              </w:rPr>
            </w:pPr>
            <w:r>
              <w:rPr>
                <w:rFonts w:hint="eastAsia" w:ascii="宋体" w:hAnsi="宋体"/>
                <w:color w:val="000000"/>
                <w:szCs w:val="21"/>
              </w:rPr>
              <w:t>11</w:t>
            </w:r>
          </w:p>
        </w:tc>
        <w:tc>
          <w:tcPr>
            <w:tcW w:w="792" w:type="dxa"/>
            <w:vAlign w:val="center"/>
          </w:tcPr>
          <w:p w14:paraId="58A55752">
            <w:pPr>
              <w:pStyle w:val="20"/>
              <w:spacing w:beforeLines="0" w:afterLines="0"/>
              <w:jc w:val="center"/>
              <w:rPr>
                <w:rFonts w:ascii="宋体" w:hAnsi="宋体"/>
                <w:color w:val="000000"/>
                <w:szCs w:val="21"/>
              </w:rPr>
            </w:pPr>
            <w:r>
              <w:rPr>
                <w:rFonts w:hint="eastAsia" w:ascii="宋体" w:hAnsi="宋体"/>
                <w:color w:val="000000"/>
                <w:szCs w:val="21"/>
              </w:rPr>
              <w:t>12</w:t>
            </w:r>
          </w:p>
        </w:tc>
      </w:tr>
      <w:tr w14:paraId="0EF71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exact"/>
        </w:trPr>
        <w:tc>
          <w:tcPr>
            <w:tcW w:w="1913" w:type="dxa"/>
            <w:vAlign w:val="center"/>
          </w:tcPr>
          <w:p w14:paraId="41FAFE5E">
            <w:pPr>
              <w:pStyle w:val="20"/>
              <w:spacing w:beforeLines="0" w:afterLines="0"/>
              <w:jc w:val="center"/>
              <w:rPr>
                <w:rFonts w:ascii="宋体" w:hAnsi="宋体"/>
                <w:color w:val="000000"/>
                <w:szCs w:val="21"/>
              </w:rPr>
            </w:pPr>
            <w:r>
              <w:rPr>
                <w:rFonts w:hint="eastAsia" w:ascii="宋体" w:hAnsi="宋体"/>
                <w:color w:val="000000"/>
                <w:szCs w:val="21"/>
              </w:rPr>
              <w:t>年</w:t>
            </w:r>
            <w:r>
              <w:rPr>
                <w:rFonts w:hint="eastAsia" w:ascii="宋体" w:hAnsi="宋体"/>
                <w:color w:val="000000"/>
                <w:szCs w:val="21"/>
                <w:lang w:val="en-US" w:eastAsia="zh-CN"/>
              </w:rPr>
              <w:t>保险费</w:t>
            </w:r>
            <w:r>
              <w:rPr>
                <w:rFonts w:hint="eastAsia" w:ascii="宋体" w:hAnsi="宋体"/>
                <w:color w:val="000000"/>
                <w:szCs w:val="21"/>
              </w:rPr>
              <w:t>的百分比</w:t>
            </w:r>
          </w:p>
        </w:tc>
        <w:tc>
          <w:tcPr>
            <w:tcW w:w="550" w:type="dxa"/>
            <w:vAlign w:val="center"/>
          </w:tcPr>
          <w:p w14:paraId="54FD3B88">
            <w:pPr>
              <w:pStyle w:val="20"/>
              <w:spacing w:beforeLines="0" w:afterLines="0"/>
              <w:jc w:val="center"/>
              <w:rPr>
                <w:rFonts w:ascii="宋体" w:hAnsi="宋体"/>
                <w:color w:val="000000"/>
                <w:szCs w:val="21"/>
              </w:rPr>
            </w:pPr>
            <w:r>
              <w:rPr>
                <w:rFonts w:hint="eastAsia" w:ascii="宋体" w:hAnsi="宋体"/>
                <w:color w:val="000000"/>
                <w:szCs w:val="21"/>
              </w:rPr>
              <w:t>10%</w:t>
            </w:r>
          </w:p>
        </w:tc>
        <w:tc>
          <w:tcPr>
            <w:tcW w:w="550" w:type="dxa"/>
            <w:vAlign w:val="center"/>
          </w:tcPr>
          <w:p w14:paraId="11E1B304">
            <w:pPr>
              <w:pStyle w:val="20"/>
              <w:spacing w:beforeLines="0" w:afterLines="0"/>
              <w:jc w:val="center"/>
              <w:rPr>
                <w:rFonts w:ascii="宋体" w:hAnsi="宋体"/>
                <w:color w:val="000000"/>
                <w:szCs w:val="21"/>
              </w:rPr>
            </w:pPr>
            <w:r>
              <w:rPr>
                <w:rFonts w:hint="eastAsia" w:ascii="宋体" w:hAnsi="宋体"/>
                <w:color w:val="000000"/>
                <w:szCs w:val="21"/>
              </w:rPr>
              <w:t>20%</w:t>
            </w:r>
          </w:p>
        </w:tc>
        <w:tc>
          <w:tcPr>
            <w:tcW w:w="550" w:type="dxa"/>
            <w:vAlign w:val="center"/>
          </w:tcPr>
          <w:p w14:paraId="1A9D556E">
            <w:pPr>
              <w:pStyle w:val="20"/>
              <w:spacing w:beforeLines="0" w:afterLines="0"/>
              <w:jc w:val="center"/>
              <w:rPr>
                <w:rFonts w:ascii="宋体" w:hAnsi="宋体"/>
                <w:color w:val="000000"/>
                <w:szCs w:val="21"/>
              </w:rPr>
            </w:pPr>
            <w:r>
              <w:rPr>
                <w:rFonts w:hint="eastAsia" w:ascii="宋体" w:hAnsi="宋体"/>
                <w:color w:val="000000"/>
                <w:szCs w:val="21"/>
              </w:rPr>
              <w:t>30%</w:t>
            </w:r>
          </w:p>
        </w:tc>
        <w:tc>
          <w:tcPr>
            <w:tcW w:w="550" w:type="dxa"/>
            <w:vAlign w:val="center"/>
          </w:tcPr>
          <w:p w14:paraId="20E3208C">
            <w:pPr>
              <w:pStyle w:val="20"/>
              <w:spacing w:beforeLines="0" w:afterLines="0"/>
              <w:jc w:val="center"/>
              <w:rPr>
                <w:rFonts w:ascii="宋体" w:hAnsi="宋体"/>
                <w:color w:val="000000"/>
                <w:szCs w:val="21"/>
              </w:rPr>
            </w:pPr>
            <w:r>
              <w:rPr>
                <w:rFonts w:hint="eastAsia" w:ascii="宋体" w:hAnsi="宋体"/>
                <w:color w:val="000000"/>
                <w:szCs w:val="21"/>
              </w:rPr>
              <w:t>40%</w:t>
            </w:r>
          </w:p>
        </w:tc>
        <w:tc>
          <w:tcPr>
            <w:tcW w:w="550" w:type="dxa"/>
            <w:vAlign w:val="center"/>
          </w:tcPr>
          <w:p w14:paraId="44646E8E">
            <w:pPr>
              <w:pStyle w:val="20"/>
              <w:spacing w:beforeLines="0" w:afterLines="0"/>
              <w:jc w:val="center"/>
              <w:rPr>
                <w:rFonts w:ascii="宋体" w:hAnsi="宋体"/>
                <w:color w:val="000000"/>
                <w:szCs w:val="21"/>
              </w:rPr>
            </w:pPr>
            <w:r>
              <w:rPr>
                <w:rFonts w:hint="eastAsia" w:ascii="宋体" w:hAnsi="宋体"/>
                <w:color w:val="000000"/>
                <w:szCs w:val="21"/>
              </w:rPr>
              <w:t>50%</w:t>
            </w:r>
          </w:p>
        </w:tc>
        <w:tc>
          <w:tcPr>
            <w:tcW w:w="550" w:type="dxa"/>
            <w:vAlign w:val="center"/>
          </w:tcPr>
          <w:p w14:paraId="5BF2134D">
            <w:pPr>
              <w:pStyle w:val="20"/>
              <w:spacing w:beforeLines="0" w:afterLines="0"/>
              <w:jc w:val="center"/>
              <w:rPr>
                <w:rFonts w:ascii="宋体" w:hAnsi="宋体"/>
                <w:color w:val="000000"/>
                <w:szCs w:val="21"/>
              </w:rPr>
            </w:pPr>
            <w:r>
              <w:rPr>
                <w:rFonts w:hint="eastAsia" w:ascii="宋体" w:hAnsi="宋体"/>
                <w:color w:val="000000"/>
                <w:szCs w:val="21"/>
              </w:rPr>
              <w:t>60%</w:t>
            </w:r>
          </w:p>
        </w:tc>
        <w:tc>
          <w:tcPr>
            <w:tcW w:w="550" w:type="dxa"/>
            <w:vAlign w:val="center"/>
          </w:tcPr>
          <w:p w14:paraId="70DB6961">
            <w:pPr>
              <w:pStyle w:val="20"/>
              <w:spacing w:beforeLines="0" w:afterLines="0"/>
              <w:jc w:val="center"/>
              <w:rPr>
                <w:rFonts w:ascii="宋体" w:hAnsi="宋体"/>
                <w:color w:val="000000"/>
                <w:szCs w:val="21"/>
              </w:rPr>
            </w:pPr>
            <w:r>
              <w:rPr>
                <w:rFonts w:hint="eastAsia" w:ascii="宋体" w:hAnsi="宋体"/>
                <w:color w:val="000000"/>
                <w:szCs w:val="21"/>
              </w:rPr>
              <w:t>70%</w:t>
            </w:r>
          </w:p>
        </w:tc>
        <w:tc>
          <w:tcPr>
            <w:tcW w:w="550" w:type="dxa"/>
            <w:vAlign w:val="center"/>
          </w:tcPr>
          <w:p w14:paraId="2C66AA79">
            <w:pPr>
              <w:pStyle w:val="20"/>
              <w:spacing w:beforeLines="0" w:afterLines="0"/>
              <w:jc w:val="center"/>
              <w:rPr>
                <w:rFonts w:ascii="宋体" w:hAnsi="宋体"/>
                <w:color w:val="000000"/>
                <w:szCs w:val="21"/>
              </w:rPr>
            </w:pPr>
            <w:r>
              <w:rPr>
                <w:rFonts w:hint="eastAsia" w:ascii="宋体" w:hAnsi="宋体"/>
                <w:color w:val="000000"/>
                <w:szCs w:val="21"/>
              </w:rPr>
              <w:t>80%</w:t>
            </w:r>
          </w:p>
        </w:tc>
        <w:tc>
          <w:tcPr>
            <w:tcW w:w="550" w:type="dxa"/>
            <w:vAlign w:val="center"/>
          </w:tcPr>
          <w:p w14:paraId="79A69DB9">
            <w:pPr>
              <w:pStyle w:val="20"/>
              <w:spacing w:beforeLines="0" w:afterLines="0"/>
              <w:jc w:val="center"/>
              <w:rPr>
                <w:rFonts w:ascii="宋体" w:hAnsi="宋体"/>
                <w:color w:val="000000"/>
                <w:szCs w:val="21"/>
              </w:rPr>
            </w:pPr>
            <w:r>
              <w:rPr>
                <w:rFonts w:hint="eastAsia" w:ascii="宋体" w:hAnsi="宋体"/>
                <w:color w:val="000000"/>
                <w:szCs w:val="21"/>
              </w:rPr>
              <w:t>85%</w:t>
            </w:r>
          </w:p>
        </w:tc>
        <w:tc>
          <w:tcPr>
            <w:tcW w:w="550" w:type="dxa"/>
            <w:vAlign w:val="center"/>
          </w:tcPr>
          <w:p w14:paraId="07FDC423">
            <w:pPr>
              <w:pStyle w:val="20"/>
              <w:spacing w:beforeLines="0" w:afterLines="0"/>
              <w:jc w:val="center"/>
              <w:rPr>
                <w:rFonts w:ascii="宋体" w:hAnsi="宋体"/>
                <w:color w:val="000000"/>
                <w:szCs w:val="21"/>
              </w:rPr>
            </w:pPr>
            <w:r>
              <w:rPr>
                <w:rFonts w:hint="eastAsia" w:ascii="宋体" w:hAnsi="宋体"/>
                <w:color w:val="000000"/>
                <w:szCs w:val="21"/>
              </w:rPr>
              <w:t>90%</w:t>
            </w:r>
          </w:p>
        </w:tc>
        <w:tc>
          <w:tcPr>
            <w:tcW w:w="550" w:type="dxa"/>
            <w:vAlign w:val="center"/>
          </w:tcPr>
          <w:p w14:paraId="2D5A24FE">
            <w:pPr>
              <w:pStyle w:val="20"/>
              <w:spacing w:beforeLines="0" w:afterLines="0"/>
              <w:jc w:val="center"/>
              <w:rPr>
                <w:rFonts w:ascii="宋体" w:hAnsi="宋体"/>
                <w:color w:val="000000"/>
                <w:szCs w:val="21"/>
              </w:rPr>
            </w:pPr>
            <w:r>
              <w:rPr>
                <w:rFonts w:hint="eastAsia" w:ascii="宋体" w:hAnsi="宋体"/>
                <w:color w:val="000000"/>
                <w:szCs w:val="21"/>
              </w:rPr>
              <w:t>95%</w:t>
            </w:r>
          </w:p>
        </w:tc>
        <w:tc>
          <w:tcPr>
            <w:tcW w:w="792" w:type="dxa"/>
            <w:vAlign w:val="center"/>
          </w:tcPr>
          <w:p w14:paraId="7649F98A">
            <w:pPr>
              <w:pStyle w:val="20"/>
              <w:spacing w:beforeLines="0" w:afterLines="0"/>
              <w:jc w:val="center"/>
              <w:rPr>
                <w:rFonts w:ascii="宋体" w:hAnsi="宋体"/>
                <w:color w:val="000000"/>
                <w:szCs w:val="21"/>
              </w:rPr>
            </w:pPr>
            <w:r>
              <w:rPr>
                <w:rFonts w:hint="eastAsia" w:ascii="宋体" w:hAnsi="宋体"/>
                <w:color w:val="000000"/>
                <w:szCs w:val="21"/>
              </w:rPr>
              <w:t>100%</w:t>
            </w:r>
          </w:p>
        </w:tc>
      </w:tr>
    </w:tbl>
    <w:p w14:paraId="38643F63">
      <w:pPr>
        <w:spacing w:before="0" w:beforeLines="0" w:after="0" w:afterLines="0" w:line="240" w:lineRule="auto"/>
        <w:ind w:firstLine="420" w:firstLineChars="200"/>
        <w:rPr>
          <w:rFonts w:ascii="宋体" w:hAnsi="宋体"/>
          <w:color w:val="000000"/>
          <w:szCs w:val="21"/>
        </w:rPr>
      </w:pPr>
      <w:r>
        <w:rPr>
          <w:rFonts w:hint="eastAsia" w:ascii="宋体" w:hAnsi="宋体"/>
          <w:color w:val="000000"/>
          <w:szCs w:val="21"/>
        </w:rPr>
        <w:t>注：保险期间不足1个月的，按1个月计算；保险期间在1个月以上，不足2个月的，按2个月计算；保险期间在2个月以上，不足3个月的，按3个月计算，依此类推。</w:t>
      </w:r>
    </w:p>
    <w:p w14:paraId="78E09DAA">
      <w:pPr>
        <w:spacing w:beforeLines="0" w:afterLines="0" w:line="240" w:lineRule="auto"/>
        <w:rPr>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A028B">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E03F38">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14:paraId="7BE03F38">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8F0A55"/>
    <w:rsid w:val="00001931"/>
    <w:rsid w:val="00031473"/>
    <w:rsid w:val="00043A7E"/>
    <w:rsid w:val="000F1443"/>
    <w:rsid w:val="00102610"/>
    <w:rsid w:val="00106E60"/>
    <w:rsid w:val="001339C5"/>
    <w:rsid w:val="00171974"/>
    <w:rsid w:val="001A4BB0"/>
    <w:rsid w:val="001B568E"/>
    <w:rsid w:val="001C6D43"/>
    <w:rsid w:val="001F0450"/>
    <w:rsid w:val="001F3CEE"/>
    <w:rsid w:val="00210D67"/>
    <w:rsid w:val="00212489"/>
    <w:rsid w:val="00234B8F"/>
    <w:rsid w:val="002A03D1"/>
    <w:rsid w:val="002B210E"/>
    <w:rsid w:val="002E7456"/>
    <w:rsid w:val="002F21EB"/>
    <w:rsid w:val="00300FBE"/>
    <w:rsid w:val="00310BFD"/>
    <w:rsid w:val="00323346"/>
    <w:rsid w:val="00345CCC"/>
    <w:rsid w:val="00353C08"/>
    <w:rsid w:val="003767FB"/>
    <w:rsid w:val="00387F22"/>
    <w:rsid w:val="003926DE"/>
    <w:rsid w:val="003A40AC"/>
    <w:rsid w:val="003E21DF"/>
    <w:rsid w:val="003E56FD"/>
    <w:rsid w:val="004654B2"/>
    <w:rsid w:val="00476505"/>
    <w:rsid w:val="004851DD"/>
    <w:rsid w:val="00490119"/>
    <w:rsid w:val="0050035D"/>
    <w:rsid w:val="005165C3"/>
    <w:rsid w:val="00533691"/>
    <w:rsid w:val="00566ACA"/>
    <w:rsid w:val="0057562C"/>
    <w:rsid w:val="005A0A90"/>
    <w:rsid w:val="005A3CA7"/>
    <w:rsid w:val="005A3D55"/>
    <w:rsid w:val="005B48E0"/>
    <w:rsid w:val="005C579A"/>
    <w:rsid w:val="005D2C40"/>
    <w:rsid w:val="005D4F00"/>
    <w:rsid w:val="005E3133"/>
    <w:rsid w:val="006A364C"/>
    <w:rsid w:val="006C69C9"/>
    <w:rsid w:val="006E35D9"/>
    <w:rsid w:val="0070083D"/>
    <w:rsid w:val="00707115"/>
    <w:rsid w:val="00723C0D"/>
    <w:rsid w:val="0077445F"/>
    <w:rsid w:val="007B0349"/>
    <w:rsid w:val="007F5439"/>
    <w:rsid w:val="00847260"/>
    <w:rsid w:val="008F0A55"/>
    <w:rsid w:val="00931DE2"/>
    <w:rsid w:val="0093377C"/>
    <w:rsid w:val="00991C52"/>
    <w:rsid w:val="009942A6"/>
    <w:rsid w:val="00A14449"/>
    <w:rsid w:val="00A210B3"/>
    <w:rsid w:val="00A6586A"/>
    <w:rsid w:val="00A66581"/>
    <w:rsid w:val="00A671AE"/>
    <w:rsid w:val="00A822F7"/>
    <w:rsid w:val="00A93599"/>
    <w:rsid w:val="00A97605"/>
    <w:rsid w:val="00AA60D7"/>
    <w:rsid w:val="00B746CC"/>
    <w:rsid w:val="00BA1471"/>
    <w:rsid w:val="00BD14F0"/>
    <w:rsid w:val="00BD3E17"/>
    <w:rsid w:val="00BD57E3"/>
    <w:rsid w:val="00BE602F"/>
    <w:rsid w:val="00BE75EF"/>
    <w:rsid w:val="00C0397C"/>
    <w:rsid w:val="00C34C63"/>
    <w:rsid w:val="00C42F47"/>
    <w:rsid w:val="00C85C7A"/>
    <w:rsid w:val="00C86A4B"/>
    <w:rsid w:val="00CB6A2F"/>
    <w:rsid w:val="00D10A25"/>
    <w:rsid w:val="00DA5F62"/>
    <w:rsid w:val="00DC5725"/>
    <w:rsid w:val="00DE192C"/>
    <w:rsid w:val="00DE6F15"/>
    <w:rsid w:val="00DE70AF"/>
    <w:rsid w:val="00E10A4D"/>
    <w:rsid w:val="00E178CD"/>
    <w:rsid w:val="00E25A97"/>
    <w:rsid w:val="00E31A2E"/>
    <w:rsid w:val="00E60CED"/>
    <w:rsid w:val="00EA24F0"/>
    <w:rsid w:val="00EB1149"/>
    <w:rsid w:val="00ED19D3"/>
    <w:rsid w:val="00F24744"/>
    <w:rsid w:val="00F571D5"/>
    <w:rsid w:val="00F578E2"/>
    <w:rsid w:val="00F64FA5"/>
    <w:rsid w:val="00F655A5"/>
    <w:rsid w:val="00F66AA6"/>
    <w:rsid w:val="00F90BBB"/>
    <w:rsid w:val="00FA5E1A"/>
    <w:rsid w:val="00FC2F85"/>
    <w:rsid w:val="00FC59A4"/>
    <w:rsid w:val="00FF6FA6"/>
    <w:rsid w:val="025E6DEC"/>
    <w:rsid w:val="06CC48E8"/>
    <w:rsid w:val="0EEF8F49"/>
    <w:rsid w:val="18740BF4"/>
    <w:rsid w:val="1AFA54F4"/>
    <w:rsid w:val="1BA65F3A"/>
    <w:rsid w:val="22344D08"/>
    <w:rsid w:val="22846A5B"/>
    <w:rsid w:val="235C2FBC"/>
    <w:rsid w:val="27F933FB"/>
    <w:rsid w:val="28D012AD"/>
    <w:rsid w:val="30FC2F74"/>
    <w:rsid w:val="329B16F3"/>
    <w:rsid w:val="3547045F"/>
    <w:rsid w:val="366F28ED"/>
    <w:rsid w:val="36DE7823"/>
    <w:rsid w:val="3BF5CD8E"/>
    <w:rsid w:val="3E190A7B"/>
    <w:rsid w:val="3E314009"/>
    <w:rsid w:val="434632E8"/>
    <w:rsid w:val="443A4F59"/>
    <w:rsid w:val="47F7042D"/>
    <w:rsid w:val="48140DA5"/>
    <w:rsid w:val="4A726412"/>
    <w:rsid w:val="4B2F2B36"/>
    <w:rsid w:val="4B875A6F"/>
    <w:rsid w:val="4F2A05A0"/>
    <w:rsid w:val="5AB92C25"/>
    <w:rsid w:val="5C217150"/>
    <w:rsid w:val="5E016530"/>
    <w:rsid w:val="5F4EDACB"/>
    <w:rsid w:val="5F6B6CB2"/>
    <w:rsid w:val="61DF6F9C"/>
    <w:rsid w:val="624A34F8"/>
    <w:rsid w:val="64CC3C77"/>
    <w:rsid w:val="684E1DE6"/>
    <w:rsid w:val="688B67C7"/>
    <w:rsid w:val="6C340F21"/>
    <w:rsid w:val="6C5F36A8"/>
    <w:rsid w:val="6E9A58EF"/>
    <w:rsid w:val="6FC65B4E"/>
    <w:rsid w:val="731F2D71"/>
    <w:rsid w:val="73273696"/>
    <w:rsid w:val="748B6BB9"/>
    <w:rsid w:val="749114EE"/>
    <w:rsid w:val="76FD5D10"/>
    <w:rsid w:val="7E4A5470"/>
    <w:rsid w:val="B9795044"/>
    <w:rsid w:val="D31F5FAE"/>
    <w:rsid w:val="FB4D190E"/>
    <w:rsid w:val="FFFE273B"/>
    <w:rsid w:val="FFFFA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1"/>
    <w:pPr>
      <w:spacing w:before="38"/>
      <w:ind w:left="1321" w:right="1346"/>
      <w:jc w:val="center"/>
      <w:outlineLvl w:val="0"/>
    </w:pPr>
    <w:rPr>
      <w:rFonts w:ascii="宋体" w:hAnsi="宋体" w:eastAsia="宋体" w:cs="宋体"/>
      <w:sz w:val="44"/>
      <w:szCs w:val="44"/>
      <w:lang w:val="zh-CN" w:bidi="zh-CN"/>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99"/>
    <w:pPr>
      <w:jc w:val="left"/>
    </w:pPr>
  </w:style>
  <w:style w:type="paragraph" w:styleId="4">
    <w:name w:val="Balloon Text"/>
    <w:basedOn w:val="1"/>
    <w:link w:val="19"/>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annotation subject"/>
    <w:basedOn w:val="3"/>
    <w:next w:val="3"/>
    <w:link w:val="23"/>
    <w:unhideWhenUsed/>
    <w:qFormat/>
    <w:uiPriority w:val="99"/>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unhideWhenUsed/>
    <w:qFormat/>
    <w:uiPriority w:val="99"/>
    <w:rPr>
      <w:color w:val="800080"/>
      <w:u w:val="single"/>
    </w:rPr>
  </w:style>
  <w:style w:type="character" w:styleId="13">
    <w:name w:val="Hyperlink"/>
    <w:basedOn w:val="11"/>
    <w:unhideWhenUsed/>
    <w:qFormat/>
    <w:uiPriority w:val="99"/>
    <w:rPr>
      <w:color w:val="0000FF"/>
      <w:u w:val="single"/>
    </w:rPr>
  </w:style>
  <w:style w:type="character" w:styleId="14">
    <w:name w:val="annotation reference"/>
    <w:basedOn w:val="11"/>
    <w:unhideWhenUsed/>
    <w:qFormat/>
    <w:uiPriority w:val="99"/>
    <w:rPr>
      <w:sz w:val="21"/>
      <w:szCs w:val="21"/>
    </w:rPr>
  </w:style>
  <w:style w:type="character" w:customStyle="1" w:styleId="15">
    <w:name w:val="页眉 字符"/>
    <w:basedOn w:val="11"/>
    <w:link w:val="6"/>
    <w:qFormat/>
    <w:uiPriority w:val="99"/>
    <w:rPr>
      <w:sz w:val="18"/>
      <w:szCs w:val="18"/>
    </w:rPr>
  </w:style>
  <w:style w:type="character" w:customStyle="1" w:styleId="16">
    <w:name w:val="页脚 字符"/>
    <w:basedOn w:val="11"/>
    <w:link w:val="5"/>
    <w:qFormat/>
    <w:uiPriority w:val="99"/>
    <w:rPr>
      <w:sz w:val="18"/>
      <w:szCs w:val="18"/>
    </w:rPr>
  </w:style>
  <w:style w:type="paragraph" w:customStyle="1" w:styleId="17">
    <w:name w:val="列表段落1"/>
    <w:basedOn w:val="1"/>
    <w:qFormat/>
    <w:uiPriority w:val="34"/>
    <w:pPr>
      <w:ind w:firstLine="420" w:firstLineChars="200"/>
    </w:pPr>
  </w:style>
  <w:style w:type="character" w:customStyle="1" w:styleId="18">
    <w:name w:val="HTML 预设格式 字符"/>
    <w:basedOn w:val="11"/>
    <w:link w:val="7"/>
    <w:semiHidden/>
    <w:qFormat/>
    <w:uiPriority w:val="99"/>
    <w:rPr>
      <w:rFonts w:ascii="宋体" w:hAnsi="宋体" w:eastAsia="宋体" w:cs="宋体"/>
      <w:kern w:val="0"/>
      <w:sz w:val="24"/>
      <w:szCs w:val="24"/>
    </w:rPr>
  </w:style>
  <w:style w:type="character" w:customStyle="1" w:styleId="19">
    <w:name w:val="批注框文本 字符"/>
    <w:basedOn w:val="11"/>
    <w:link w:val="4"/>
    <w:semiHidden/>
    <w:qFormat/>
    <w:uiPriority w:val="99"/>
    <w:rPr>
      <w:sz w:val="18"/>
      <w:szCs w:val="18"/>
    </w:rPr>
  </w:style>
  <w:style w:type="paragraph" w:customStyle="1" w:styleId="20">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22">
    <w:name w:val="批注文字 字符"/>
    <w:basedOn w:val="11"/>
    <w:link w:val="3"/>
    <w:semiHidden/>
    <w:qFormat/>
    <w:uiPriority w:val="99"/>
    <w:rPr>
      <w:kern w:val="2"/>
      <w:sz w:val="21"/>
      <w:szCs w:val="22"/>
    </w:rPr>
  </w:style>
  <w:style w:type="character" w:customStyle="1" w:styleId="23">
    <w:name w:val="批注主题 字符"/>
    <w:basedOn w:val="22"/>
    <w:link w:val="8"/>
    <w:semiHidden/>
    <w:qFormat/>
    <w:uiPriority w:val="99"/>
    <w:rPr>
      <w:b/>
      <w:bCs/>
      <w:kern w:val="2"/>
      <w:sz w:val="21"/>
      <w:szCs w:val="22"/>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5">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6">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font1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1671</Words>
  <Characters>2286</Characters>
  <Lines>10</Lines>
  <Paragraphs>2</Paragraphs>
  <TotalTime>48</TotalTime>
  <ScaleCrop>false</ScaleCrop>
  <LinksUpToDate>false</LinksUpToDate>
  <CharactersWithSpaces>2296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2016-11-05T21:55:00Z</dcterms:created>
  <dc:creator>封树静</dc:creator>
  <cp:lastModifiedBy>刘晴</cp:lastModifiedBy>
  <cp:lastPrinted>2015-07-17T21:50:00Z</cp:lastPrinted>
  <dcterms:modified xsi:type="dcterms:W3CDTF">2025-09-17T01:43:25Z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C5BC20BA4AAE4E51B0350612D5F185F6_13</vt:lpwstr>
  </property>
  <property fmtid="{D5CDD505-2E9C-101B-9397-08002B2CF9AE}" pid="4" name="KSOTemplateDocerSaveRecord">
    <vt:lpwstr>eyJoZGlkIjoiYmY5NWE4NWE0OTFhOTViMDYwYmFjMTE2NmM1Njg1NzIiLCJ1c2VySWQiOiIzNjQ3NzU2MDkifQ==</vt:lpwstr>
  </property>
</Properties>
</file>