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D4117" w14:textId="77777777" w:rsidR="00B17831" w:rsidRDefault="00000000">
      <w:pPr>
        <w:jc w:val="center"/>
        <w:rPr>
          <w:rFonts w:ascii="Times New Roman"/>
          <w:b/>
          <w:kern w:val="2"/>
          <w:sz w:val="28"/>
          <w:szCs w:val="21"/>
        </w:rPr>
      </w:pPr>
      <w:r>
        <w:rPr>
          <w:rFonts w:ascii="Times New Roman" w:hint="eastAsia"/>
          <w:b/>
          <w:kern w:val="2"/>
          <w:sz w:val="28"/>
          <w:szCs w:val="21"/>
        </w:rPr>
        <w:t>华</w:t>
      </w:r>
      <w:proofErr w:type="gramStart"/>
      <w:r>
        <w:rPr>
          <w:rFonts w:ascii="Times New Roman" w:hint="eastAsia"/>
          <w:b/>
          <w:kern w:val="2"/>
          <w:sz w:val="28"/>
          <w:szCs w:val="21"/>
        </w:rPr>
        <w:t>农</w:t>
      </w:r>
      <w:r>
        <w:rPr>
          <w:rFonts w:ascii="Times New Roman"/>
          <w:b/>
          <w:kern w:val="2"/>
          <w:sz w:val="28"/>
          <w:szCs w:val="21"/>
        </w:rPr>
        <w:t>财产</w:t>
      </w:r>
      <w:proofErr w:type="gramEnd"/>
      <w:r>
        <w:rPr>
          <w:rFonts w:ascii="Times New Roman"/>
          <w:b/>
          <w:kern w:val="2"/>
          <w:sz w:val="28"/>
          <w:szCs w:val="21"/>
        </w:rPr>
        <w:t>保险股份有限公司</w:t>
      </w:r>
    </w:p>
    <w:p w14:paraId="5266DC62" w14:textId="77777777" w:rsidR="00B17831" w:rsidRDefault="00000000">
      <w:pPr>
        <w:jc w:val="center"/>
        <w:outlineLvl w:val="1"/>
        <w:rPr>
          <w:rFonts w:ascii="Times New Roman"/>
          <w:b/>
          <w:kern w:val="2"/>
          <w:sz w:val="28"/>
          <w:szCs w:val="21"/>
        </w:rPr>
      </w:pPr>
      <w:bookmarkStart w:id="0" w:name="_Toc464548744"/>
      <w:r>
        <w:rPr>
          <w:rFonts w:ascii="Times New Roman" w:hint="eastAsia"/>
          <w:b/>
          <w:kern w:val="2"/>
          <w:sz w:val="28"/>
          <w:szCs w:val="28"/>
        </w:rPr>
        <w:t>运动意外伤害保险费率表（互联网专属）</w:t>
      </w:r>
      <w:bookmarkEnd w:id="0"/>
    </w:p>
    <w:p w14:paraId="4F216AF3" w14:textId="77777777" w:rsidR="00B17831" w:rsidRDefault="00B17831">
      <w:pPr>
        <w:tabs>
          <w:tab w:val="left" w:pos="840"/>
        </w:tabs>
        <w:spacing w:afterLines="50" w:after="156"/>
        <w:rPr>
          <w:rStyle w:val="ad"/>
          <w:b/>
        </w:rPr>
      </w:pPr>
    </w:p>
    <w:p w14:paraId="5010D3D4" w14:textId="2CE4F64B" w:rsidR="00B17831" w:rsidRDefault="00000000">
      <w:pPr>
        <w:numPr>
          <w:ilvl w:val="0"/>
          <w:numId w:val="1"/>
        </w:numPr>
        <w:tabs>
          <w:tab w:val="left" w:pos="840"/>
        </w:tabs>
        <w:spacing w:afterLines="50" w:after="156"/>
        <w:ind w:firstLineChars="200" w:firstLine="422"/>
        <w:rPr>
          <w:rStyle w:val="ad"/>
          <w:b/>
        </w:rPr>
      </w:pPr>
      <w:r>
        <w:rPr>
          <w:rFonts w:ascii="Times New Roman"/>
          <w:b/>
          <w:kern w:val="2"/>
          <w:sz w:val="21"/>
          <w:szCs w:val="21"/>
        </w:rPr>
        <w:t>年基</w:t>
      </w:r>
      <w:r>
        <w:rPr>
          <w:rFonts w:ascii="Times New Roman" w:hint="eastAsia"/>
          <w:b/>
          <w:kern w:val="2"/>
          <w:sz w:val="21"/>
          <w:szCs w:val="21"/>
        </w:rPr>
        <w:t>准费率</w:t>
      </w:r>
    </w:p>
    <w:tbl>
      <w:tblPr>
        <w:tblW w:w="580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2658"/>
      </w:tblGrid>
      <w:tr w:rsidR="00B17831" w14:paraId="0F8FDF4C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46E8" w14:textId="77777777" w:rsidR="00B17831" w:rsidRDefault="00000000"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保险责任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BF26B" w14:textId="77777777" w:rsidR="00B17831" w:rsidRDefault="00000000"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年基准费率</w:t>
            </w:r>
          </w:p>
        </w:tc>
      </w:tr>
      <w:tr w:rsidR="00B17831" w14:paraId="6FDA1D70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13B8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意外伤害身故保险责任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3AA8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0.02%</w:t>
            </w:r>
          </w:p>
        </w:tc>
      </w:tr>
      <w:tr w:rsidR="00B17831" w14:paraId="25DCEC32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4CCC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意外伤害伤残保险责任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F25E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0.01%</w:t>
            </w:r>
          </w:p>
        </w:tc>
      </w:tr>
      <w:tr w:rsidR="00B17831" w14:paraId="46C246D0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1128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意外伤害医疗保险责任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00F3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0.1%</w:t>
            </w:r>
          </w:p>
        </w:tc>
      </w:tr>
    </w:tbl>
    <w:p w14:paraId="26237FEB" w14:textId="77777777" w:rsidR="00B17831" w:rsidRDefault="00000000">
      <w:pPr>
        <w:tabs>
          <w:tab w:val="left" w:pos="840"/>
        </w:tabs>
        <w:spacing w:afterLines="50" w:after="156"/>
        <w:ind w:firstLineChars="200" w:firstLine="422"/>
        <w:rPr>
          <w:rFonts w:ascii="Times New Roman"/>
          <w:b/>
          <w:kern w:val="2"/>
          <w:sz w:val="21"/>
          <w:szCs w:val="21"/>
        </w:rPr>
      </w:pPr>
      <w:r>
        <w:rPr>
          <w:rFonts w:ascii="Times New Roman" w:hint="eastAsia"/>
          <w:b/>
          <w:kern w:val="2"/>
          <w:sz w:val="21"/>
          <w:szCs w:val="21"/>
        </w:rPr>
        <w:t>二</w:t>
      </w:r>
      <w:r>
        <w:rPr>
          <w:rFonts w:ascii="Times New Roman"/>
          <w:b/>
          <w:kern w:val="2"/>
          <w:sz w:val="21"/>
          <w:szCs w:val="21"/>
        </w:rPr>
        <w:t>、调整系数</w:t>
      </w:r>
    </w:p>
    <w:p w14:paraId="3AEF127E" w14:textId="66C956F6" w:rsidR="00B17831" w:rsidRDefault="00000000">
      <w:pPr>
        <w:spacing w:afterLines="50" w:after="156"/>
        <w:ind w:firstLineChars="200" w:firstLine="420"/>
        <w:rPr>
          <w:rFonts w:hAnsi="宋体" w:cs="宋体"/>
          <w:bCs/>
          <w:kern w:val="2"/>
          <w:sz w:val="21"/>
          <w:szCs w:val="20"/>
        </w:rPr>
      </w:pPr>
      <w:r>
        <w:rPr>
          <w:rFonts w:hAnsi="宋体" w:cs="宋体" w:hint="eastAsia"/>
          <w:kern w:val="2"/>
          <w:sz w:val="21"/>
          <w:szCs w:val="21"/>
        </w:rPr>
        <w:t xml:space="preserve"> 1、保险金额调整系数：根据保险金额，进行划分。</w:t>
      </w:r>
    </w:p>
    <w:tbl>
      <w:tblPr>
        <w:tblW w:w="580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2658"/>
      </w:tblGrid>
      <w:tr w:rsidR="00B17831" w14:paraId="2200756A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477D" w14:textId="551A12A7" w:rsidR="00B17831" w:rsidRDefault="00000000"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保险金额（万元）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44679" w14:textId="77777777" w:rsidR="00B17831" w:rsidRDefault="00000000"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调整系数</w:t>
            </w:r>
          </w:p>
        </w:tc>
      </w:tr>
      <w:tr w:rsidR="00B17831" w14:paraId="7D448548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2034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30万元及以下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2351" w14:textId="644A7119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kern w:val="2"/>
                <w:sz w:val="21"/>
                <w:szCs w:val="21"/>
              </w:rPr>
              <w:t>[</w:t>
            </w:r>
            <w:r>
              <w:rPr>
                <w:rFonts w:hAnsi="宋体" w:cs="宋体" w:hint="eastAsia"/>
                <w:sz w:val="21"/>
                <w:szCs w:val="21"/>
              </w:rPr>
              <w:t>0.7,1.0]</w:t>
            </w:r>
          </w:p>
        </w:tc>
      </w:tr>
      <w:tr w:rsidR="00B17831" w14:paraId="258051AB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1776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30万元（不含）-50万元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F0E5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(1.0</w:t>
            </w:r>
            <w:r>
              <w:rPr>
                <w:rFonts w:hAnsi="宋体" w:cs="宋体" w:hint="eastAsia"/>
                <w:sz w:val="21"/>
                <w:szCs w:val="21"/>
              </w:rPr>
              <w:t>,1.4]</w:t>
            </w:r>
          </w:p>
        </w:tc>
      </w:tr>
      <w:tr w:rsidR="00B17831" w14:paraId="2422196A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C3BE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50万元（不含）-100万元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39D2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(1.4</w:t>
            </w:r>
            <w:r>
              <w:rPr>
                <w:rFonts w:hAnsi="宋体" w:cs="宋体" w:hint="eastAsia"/>
                <w:sz w:val="21"/>
                <w:szCs w:val="21"/>
              </w:rPr>
              <w:t>,1.8]</w:t>
            </w:r>
          </w:p>
        </w:tc>
      </w:tr>
      <w:tr w:rsidR="00B17831" w14:paraId="315898B9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AF1B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100万元以上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701B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1.8,2.8]</w:t>
            </w:r>
          </w:p>
        </w:tc>
      </w:tr>
    </w:tbl>
    <w:p w14:paraId="2EE7ADAD" w14:textId="77777777" w:rsidR="00B17831" w:rsidRDefault="00000000">
      <w:pPr>
        <w:spacing w:afterLines="50" w:after="156"/>
        <w:ind w:firstLineChars="200" w:firstLine="420"/>
        <w:rPr>
          <w:rFonts w:hAnsi="宋体" w:cs="宋体"/>
          <w:bCs/>
          <w:kern w:val="2"/>
          <w:sz w:val="21"/>
          <w:szCs w:val="21"/>
        </w:rPr>
      </w:pPr>
      <w:r>
        <w:rPr>
          <w:rFonts w:hAnsi="宋体" w:cs="宋体" w:hint="eastAsia"/>
          <w:bCs/>
          <w:kern w:val="2"/>
          <w:sz w:val="21"/>
          <w:szCs w:val="21"/>
        </w:rPr>
        <w:t>3、预期保单规模调整系数：根据预期的出单数量，进行划分。</w:t>
      </w:r>
    </w:p>
    <w:tbl>
      <w:tblPr>
        <w:tblW w:w="6593" w:type="dxa"/>
        <w:tblInd w:w="886" w:type="dxa"/>
        <w:tblLayout w:type="fixed"/>
        <w:tblLook w:val="04A0" w:firstRow="1" w:lastRow="0" w:firstColumn="1" w:lastColumn="0" w:noHBand="0" w:noVBand="1"/>
      </w:tblPr>
      <w:tblGrid>
        <w:gridCol w:w="3617"/>
        <w:gridCol w:w="2976"/>
      </w:tblGrid>
      <w:tr w:rsidR="00B17831" w14:paraId="355EC35A" w14:textId="77777777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8FBB" w14:textId="77777777" w:rsidR="00B17831" w:rsidRDefault="00000000">
            <w:pPr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出单数量（件）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CB028" w14:textId="77777777" w:rsidR="00B17831" w:rsidRDefault="00000000">
            <w:pPr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调整系数</w:t>
            </w:r>
          </w:p>
        </w:tc>
      </w:tr>
      <w:tr w:rsidR="00B17831" w14:paraId="2AE55FDF" w14:textId="77777777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1EDA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1万及以下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14BCA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[1.0,1.2]</w:t>
            </w:r>
          </w:p>
        </w:tc>
      </w:tr>
      <w:tr w:rsidR="00B17831" w14:paraId="7BCE7F2C" w14:textId="77777777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BF89" w14:textId="16E1C385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1万（不含）-2万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FB639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[0.9,1.0）</w:t>
            </w:r>
          </w:p>
        </w:tc>
      </w:tr>
      <w:tr w:rsidR="00B17831" w14:paraId="2C2FEF15" w14:textId="77777777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AC5A" w14:textId="6E168D52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2万（不含）-5万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DCBCB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[0.8,0.9）</w:t>
            </w:r>
          </w:p>
        </w:tc>
      </w:tr>
      <w:tr w:rsidR="00B17831" w14:paraId="53C69856" w14:textId="77777777"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C548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5万以上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42E07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[0.7,0.8）</w:t>
            </w:r>
          </w:p>
        </w:tc>
      </w:tr>
    </w:tbl>
    <w:p w14:paraId="04CEF443" w14:textId="77777777" w:rsidR="00B17831" w:rsidRDefault="00000000">
      <w:pPr>
        <w:spacing w:afterLines="50" w:after="156"/>
        <w:ind w:firstLineChars="200" w:firstLine="420"/>
        <w:rPr>
          <w:rFonts w:hAnsi="宋体" w:cs="宋体"/>
          <w:bCs/>
          <w:kern w:val="2"/>
          <w:sz w:val="21"/>
          <w:szCs w:val="21"/>
        </w:rPr>
      </w:pPr>
      <w:r>
        <w:rPr>
          <w:rFonts w:hAnsi="宋体" w:cs="宋体" w:hint="eastAsia"/>
          <w:bCs/>
          <w:kern w:val="2"/>
          <w:sz w:val="21"/>
          <w:szCs w:val="21"/>
        </w:rPr>
        <w:t>3、历史赔付率调整系数：根据客户近三年赔付率，进行划分。</w:t>
      </w:r>
    </w:p>
    <w:tbl>
      <w:tblPr>
        <w:tblW w:w="6593" w:type="dxa"/>
        <w:tblInd w:w="886" w:type="dxa"/>
        <w:tblLayout w:type="fixed"/>
        <w:tblLook w:val="04A0" w:firstRow="1" w:lastRow="0" w:firstColumn="1" w:lastColumn="0" w:noHBand="0" w:noVBand="1"/>
      </w:tblPr>
      <w:tblGrid>
        <w:gridCol w:w="3659"/>
        <w:gridCol w:w="2934"/>
      </w:tblGrid>
      <w:tr w:rsidR="00B17831" w14:paraId="75B7FAC7" w14:textId="77777777">
        <w:trPr>
          <w:trHeight w:val="181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59BA" w14:textId="77777777" w:rsidR="00B17831" w:rsidRDefault="00000000">
            <w:pPr>
              <w:jc w:val="center"/>
              <w:rPr>
                <w:rFonts w:hAnsi="宋体" w:cs="宋体"/>
                <w:b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历史赔付率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7EE90" w14:textId="77777777" w:rsidR="00B17831" w:rsidRDefault="00000000">
            <w:pPr>
              <w:jc w:val="center"/>
              <w:rPr>
                <w:rFonts w:hAnsi="宋体" w:cs="宋体"/>
                <w:b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调整系数</w:t>
            </w:r>
          </w:p>
        </w:tc>
      </w:tr>
      <w:tr w:rsidR="00B17831" w14:paraId="7F780F5B" w14:textId="77777777">
        <w:trPr>
          <w:trHeight w:val="7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96DC" w14:textId="723871FB" w:rsidR="00B17831" w:rsidRDefault="00000000"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0%-20%（不含）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4456C" w14:textId="77777777" w:rsidR="00B17831" w:rsidRDefault="00000000">
            <w:pPr>
              <w:adjustRightInd w:val="0"/>
              <w:snapToGrid w:val="0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[0.3,0.5）</w:t>
            </w:r>
          </w:p>
        </w:tc>
      </w:tr>
      <w:tr w:rsidR="00B17831" w14:paraId="31EFA8D9" w14:textId="77777777">
        <w:trPr>
          <w:trHeight w:val="248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0F12" w14:textId="7A79994D" w:rsidR="00B17831" w:rsidRDefault="00000000"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20%-30%（不含）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8E680" w14:textId="77777777" w:rsidR="00B17831" w:rsidRDefault="00000000">
            <w:pPr>
              <w:adjustRightInd w:val="0"/>
              <w:snapToGrid w:val="0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[0.5,0.7）</w:t>
            </w:r>
          </w:p>
        </w:tc>
      </w:tr>
      <w:tr w:rsidR="00B17831" w14:paraId="29A58562" w14:textId="77777777">
        <w:trPr>
          <w:trHeight w:val="19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5955" w14:textId="25FB0733" w:rsidR="00B17831" w:rsidRDefault="00000000"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30%-40%（不含）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8FD2D" w14:textId="77777777" w:rsidR="00B17831" w:rsidRDefault="00000000">
            <w:pPr>
              <w:adjustRightInd w:val="0"/>
              <w:snapToGrid w:val="0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[0.7,1.0）</w:t>
            </w:r>
          </w:p>
        </w:tc>
      </w:tr>
      <w:tr w:rsidR="00B17831" w14:paraId="6697CCE4" w14:textId="77777777">
        <w:trPr>
          <w:trHeight w:val="157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D8DE" w14:textId="2A4FFC7B" w:rsidR="00B17831" w:rsidRDefault="00000000"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40%-50%（不含）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E9571" w14:textId="77777777" w:rsidR="00B17831" w:rsidRDefault="00000000">
            <w:pPr>
              <w:adjustRightInd w:val="0"/>
              <w:snapToGrid w:val="0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[1.0,1.2）</w:t>
            </w:r>
          </w:p>
        </w:tc>
      </w:tr>
      <w:tr w:rsidR="00B17831" w14:paraId="006DAE96" w14:textId="77777777">
        <w:trPr>
          <w:trHeight w:val="27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338C" w14:textId="5995C310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50%及以上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27134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[1.2,1.8]</w:t>
            </w:r>
          </w:p>
        </w:tc>
      </w:tr>
      <w:tr w:rsidR="00B17831" w14:paraId="41C7AF3D" w14:textId="77777777">
        <w:trPr>
          <w:trHeight w:val="237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6A0A" w14:textId="77777777" w:rsidR="00B17831" w:rsidRDefault="00000000"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无历史赔付数据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3C84A" w14:textId="77777777" w:rsidR="00B17831" w:rsidRDefault="00000000"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 xml:space="preserve">1.0 </w:t>
            </w:r>
          </w:p>
        </w:tc>
      </w:tr>
    </w:tbl>
    <w:p w14:paraId="249A8BFB" w14:textId="77777777" w:rsidR="00B17831" w:rsidRDefault="00000000">
      <w:pPr>
        <w:spacing w:afterLines="50" w:after="156"/>
        <w:ind w:firstLineChars="200" w:firstLine="420"/>
        <w:rPr>
          <w:rFonts w:hAnsi="宋体" w:cs="宋体"/>
          <w:bCs/>
          <w:kern w:val="2"/>
          <w:sz w:val="21"/>
          <w:szCs w:val="20"/>
        </w:rPr>
      </w:pPr>
      <w:r>
        <w:rPr>
          <w:rFonts w:hAnsi="宋体" w:cs="宋体" w:hint="eastAsia"/>
          <w:kern w:val="2"/>
          <w:sz w:val="21"/>
          <w:szCs w:val="21"/>
        </w:rPr>
        <w:t>4、渠道类型调整系数：根据销售渠道类型，进行划分。</w:t>
      </w:r>
    </w:p>
    <w:tbl>
      <w:tblPr>
        <w:tblW w:w="580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2658"/>
      </w:tblGrid>
      <w:tr w:rsidR="00B17831" w14:paraId="74811303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E756" w14:textId="77777777" w:rsidR="00B17831" w:rsidRDefault="00000000"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销售渠道类型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FAF34" w14:textId="77777777" w:rsidR="00B17831" w:rsidRDefault="00000000"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调整系数</w:t>
            </w:r>
          </w:p>
        </w:tc>
      </w:tr>
      <w:tr w:rsidR="00B17831" w14:paraId="76C23F10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51FB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网络直销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C659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[0.8,1.1]</w:t>
            </w:r>
          </w:p>
        </w:tc>
      </w:tr>
      <w:tr w:rsidR="00B17831" w14:paraId="65AE9B58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36E3" w14:textId="6169287C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网络中介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4F7F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[0.7,1.5]</w:t>
            </w:r>
          </w:p>
        </w:tc>
      </w:tr>
    </w:tbl>
    <w:p w14:paraId="768A617F" w14:textId="77777777" w:rsidR="00B17831" w:rsidRDefault="00000000">
      <w:pPr>
        <w:spacing w:afterLines="50" w:after="156"/>
        <w:ind w:firstLineChars="200" w:firstLine="420"/>
        <w:rPr>
          <w:rFonts w:hAnsi="宋体" w:cs="宋体"/>
          <w:bCs/>
          <w:kern w:val="2"/>
          <w:sz w:val="21"/>
          <w:szCs w:val="20"/>
        </w:rPr>
      </w:pPr>
      <w:r>
        <w:rPr>
          <w:rFonts w:hAnsi="宋体" w:cs="宋体" w:hint="eastAsia"/>
          <w:kern w:val="2"/>
          <w:sz w:val="21"/>
          <w:szCs w:val="21"/>
        </w:rPr>
        <w:t>5、运动类型调整系数：根据承保的运动类型，进行划分。</w:t>
      </w:r>
    </w:p>
    <w:tbl>
      <w:tblPr>
        <w:tblW w:w="580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2658"/>
      </w:tblGrid>
      <w:tr w:rsidR="00B17831" w14:paraId="2179C6E8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3FDF" w14:textId="77777777" w:rsidR="00B17831" w:rsidRDefault="00000000"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运动类型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E15DE" w14:textId="77777777" w:rsidR="00B17831" w:rsidRDefault="00000000"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调整系数</w:t>
            </w:r>
          </w:p>
        </w:tc>
      </w:tr>
      <w:tr w:rsidR="00B17831" w14:paraId="11B1A51E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8347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普通运动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2231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[0.7,1.2]</w:t>
            </w:r>
          </w:p>
        </w:tc>
      </w:tr>
      <w:tr w:rsidR="00B17831" w14:paraId="7B8A04A2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385A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高风险运动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C756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[4.0</w:t>
            </w:r>
            <w:r>
              <w:rPr>
                <w:rFonts w:hAnsi="宋体" w:cs="宋体" w:hint="eastAsia"/>
                <w:sz w:val="21"/>
                <w:szCs w:val="21"/>
              </w:rPr>
              <w:t>,6.0]</w:t>
            </w:r>
          </w:p>
        </w:tc>
      </w:tr>
      <w:tr w:rsidR="00B17831" w14:paraId="23C862C3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A53F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lastRenderedPageBreak/>
              <w:t>普通运动和高风险运动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5F64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[4.7</w:t>
            </w:r>
            <w:r>
              <w:rPr>
                <w:rFonts w:hAnsi="宋体" w:cs="宋体" w:hint="eastAsia"/>
                <w:sz w:val="21"/>
                <w:szCs w:val="21"/>
              </w:rPr>
              <w:t>,7.2]</w:t>
            </w:r>
          </w:p>
        </w:tc>
      </w:tr>
    </w:tbl>
    <w:p w14:paraId="598187BD" w14:textId="77777777" w:rsidR="00B17831" w:rsidRDefault="00000000">
      <w:pPr>
        <w:spacing w:afterLines="50" w:after="156"/>
        <w:ind w:firstLineChars="200" w:firstLine="420"/>
        <w:rPr>
          <w:rFonts w:hAnsi="宋体" w:cs="宋体"/>
          <w:kern w:val="2"/>
          <w:sz w:val="21"/>
          <w:szCs w:val="20"/>
        </w:rPr>
      </w:pPr>
      <w:r>
        <w:rPr>
          <w:rFonts w:hAnsi="宋体" w:cs="宋体" w:hint="eastAsia"/>
          <w:kern w:val="2"/>
          <w:sz w:val="21"/>
          <w:szCs w:val="21"/>
        </w:rPr>
        <w:t>6、免赔额调整系数：根据免赔额，进行划分。（仅适用于意外伤害医疗保险责任）</w:t>
      </w:r>
    </w:p>
    <w:tbl>
      <w:tblPr>
        <w:tblW w:w="580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2658"/>
      </w:tblGrid>
      <w:tr w:rsidR="00B17831" w14:paraId="0611170A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40A4" w14:textId="162012FA" w:rsidR="00B17831" w:rsidRDefault="00000000"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免赔额（元）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9AB65" w14:textId="77777777" w:rsidR="00B17831" w:rsidRDefault="00000000"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调整系数</w:t>
            </w:r>
          </w:p>
        </w:tc>
      </w:tr>
      <w:tr w:rsidR="00B17831" w14:paraId="1D3A3918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89D6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100以下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C138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(1.0</w:t>
            </w:r>
            <w:r>
              <w:rPr>
                <w:rFonts w:hAnsi="宋体" w:cs="宋体" w:hint="eastAsia"/>
                <w:sz w:val="21"/>
                <w:szCs w:val="21"/>
              </w:rPr>
              <w:t>,1.2]</w:t>
            </w:r>
          </w:p>
        </w:tc>
      </w:tr>
      <w:tr w:rsidR="00B17831" w14:paraId="7EA82F42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0696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100-300（不含）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A386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(0.8</w:t>
            </w:r>
            <w:r>
              <w:rPr>
                <w:rFonts w:hAnsi="宋体" w:cs="宋体" w:hint="eastAsia"/>
                <w:sz w:val="21"/>
                <w:szCs w:val="21"/>
              </w:rPr>
              <w:t>,1.0]</w:t>
            </w:r>
          </w:p>
        </w:tc>
      </w:tr>
      <w:tr w:rsidR="00B17831" w14:paraId="02259990" w14:textId="77777777">
        <w:trPr>
          <w:trHeight w:val="270"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E02E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300及以上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F917" w14:textId="77777777" w:rsidR="00B17831" w:rsidRDefault="00000000"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[0.6</w:t>
            </w:r>
            <w:r>
              <w:rPr>
                <w:rFonts w:hAnsi="宋体" w:cs="宋体" w:hint="eastAsia"/>
                <w:sz w:val="21"/>
                <w:szCs w:val="21"/>
              </w:rPr>
              <w:t>,0.8]</w:t>
            </w:r>
          </w:p>
        </w:tc>
      </w:tr>
    </w:tbl>
    <w:p w14:paraId="7780D140" w14:textId="77777777" w:rsidR="00B17831" w:rsidRDefault="00000000">
      <w:pPr>
        <w:spacing w:afterLines="50" w:after="156"/>
        <w:ind w:firstLineChars="200" w:firstLine="420"/>
        <w:rPr>
          <w:rFonts w:hAnsi="宋体" w:cs="宋体"/>
          <w:kern w:val="2"/>
          <w:sz w:val="21"/>
          <w:szCs w:val="20"/>
        </w:rPr>
      </w:pPr>
      <w:r>
        <w:rPr>
          <w:rFonts w:hAnsi="宋体" w:cs="宋体" w:hint="eastAsia"/>
          <w:kern w:val="2"/>
          <w:sz w:val="21"/>
          <w:szCs w:val="21"/>
        </w:rPr>
        <w:t>7、社保情况调整系数：根据被保险人的社保情况，进行划分。（仅适用于意外伤害医疗保险责任）</w:t>
      </w:r>
    </w:p>
    <w:tbl>
      <w:tblPr>
        <w:tblStyle w:val="ae"/>
        <w:tblW w:w="5792" w:type="dxa"/>
        <w:tblInd w:w="1376" w:type="dxa"/>
        <w:tblLayout w:type="fixed"/>
        <w:tblLook w:val="04A0" w:firstRow="1" w:lastRow="0" w:firstColumn="1" w:lastColumn="0" w:noHBand="0" w:noVBand="1"/>
      </w:tblPr>
      <w:tblGrid>
        <w:gridCol w:w="2885"/>
        <w:gridCol w:w="2907"/>
      </w:tblGrid>
      <w:tr w:rsidR="00B17831" w14:paraId="06540809" w14:textId="77777777">
        <w:tc>
          <w:tcPr>
            <w:tcW w:w="2885" w:type="dxa"/>
          </w:tcPr>
          <w:p w14:paraId="23E86DF9" w14:textId="77777777" w:rsidR="00B17831" w:rsidRDefault="00000000">
            <w:pPr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sz w:val="21"/>
                <w:szCs w:val="21"/>
              </w:rPr>
              <w:t>社保情况</w:t>
            </w:r>
          </w:p>
        </w:tc>
        <w:tc>
          <w:tcPr>
            <w:tcW w:w="2907" w:type="dxa"/>
          </w:tcPr>
          <w:p w14:paraId="26CFA0AE" w14:textId="77777777" w:rsidR="00B17831" w:rsidRDefault="00000000">
            <w:pPr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sz w:val="21"/>
                <w:szCs w:val="21"/>
              </w:rPr>
              <w:t>调整系数</w:t>
            </w:r>
          </w:p>
        </w:tc>
      </w:tr>
      <w:tr w:rsidR="00B17831" w14:paraId="20C1A745" w14:textId="77777777">
        <w:tc>
          <w:tcPr>
            <w:tcW w:w="2885" w:type="dxa"/>
          </w:tcPr>
          <w:p w14:paraId="60C4E60F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参加社保</w:t>
            </w:r>
          </w:p>
        </w:tc>
        <w:tc>
          <w:tcPr>
            <w:tcW w:w="2907" w:type="dxa"/>
          </w:tcPr>
          <w:p w14:paraId="7CBAAE67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[0.7,1.0)</w:t>
            </w:r>
          </w:p>
        </w:tc>
      </w:tr>
      <w:tr w:rsidR="00B17831" w14:paraId="703BFE0E" w14:textId="77777777">
        <w:tc>
          <w:tcPr>
            <w:tcW w:w="2885" w:type="dxa"/>
          </w:tcPr>
          <w:p w14:paraId="403AD3AA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未参加社保</w:t>
            </w:r>
          </w:p>
        </w:tc>
        <w:tc>
          <w:tcPr>
            <w:tcW w:w="2907" w:type="dxa"/>
          </w:tcPr>
          <w:p w14:paraId="2BD6F32E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[1.0,1.3]</w:t>
            </w:r>
          </w:p>
        </w:tc>
      </w:tr>
    </w:tbl>
    <w:p w14:paraId="488E50D4" w14:textId="77777777" w:rsidR="00B17831" w:rsidRDefault="00000000">
      <w:pPr>
        <w:spacing w:afterLines="50" w:after="156"/>
        <w:ind w:firstLineChars="200" w:firstLine="420"/>
        <w:rPr>
          <w:rFonts w:hAnsi="宋体" w:cs="宋体"/>
          <w:b/>
          <w:bCs/>
          <w:sz w:val="21"/>
          <w:szCs w:val="21"/>
        </w:rPr>
      </w:pPr>
      <w:r>
        <w:rPr>
          <w:rFonts w:hAnsi="宋体" w:cs="宋体" w:hint="eastAsia"/>
          <w:kern w:val="2"/>
          <w:sz w:val="21"/>
          <w:szCs w:val="21"/>
        </w:rPr>
        <w:t>8、赔付比例调整系数：根据赔付比例，进行划分。（仅适用于意外伤害医疗保险责任）</w:t>
      </w:r>
    </w:p>
    <w:tbl>
      <w:tblPr>
        <w:tblStyle w:val="ae"/>
        <w:tblW w:w="5814" w:type="dxa"/>
        <w:tblInd w:w="1354" w:type="dxa"/>
        <w:tblLayout w:type="fixed"/>
        <w:tblLook w:val="04A0" w:firstRow="1" w:lastRow="0" w:firstColumn="1" w:lastColumn="0" w:noHBand="0" w:noVBand="1"/>
      </w:tblPr>
      <w:tblGrid>
        <w:gridCol w:w="2907"/>
        <w:gridCol w:w="2907"/>
      </w:tblGrid>
      <w:tr w:rsidR="00B17831" w14:paraId="5D6944B1" w14:textId="77777777">
        <w:tc>
          <w:tcPr>
            <w:tcW w:w="2907" w:type="dxa"/>
          </w:tcPr>
          <w:p w14:paraId="16BFA4AB" w14:textId="77777777" w:rsidR="00B17831" w:rsidRDefault="00000000">
            <w:pPr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sz w:val="21"/>
                <w:szCs w:val="21"/>
              </w:rPr>
              <w:t>赔付比例</w:t>
            </w:r>
          </w:p>
        </w:tc>
        <w:tc>
          <w:tcPr>
            <w:tcW w:w="2907" w:type="dxa"/>
          </w:tcPr>
          <w:p w14:paraId="511CEAD1" w14:textId="77777777" w:rsidR="00B17831" w:rsidRDefault="00000000">
            <w:pPr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sz w:val="21"/>
                <w:szCs w:val="21"/>
              </w:rPr>
              <w:t>调整系数</w:t>
            </w:r>
          </w:p>
        </w:tc>
      </w:tr>
      <w:tr w:rsidR="00B17831" w14:paraId="2EC01E7A" w14:textId="77777777">
        <w:tc>
          <w:tcPr>
            <w:tcW w:w="2907" w:type="dxa"/>
          </w:tcPr>
          <w:p w14:paraId="2A7D224E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90%-100%（含）</w:t>
            </w:r>
          </w:p>
        </w:tc>
        <w:tc>
          <w:tcPr>
            <w:tcW w:w="2907" w:type="dxa"/>
          </w:tcPr>
          <w:p w14:paraId="1D99C24F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(1.1,1.2]</w:t>
            </w:r>
          </w:p>
        </w:tc>
      </w:tr>
      <w:tr w:rsidR="00B17831" w14:paraId="55E96FA6" w14:textId="77777777">
        <w:tc>
          <w:tcPr>
            <w:tcW w:w="2907" w:type="dxa"/>
          </w:tcPr>
          <w:p w14:paraId="1B5DF6A1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80%-90%（含）</w:t>
            </w:r>
          </w:p>
        </w:tc>
        <w:tc>
          <w:tcPr>
            <w:tcW w:w="2907" w:type="dxa"/>
          </w:tcPr>
          <w:p w14:paraId="7ECB3CD3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(1.0,1.1]</w:t>
            </w:r>
          </w:p>
        </w:tc>
      </w:tr>
      <w:tr w:rsidR="00B17831" w14:paraId="7712E0E4" w14:textId="77777777">
        <w:tc>
          <w:tcPr>
            <w:tcW w:w="2907" w:type="dxa"/>
          </w:tcPr>
          <w:p w14:paraId="776D1D07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70%-80%（含）</w:t>
            </w:r>
          </w:p>
        </w:tc>
        <w:tc>
          <w:tcPr>
            <w:tcW w:w="2907" w:type="dxa"/>
          </w:tcPr>
          <w:p w14:paraId="2FFF7AB3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(0.8,1.0]</w:t>
            </w:r>
          </w:p>
        </w:tc>
      </w:tr>
      <w:tr w:rsidR="00B17831" w14:paraId="526C1492" w14:textId="77777777">
        <w:tc>
          <w:tcPr>
            <w:tcW w:w="2907" w:type="dxa"/>
          </w:tcPr>
          <w:p w14:paraId="2A4A900D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70%（含）以下</w:t>
            </w:r>
          </w:p>
        </w:tc>
        <w:tc>
          <w:tcPr>
            <w:tcW w:w="2907" w:type="dxa"/>
          </w:tcPr>
          <w:p w14:paraId="09851B11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[0.6,0.8]</w:t>
            </w:r>
          </w:p>
        </w:tc>
      </w:tr>
    </w:tbl>
    <w:p w14:paraId="175E0420" w14:textId="77777777" w:rsidR="00B17831" w:rsidRDefault="00000000">
      <w:pPr>
        <w:spacing w:afterLines="50" w:after="156"/>
        <w:ind w:firstLineChars="200" w:firstLine="420"/>
        <w:rPr>
          <w:rFonts w:hAnsi="宋体" w:cs="宋体"/>
          <w:kern w:val="2"/>
          <w:sz w:val="21"/>
          <w:szCs w:val="21"/>
        </w:rPr>
      </w:pPr>
      <w:r>
        <w:rPr>
          <w:rFonts w:hAnsi="宋体" w:cs="宋体" w:hint="eastAsia"/>
          <w:kern w:val="2"/>
          <w:sz w:val="21"/>
          <w:szCs w:val="21"/>
        </w:rPr>
        <w:t>9、缴费方式调整系数：按投保人缴费方式，进行划分。</w:t>
      </w:r>
    </w:p>
    <w:tbl>
      <w:tblPr>
        <w:tblStyle w:val="ae"/>
        <w:tblW w:w="5792" w:type="dxa"/>
        <w:tblInd w:w="1376" w:type="dxa"/>
        <w:tblLayout w:type="fixed"/>
        <w:tblLook w:val="04A0" w:firstRow="1" w:lastRow="0" w:firstColumn="1" w:lastColumn="0" w:noHBand="0" w:noVBand="1"/>
      </w:tblPr>
      <w:tblGrid>
        <w:gridCol w:w="2885"/>
        <w:gridCol w:w="2907"/>
      </w:tblGrid>
      <w:tr w:rsidR="00B17831" w14:paraId="4073EC30" w14:textId="77777777">
        <w:tc>
          <w:tcPr>
            <w:tcW w:w="2885" w:type="dxa"/>
            <w:vAlign w:val="center"/>
          </w:tcPr>
          <w:p w14:paraId="0CD1065C" w14:textId="77777777" w:rsidR="00B17831" w:rsidRDefault="00000000">
            <w:pPr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sz w:val="21"/>
                <w:szCs w:val="21"/>
              </w:rPr>
              <w:t>缴费方式</w:t>
            </w:r>
          </w:p>
        </w:tc>
        <w:tc>
          <w:tcPr>
            <w:tcW w:w="2907" w:type="dxa"/>
            <w:vAlign w:val="center"/>
          </w:tcPr>
          <w:p w14:paraId="49EDBCE1" w14:textId="77777777" w:rsidR="00B17831" w:rsidRDefault="00000000">
            <w:pPr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sz w:val="21"/>
                <w:szCs w:val="21"/>
              </w:rPr>
              <w:t>调整系数</w:t>
            </w:r>
          </w:p>
        </w:tc>
      </w:tr>
      <w:tr w:rsidR="00B17831" w14:paraId="31A94708" w14:textId="77777777">
        <w:tc>
          <w:tcPr>
            <w:tcW w:w="2885" w:type="dxa"/>
            <w:vAlign w:val="center"/>
          </w:tcPr>
          <w:p w14:paraId="3A38CF38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按年缴费</w:t>
            </w:r>
          </w:p>
        </w:tc>
        <w:tc>
          <w:tcPr>
            <w:tcW w:w="2907" w:type="dxa"/>
            <w:vAlign w:val="center"/>
          </w:tcPr>
          <w:p w14:paraId="307272C2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1.0</w:t>
            </w:r>
          </w:p>
        </w:tc>
      </w:tr>
      <w:tr w:rsidR="00B17831" w14:paraId="69DE49D1" w14:textId="77777777">
        <w:tc>
          <w:tcPr>
            <w:tcW w:w="2885" w:type="dxa"/>
            <w:vAlign w:val="center"/>
          </w:tcPr>
          <w:p w14:paraId="4616CD7B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按季缴费</w:t>
            </w:r>
          </w:p>
        </w:tc>
        <w:tc>
          <w:tcPr>
            <w:tcW w:w="2907" w:type="dxa"/>
            <w:vAlign w:val="center"/>
          </w:tcPr>
          <w:p w14:paraId="73D5BDC6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[1.0,1.1]</w:t>
            </w:r>
          </w:p>
        </w:tc>
      </w:tr>
      <w:tr w:rsidR="00B17831" w14:paraId="6B0A26A5" w14:textId="77777777">
        <w:tc>
          <w:tcPr>
            <w:tcW w:w="2885" w:type="dxa"/>
            <w:vAlign w:val="center"/>
          </w:tcPr>
          <w:p w14:paraId="0FC2BE8E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按月缴费</w:t>
            </w:r>
          </w:p>
        </w:tc>
        <w:tc>
          <w:tcPr>
            <w:tcW w:w="2907" w:type="dxa"/>
            <w:vAlign w:val="center"/>
          </w:tcPr>
          <w:p w14:paraId="3D150914" w14:textId="77777777" w:rsidR="00B17831" w:rsidRDefault="00000000"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[1.0,1.2]</w:t>
            </w:r>
          </w:p>
        </w:tc>
      </w:tr>
    </w:tbl>
    <w:p w14:paraId="7F7974BC" w14:textId="77777777" w:rsidR="00B17831" w:rsidRDefault="00B17831">
      <w:pPr>
        <w:tabs>
          <w:tab w:val="left" w:pos="840"/>
        </w:tabs>
        <w:spacing w:afterLines="50" w:after="156"/>
        <w:rPr>
          <w:rFonts w:ascii="Times New Roman"/>
          <w:b/>
          <w:kern w:val="2"/>
          <w:sz w:val="21"/>
          <w:szCs w:val="21"/>
        </w:rPr>
      </w:pPr>
    </w:p>
    <w:p w14:paraId="7180469B" w14:textId="77777777" w:rsidR="00B17831" w:rsidRDefault="00000000">
      <w:pPr>
        <w:tabs>
          <w:tab w:val="left" w:pos="840"/>
        </w:tabs>
        <w:spacing w:afterLines="50" w:after="156"/>
        <w:ind w:firstLineChars="200" w:firstLine="422"/>
        <w:rPr>
          <w:rFonts w:ascii="Times New Roman"/>
          <w:b/>
          <w:kern w:val="2"/>
          <w:sz w:val="21"/>
          <w:szCs w:val="21"/>
        </w:rPr>
      </w:pPr>
      <w:r>
        <w:rPr>
          <w:rFonts w:ascii="Times New Roman"/>
          <w:b/>
          <w:kern w:val="2"/>
          <w:sz w:val="21"/>
          <w:szCs w:val="21"/>
        </w:rPr>
        <w:t>三、保险费计算</w:t>
      </w:r>
    </w:p>
    <w:p w14:paraId="6121A151" w14:textId="77777777" w:rsidR="00B17831" w:rsidRDefault="00000000">
      <w:pPr>
        <w:ind w:firstLineChars="200" w:firstLine="420"/>
        <w:rPr>
          <w:rFonts w:hAnsi="宋体" w:cs="宋体"/>
          <w:kern w:val="2"/>
          <w:sz w:val="21"/>
          <w:szCs w:val="21"/>
        </w:rPr>
      </w:pPr>
      <w:r>
        <w:rPr>
          <w:rFonts w:hAnsi="宋体" w:cs="宋体" w:hint="eastAsia"/>
          <w:kern w:val="2"/>
          <w:sz w:val="21"/>
          <w:szCs w:val="21"/>
        </w:rPr>
        <w:t>基本责任</w:t>
      </w:r>
    </w:p>
    <w:p w14:paraId="623687C0" w14:textId="6784B51E" w:rsidR="00B17831" w:rsidRDefault="00000000">
      <w:pPr>
        <w:ind w:firstLineChars="200" w:firstLine="420"/>
        <w:rPr>
          <w:rFonts w:hAnsi="宋体" w:cs="宋体"/>
          <w:sz w:val="21"/>
          <w:szCs w:val="21"/>
        </w:rPr>
      </w:pPr>
      <w:r>
        <w:rPr>
          <w:rFonts w:hAnsi="宋体" w:cs="宋体" w:hint="eastAsia"/>
          <w:kern w:val="2"/>
          <w:sz w:val="21"/>
          <w:szCs w:val="21"/>
        </w:rPr>
        <w:t>年保险费＝意外伤害身故保险责任保险金额×年基准费率×保险金额调整系数×</w:t>
      </w:r>
      <w:r>
        <w:rPr>
          <w:rFonts w:hAnsi="宋体" w:cs="宋体" w:hint="eastAsia"/>
          <w:bCs/>
          <w:kern w:val="2"/>
          <w:sz w:val="21"/>
          <w:szCs w:val="21"/>
        </w:rPr>
        <w:t>预期保单规模调整系数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bCs/>
          <w:kern w:val="2"/>
          <w:sz w:val="21"/>
          <w:szCs w:val="21"/>
        </w:rPr>
        <w:t>历史赔付率调整系数</w:t>
      </w:r>
      <w:r>
        <w:rPr>
          <w:rFonts w:hAnsi="宋体" w:cs="宋体" w:hint="eastAsia"/>
          <w:kern w:val="2"/>
          <w:sz w:val="21"/>
          <w:szCs w:val="21"/>
        </w:rPr>
        <w:t>×渠道类型调整系数×运动类型调整系数</w:t>
      </w:r>
      <w:r>
        <w:rPr>
          <w:rFonts w:hAnsi="宋体" w:cs="宋体" w:hint="eastAsia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缴费方式调整系数</w:t>
      </w:r>
    </w:p>
    <w:p w14:paraId="6102BD18" w14:textId="77777777" w:rsidR="00B17831" w:rsidRDefault="00000000">
      <w:pPr>
        <w:ind w:firstLineChars="200" w:firstLine="420"/>
        <w:rPr>
          <w:rFonts w:hAnsi="宋体" w:cs="宋体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可选责任</w:t>
      </w:r>
    </w:p>
    <w:p w14:paraId="411D3496" w14:textId="53DCC558" w:rsidR="00B17831" w:rsidRDefault="00000000">
      <w:pPr>
        <w:ind w:firstLineChars="200" w:firstLine="420"/>
        <w:rPr>
          <w:rFonts w:hAnsi="宋体" w:cs="宋体"/>
          <w:sz w:val="21"/>
          <w:szCs w:val="21"/>
        </w:rPr>
      </w:pPr>
      <w:r>
        <w:rPr>
          <w:rFonts w:hAnsi="宋体" w:cs="宋体" w:hint="eastAsia"/>
          <w:kern w:val="2"/>
          <w:sz w:val="21"/>
          <w:szCs w:val="21"/>
        </w:rPr>
        <w:t>年保险费=意外伤害伤残保险责任保险金额×年基准费率×保险金额调整系数×</w:t>
      </w:r>
      <w:r>
        <w:rPr>
          <w:rFonts w:hAnsi="宋体" w:cs="宋体" w:hint="eastAsia"/>
          <w:bCs/>
          <w:kern w:val="2"/>
          <w:sz w:val="21"/>
          <w:szCs w:val="21"/>
        </w:rPr>
        <w:t>预期保单规模调整系数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bCs/>
          <w:kern w:val="2"/>
          <w:sz w:val="21"/>
          <w:szCs w:val="21"/>
        </w:rPr>
        <w:t>历史赔付率调整系数</w:t>
      </w:r>
      <w:r>
        <w:rPr>
          <w:rFonts w:hAnsi="宋体" w:cs="宋体" w:hint="eastAsia"/>
          <w:kern w:val="2"/>
          <w:sz w:val="21"/>
          <w:szCs w:val="21"/>
        </w:rPr>
        <w:t>×渠道类型调整系数×运动类型调整系数</w:t>
      </w:r>
      <w:r>
        <w:rPr>
          <w:rFonts w:hAnsi="宋体" w:cs="宋体" w:hint="eastAsia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缴费方式调整系数+意外伤害医疗保险责任保险金额×年基准费率×保险金额调整系数×</w:t>
      </w:r>
      <w:r>
        <w:rPr>
          <w:rFonts w:hAnsi="宋体" w:cs="宋体" w:hint="eastAsia"/>
          <w:bCs/>
          <w:kern w:val="2"/>
          <w:sz w:val="21"/>
          <w:szCs w:val="21"/>
        </w:rPr>
        <w:t>预期保单规模调整系数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bCs/>
          <w:kern w:val="2"/>
          <w:sz w:val="21"/>
          <w:szCs w:val="21"/>
        </w:rPr>
        <w:t>历史赔付率调整系数</w:t>
      </w:r>
      <w:r>
        <w:rPr>
          <w:rFonts w:hAnsi="宋体" w:cs="宋体" w:hint="eastAsia"/>
          <w:kern w:val="2"/>
          <w:sz w:val="21"/>
          <w:szCs w:val="21"/>
        </w:rPr>
        <w:t>×渠道类型调整系数×运动类型调整系数×免赔额调整系数×社保情况调整系数×赔付比例调整系数</w:t>
      </w:r>
      <w:r>
        <w:rPr>
          <w:rFonts w:hAnsi="宋体" w:cs="宋体" w:hint="eastAsia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缴费方式调整系数</w:t>
      </w:r>
    </w:p>
    <w:p w14:paraId="1877236E" w14:textId="77777777" w:rsidR="00B17831" w:rsidRDefault="00000000">
      <w:pPr>
        <w:widowControl/>
        <w:ind w:firstLineChars="200" w:firstLine="420"/>
        <w:rPr>
          <w:rFonts w:hAnsi="宋体" w:cs="宋体"/>
          <w:kern w:val="2"/>
          <w:sz w:val="21"/>
          <w:szCs w:val="21"/>
        </w:rPr>
      </w:pPr>
      <w:proofErr w:type="gramStart"/>
      <w:r>
        <w:rPr>
          <w:rFonts w:hAnsi="宋体" w:cs="宋体" w:hint="eastAsia"/>
          <w:kern w:val="2"/>
          <w:sz w:val="21"/>
          <w:szCs w:val="21"/>
        </w:rPr>
        <w:t>总年保险费</w:t>
      </w:r>
      <w:proofErr w:type="gramEnd"/>
      <w:r>
        <w:rPr>
          <w:rFonts w:hAnsi="宋体" w:cs="宋体" w:hint="eastAsia"/>
          <w:kern w:val="2"/>
          <w:sz w:val="21"/>
          <w:szCs w:val="21"/>
        </w:rPr>
        <w:t>=基本责任年保险费+可选责任年保险费</w:t>
      </w:r>
    </w:p>
    <w:p w14:paraId="2D96EAA2" w14:textId="77777777" w:rsidR="00B17831" w:rsidRDefault="00B17831">
      <w:pPr>
        <w:tabs>
          <w:tab w:val="left" w:pos="840"/>
        </w:tabs>
        <w:spacing w:afterLines="50" w:after="156"/>
        <w:ind w:firstLineChars="200" w:firstLine="422"/>
        <w:rPr>
          <w:rFonts w:ascii="Times New Roman"/>
          <w:b/>
          <w:kern w:val="2"/>
          <w:sz w:val="21"/>
          <w:szCs w:val="21"/>
        </w:rPr>
      </w:pPr>
    </w:p>
    <w:p w14:paraId="11B4211F" w14:textId="578B9350" w:rsidR="00B17831" w:rsidRDefault="00000000">
      <w:pPr>
        <w:tabs>
          <w:tab w:val="left" w:pos="840"/>
        </w:tabs>
        <w:spacing w:afterLines="50" w:after="156"/>
        <w:ind w:firstLineChars="200" w:firstLine="422"/>
        <w:rPr>
          <w:rFonts w:ascii="Times New Roman"/>
          <w:b/>
          <w:kern w:val="2"/>
          <w:sz w:val="21"/>
          <w:szCs w:val="21"/>
        </w:rPr>
      </w:pPr>
      <w:r>
        <w:rPr>
          <w:rFonts w:ascii="Times New Roman"/>
          <w:b/>
          <w:kern w:val="2"/>
          <w:sz w:val="21"/>
          <w:szCs w:val="21"/>
        </w:rPr>
        <w:t>四、</w:t>
      </w:r>
      <w:r>
        <w:rPr>
          <w:rFonts w:ascii="Times New Roman" w:hint="eastAsia"/>
          <w:b/>
          <w:kern w:val="2"/>
          <w:sz w:val="21"/>
          <w:szCs w:val="21"/>
        </w:rPr>
        <w:t>短期</w:t>
      </w:r>
      <w:r>
        <w:rPr>
          <w:rFonts w:ascii="Times New Roman"/>
          <w:b/>
          <w:kern w:val="2"/>
          <w:sz w:val="21"/>
          <w:szCs w:val="21"/>
        </w:rPr>
        <w:t>费率表</w:t>
      </w:r>
    </w:p>
    <w:p w14:paraId="466754B0" w14:textId="77777777" w:rsidR="00B17831" w:rsidRDefault="00000000">
      <w:pPr>
        <w:widowControl/>
        <w:spacing w:afterLines="50" w:after="156"/>
        <w:ind w:firstLineChars="200" w:firstLine="420"/>
        <w:rPr>
          <w:rFonts w:ascii="Times New Roman"/>
          <w:kern w:val="2"/>
          <w:sz w:val="21"/>
          <w:szCs w:val="21"/>
        </w:rPr>
      </w:pPr>
      <w:r>
        <w:rPr>
          <w:rFonts w:ascii="Times New Roman"/>
          <w:kern w:val="2"/>
          <w:sz w:val="21"/>
          <w:szCs w:val="21"/>
        </w:rPr>
        <w:t>保险期间不足一年的，按以下标准计算短期保险费（按年保险费的百分比计算</w:t>
      </w:r>
      <w:r>
        <w:rPr>
          <w:rFonts w:ascii="Times New Roman" w:hint="eastAsia"/>
          <w:kern w:val="2"/>
          <w:sz w:val="21"/>
          <w:szCs w:val="21"/>
        </w:rPr>
        <w:t>）</w:t>
      </w:r>
    </w:p>
    <w:tbl>
      <w:tblPr>
        <w:tblpPr w:leftFromText="180" w:rightFromText="180" w:vertAnchor="text" w:horzAnchor="page" w:tblpX="1545" w:tblpY="492"/>
        <w:tblOverlap w:val="never"/>
        <w:tblW w:w="8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809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6"/>
      </w:tblGrid>
      <w:tr w:rsidR="00B17831" w14:paraId="778801FA" w14:textId="77777777" w:rsidTr="00E42E6D">
        <w:trPr>
          <w:trHeight w:val="274"/>
        </w:trPr>
        <w:tc>
          <w:tcPr>
            <w:tcW w:w="759" w:type="dxa"/>
            <w:vAlign w:val="center"/>
          </w:tcPr>
          <w:p w14:paraId="0528C725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lastRenderedPageBreak/>
              <w:t>保险期间</w:t>
            </w:r>
          </w:p>
        </w:tc>
        <w:tc>
          <w:tcPr>
            <w:tcW w:w="809" w:type="dxa"/>
            <w:vAlign w:val="center"/>
          </w:tcPr>
          <w:p w14:paraId="086C9CCE" w14:textId="1FA6A55E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一</w:t>
            </w:r>
          </w:p>
          <w:p w14:paraId="49C82D74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个</w:t>
            </w:r>
          </w:p>
          <w:p w14:paraId="1F8491D6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月</w:t>
            </w:r>
          </w:p>
        </w:tc>
        <w:tc>
          <w:tcPr>
            <w:tcW w:w="601" w:type="dxa"/>
            <w:vAlign w:val="center"/>
          </w:tcPr>
          <w:p w14:paraId="3BDB784A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二个月</w:t>
            </w:r>
          </w:p>
        </w:tc>
        <w:tc>
          <w:tcPr>
            <w:tcW w:w="601" w:type="dxa"/>
            <w:vAlign w:val="center"/>
          </w:tcPr>
          <w:p w14:paraId="6DA2758A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三个月</w:t>
            </w:r>
          </w:p>
        </w:tc>
        <w:tc>
          <w:tcPr>
            <w:tcW w:w="601" w:type="dxa"/>
            <w:vAlign w:val="center"/>
          </w:tcPr>
          <w:p w14:paraId="0C8413FD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四个月</w:t>
            </w:r>
          </w:p>
        </w:tc>
        <w:tc>
          <w:tcPr>
            <w:tcW w:w="601" w:type="dxa"/>
            <w:vAlign w:val="center"/>
          </w:tcPr>
          <w:p w14:paraId="41FF9745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五个月</w:t>
            </w:r>
          </w:p>
        </w:tc>
        <w:tc>
          <w:tcPr>
            <w:tcW w:w="601" w:type="dxa"/>
            <w:vAlign w:val="center"/>
          </w:tcPr>
          <w:p w14:paraId="055AFB0D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六个月</w:t>
            </w:r>
          </w:p>
        </w:tc>
        <w:tc>
          <w:tcPr>
            <w:tcW w:w="601" w:type="dxa"/>
            <w:vAlign w:val="center"/>
          </w:tcPr>
          <w:p w14:paraId="0E5DD20E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七个月</w:t>
            </w:r>
          </w:p>
        </w:tc>
        <w:tc>
          <w:tcPr>
            <w:tcW w:w="601" w:type="dxa"/>
            <w:vAlign w:val="center"/>
          </w:tcPr>
          <w:p w14:paraId="40501CA2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八个月</w:t>
            </w:r>
          </w:p>
        </w:tc>
        <w:tc>
          <w:tcPr>
            <w:tcW w:w="601" w:type="dxa"/>
            <w:vAlign w:val="center"/>
          </w:tcPr>
          <w:p w14:paraId="5C673982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九个月</w:t>
            </w:r>
          </w:p>
        </w:tc>
        <w:tc>
          <w:tcPr>
            <w:tcW w:w="601" w:type="dxa"/>
            <w:vAlign w:val="center"/>
          </w:tcPr>
          <w:p w14:paraId="7F161514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十个月</w:t>
            </w:r>
          </w:p>
        </w:tc>
        <w:tc>
          <w:tcPr>
            <w:tcW w:w="601" w:type="dxa"/>
            <w:vAlign w:val="center"/>
          </w:tcPr>
          <w:p w14:paraId="0D338CD7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十一个月</w:t>
            </w:r>
          </w:p>
        </w:tc>
        <w:tc>
          <w:tcPr>
            <w:tcW w:w="706" w:type="dxa"/>
            <w:vAlign w:val="center"/>
          </w:tcPr>
          <w:p w14:paraId="0DAECF3A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十</w:t>
            </w:r>
          </w:p>
          <w:p w14:paraId="0650A39D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二</w:t>
            </w:r>
          </w:p>
          <w:p w14:paraId="5EA172B5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个</w:t>
            </w:r>
          </w:p>
          <w:p w14:paraId="72BA7E31" w14:textId="77777777" w:rsidR="00B17831" w:rsidRDefault="00000000">
            <w:pPr>
              <w:jc w:val="center"/>
              <w:rPr>
                <w:rFonts w:ascii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b/>
                <w:kern w:val="2"/>
                <w:sz w:val="21"/>
                <w:szCs w:val="21"/>
              </w:rPr>
              <w:t>月</w:t>
            </w:r>
          </w:p>
        </w:tc>
      </w:tr>
      <w:tr w:rsidR="00B17831" w14:paraId="06CC82D2" w14:textId="77777777" w:rsidTr="00E42E6D">
        <w:trPr>
          <w:trHeight w:val="397"/>
        </w:trPr>
        <w:tc>
          <w:tcPr>
            <w:tcW w:w="759" w:type="dxa"/>
            <w:vAlign w:val="center"/>
          </w:tcPr>
          <w:p w14:paraId="37C0CE7B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809" w:type="dxa"/>
            <w:vAlign w:val="center"/>
          </w:tcPr>
          <w:p w14:paraId="7ABE057E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10%</w:t>
            </w:r>
          </w:p>
        </w:tc>
        <w:tc>
          <w:tcPr>
            <w:tcW w:w="601" w:type="dxa"/>
            <w:vAlign w:val="center"/>
          </w:tcPr>
          <w:p w14:paraId="66E5B78B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20%</w:t>
            </w:r>
          </w:p>
        </w:tc>
        <w:tc>
          <w:tcPr>
            <w:tcW w:w="601" w:type="dxa"/>
            <w:vAlign w:val="center"/>
          </w:tcPr>
          <w:p w14:paraId="15BF4A9B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30%</w:t>
            </w:r>
          </w:p>
        </w:tc>
        <w:tc>
          <w:tcPr>
            <w:tcW w:w="601" w:type="dxa"/>
            <w:vAlign w:val="center"/>
          </w:tcPr>
          <w:p w14:paraId="669DE07E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40%</w:t>
            </w:r>
          </w:p>
        </w:tc>
        <w:tc>
          <w:tcPr>
            <w:tcW w:w="601" w:type="dxa"/>
            <w:vAlign w:val="center"/>
          </w:tcPr>
          <w:p w14:paraId="51BA26DA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50%</w:t>
            </w:r>
          </w:p>
        </w:tc>
        <w:tc>
          <w:tcPr>
            <w:tcW w:w="601" w:type="dxa"/>
            <w:vAlign w:val="center"/>
          </w:tcPr>
          <w:p w14:paraId="6D71544E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60%</w:t>
            </w:r>
          </w:p>
        </w:tc>
        <w:tc>
          <w:tcPr>
            <w:tcW w:w="601" w:type="dxa"/>
            <w:vAlign w:val="center"/>
          </w:tcPr>
          <w:p w14:paraId="2FBC2FBF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70%</w:t>
            </w:r>
          </w:p>
        </w:tc>
        <w:tc>
          <w:tcPr>
            <w:tcW w:w="601" w:type="dxa"/>
            <w:vAlign w:val="center"/>
          </w:tcPr>
          <w:p w14:paraId="61806C28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80%</w:t>
            </w:r>
          </w:p>
        </w:tc>
        <w:tc>
          <w:tcPr>
            <w:tcW w:w="601" w:type="dxa"/>
            <w:vAlign w:val="center"/>
          </w:tcPr>
          <w:p w14:paraId="16C21619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85%</w:t>
            </w:r>
          </w:p>
        </w:tc>
        <w:tc>
          <w:tcPr>
            <w:tcW w:w="601" w:type="dxa"/>
            <w:vAlign w:val="center"/>
          </w:tcPr>
          <w:p w14:paraId="2ED66F36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90%</w:t>
            </w:r>
          </w:p>
        </w:tc>
        <w:tc>
          <w:tcPr>
            <w:tcW w:w="601" w:type="dxa"/>
            <w:vAlign w:val="center"/>
          </w:tcPr>
          <w:p w14:paraId="737531F2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95%</w:t>
            </w:r>
          </w:p>
        </w:tc>
        <w:tc>
          <w:tcPr>
            <w:tcW w:w="706" w:type="dxa"/>
            <w:vAlign w:val="center"/>
          </w:tcPr>
          <w:p w14:paraId="720A0E1E" w14:textId="77777777" w:rsidR="00B17831" w:rsidRDefault="00000000"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100%</w:t>
            </w:r>
          </w:p>
        </w:tc>
      </w:tr>
    </w:tbl>
    <w:p w14:paraId="6EC377BF" w14:textId="77777777" w:rsidR="00B17831" w:rsidRPr="00E42E6D" w:rsidRDefault="00B17831">
      <w:pPr>
        <w:rPr>
          <w:sz w:val="21"/>
          <w:szCs w:val="15"/>
        </w:rPr>
      </w:pPr>
    </w:p>
    <w:p w14:paraId="5BD5C2D6" w14:textId="77777777" w:rsidR="00B17831" w:rsidRPr="00E42E6D" w:rsidRDefault="00000000">
      <w:pPr>
        <w:snapToGrid w:val="0"/>
        <w:spacing w:afterLines="50" w:after="156"/>
        <w:ind w:firstLineChars="200" w:firstLine="420"/>
        <w:rPr>
          <w:rFonts w:ascii="Times New Roman"/>
          <w:kern w:val="2"/>
          <w:sz w:val="21"/>
          <w:szCs w:val="21"/>
        </w:rPr>
      </w:pPr>
      <w:r w:rsidRPr="00E42E6D">
        <w:rPr>
          <w:rFonts w:ascii="Times New Roman"/>
          <w:kern w:val="2"/>
          <w:sz w:val="21"/>
          <w:szCs w:val="21"/>
        </w:rPr>
        <w:t>1</w:t>
      </w:r>
      <w:r w:rsidRPr="00E42E6D">
        <w:rPr>
          <w:rFonts w:ascii="Times New Roman" w:hint="eastAsia"/>
          <w:kern w:val="2"/>
          <w:sz w:val="21"/>
          <w:szCs w:val="21"/>
        </w:rPr>
        <w:t>、保险期间在</w:t>
      </w:r>
      <w:r w:rsidRPr="00E42E6D">
        <w:rPr>
          <w:rFonts w:ascii="Times New Roman"/>
          <w:kern w:val="2"/>
          <w:sz w:val="21"/>
          <w:szCs w:val="21"/>
        </w:rPr>
        <w:t>1</w:t>
      </w:r>
      <w:r w:rsidRPr="00E42E6D">
        <w:rPr>
          <w:rFonts w:ascii="Times New Roman" w:hint="eastAsia"/>
          <w:kern w:val="2"/>
          <w:sz w:val="21"/>
          <w:szCs w:val="21"/>
        </w:rPr>
        <w:t>个月以上，不足</w:t>
      </w:r>
      <w:r w:rsidRPr="00E42E6D">
        <w:rPr>
          <w:rFonts w:ascii="Times New Roman"/>
          <w:kern w:val="2"/>
          <w:sz w:val="21"/>
          <w:szCs w:val="21"/>
        </w:rPr>
        <w:t>2</w:t>
      </w:r>
      <w:r w:rsidRPr="00E42E6D">
        <w:rPr>
          <w:rFonts w:ascii="Times New Roman" w:hint="eastAsia"/>
          <w:kern w:val="2"/>
          <w:sz w:val="21"/>
          <w:szCs w:val="21"/>
        </w:rPr>
        <w:t>个月的，按</w:t>
      </w:r>
      <w:r w:rsidRPr="00E42E6D">
        <w:rPr>
          <w:rFonts w:ascii="Times New Roman"/>
          <w:kern w:val="2"/>
          <w:sz w:val="21"/>
          <w:szCs w:val="21"/>
        </w:rPr>
        <w:t>2</w:t>
      </w:r>
      <w:r w:rsidRPr="00E42E6D">
        <w:rPr>
          <w:rFonts w:ascii="Times New Roman" w:hint="eastAsia"/>
          <w:kern w:val="2"/>
          <w:sz w:val="21"/>
          <w:szCs w:val="21"/>
        </w:rPr>
        <w:t>个月计算；保险期间在</w:t>
      </w:r>
      <w:r w:rsidRPr="00E42E6D">
        <w:rPr>
          <w:rFonts w:ascii="Times New Roman"/>
          <w:kern w:val="2"/>
          <w:sz w:val="21"/>
          <w:szCs w:val="21"/>
        </w:rPr>
        <w:t>2</w:t>
      </w:r>
      <w:r w:rsidRPr="00E42E6D">
        <w:rPr>
          <w:rFonts w:ascii="Times New Roman" w:hint="eastAsia"/>
          <w:kern w:val="2"/>
          <w:sz w:val="21"/>
          <w:szCs w:val="21"/>
        </w:rPr>
        <w:t>个月以上，不足</w:t>
      </w:r>
      <w:r w:rsidRPr="00E42E6D">
        <w:rPr>
          <w:rFonts w:ascii="Times New Roman"/>
          <w:kern w:val="2"/>
          <w:sz w:val="21"/>
          <w:szCs w:val="21"/>
        </w:rPr>
        <w:t>3</w:t>
      </w:r>
      <w:r w:rsidRPr="00E42E6D">
        <w:rPr>
          <w:rFonts w:ascii="Times New Roman" w:hint="eastAsia"/>
          <w:kern w:val="2"/>
          <w:sz w:val="21"/>
          <w:szCs w:val="21"/>
        </w:rPr>
        <w:t>个月的，按</w:t>
      </w:r>
      <w:r w:rsidRPr="00E42E6D">
        <w:rPr>
          <w:rFonts w:ascii="Times New Roman"/>
          <w:kern w:val="2"/>
          <w:sz w:val="21"/>
          <w:szCs w:val="21"/>
        </w:rPr>
        <w:t>3</w:t>
      </w:r>
      <w:r w:rsidRPr="00E42E6D">
        <w:rPr>
          <w:rFonts w:ascii="Times New Roman" w:hint="eastAsia"/>
          <w:kern w:val="2"/>
          <w:sz w:val="21"/>
          <w:szCs w:val="21"/>
        </w:rPr>
        <w:t>个月计算，依此类推；</w:t>
      </w:r>
    </w:p>
    <w:p w14:paraId="32A06DAD" w14:textId="77777777" w:rsidR="00B17831" w:rsidRPr="00E42E6D" w:rsidRDefault="00000000">
      <w:pPr>
        <w:numPr>
          <w:ilvl w:val="0"/>
          <w:numId w:val="2"/>
        </w:numPr>
        <w:snapToGrid w:val="0"/>
        <w:spacing w:afterLines="50" w:after="156"/>
        <w:ind w:firstLine="420"/>
        <w:rPr>
          <w:rFonts w:ascii="Times New Roman"/>
          <w:kern w:val="2"/>
          <w:sz w:val="21"/>
          <w:szCs w:val="21"/>
        </w:rPr>
      </w:pPr>
      <w:r w:rsidRPr="00E42E6D">
        <w:rPr>
          <w:rFonts w:ascii="Times New Roman" w:hint="eastAsia"/>
          <w:kern w:val="2"/>
          <w:sz w:val="21"/>
          <w:szCs w:val="21"/>
        </w:rPr>
        <w:t>保险期间不足一个月，</w:t>
      </w:r>
    </w:p>
    <w:p w14:paraId="4F9C48D5" w14:textId="77777777" w:rsidR="00B17831" w:rsidRPr="00E42E6D" w:rsidRDefault="00000000">
      <w:pPr>
        <w:snapToGrid w:val="0"/>
        <w:spacing w:afterLines="50" w:after="156"/>
        <w:ind w:firstLineChars="300" w:firstLine="630"/>
        <w:rPr>
          <w:rFonts w:ascii="Times New Roman"/>
          <w:kern w:val="2"/>
          <w:sz w:val="21"/>
          <w:szCs w:val="21"/>
        </w:rPr>
      </w:pPr>
      <w:r w:rsidRPr="00E42E6D">
        <w:rPr>
          <w:rFonts w:ascii="Times New Roman" w:hint="eastAsia"/>
          <w:kern w:val="2"/>
          <w:sz w:val="21"/>
          <w:szCs w:val="21"/>
        </w:rPr>
        <w:t>短期保险费</w:t>
      </w:r>
      <w:r w:rsidRPr="00E42E6D">
        <w:rPr>
          <w:rFonts w:ascii="Times New Roman"/>
          <w:kern w:val="2"/>
          <w:sz w:val="21"/>
          <w:szCs w:val="21"/>
        </w:rPr>
        <w:t>=</w:t>
      </w:r>
      <w:r w:rsidRPr="00E42E6D">
        <w:rPr>
          <w:rFonts w:ascii="Times New Roman" w:hint="eastAsia"/>
          <w:kern w:val="2"/>
          <w:sz w:val="21"/>
          <w:szCs w:val="21"/>
        </w:rPr>
        <w:t>年保险费</w:t>
      </w:r>
      <w:r w:rsidRPr="00E42E6D">
        <w:rPr>
          <w:rFonts w:ascii="Times New Roman"/>
          <w:kern w:val="2"/>
          <w:sz w:val="21"/>
          <w:szCs w:val="21"/>
        </w:rPr>
        <w:t xml:space="preserve"> </w:t>
      </w:r>
      <w:r w:rsidRPr="00E42E6D">
        <w:rPr>
          <w:rFonts w:ascii="Times New Roman" w:hint="eastAsia"/>
          <w:kern w:val="2"/>
          <w:sz w:val="21"/>
          <w:szCs w:val="21"/>
        </w:rPr>
        <w:t>×短期费率</w:t>
      </w:r>
      <w:r w:rsidRPr="00E42E6D">
        <w:rPr>
          <w:rFonts w:ascii="Times New Roman"/>
          <w:kern w:val="2"/>
          <w:sz w:val="21"/>
          <w:szCs w:val="21"/>
        </w:rPr>
        <w:t xml:space="preserve"> </w:t>
      </w:r>
    </w:p>
    <w:tbl>
      <w:tblPr>
        <w:tblpPr w:leftFromText="180" w:rightFromText="180" w:vertAnchor="text" w:horzAnchor="page" w:tblpX="2649" w:tblpY="143"/>
        <w:tblW w:w="34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566"/>
        <w:gridCol w:w="734"/>
        <w:gridCol w:w="761"/>
      </w:tblGrid>
      <w:tr w:rsidR="00B17831" w14:paraId="5F30147A" w14:textId="77777777" w:rsidTr="00E42E6D">
        <w:tc>
          <w:tcPr>
            <w:tcW w:w="14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2FC0E" w14:textId="77777777" w:rsidR="00B17831" w:rsidRPr="00E42E6D" w:rsidRDefault="00000000">
            <w:pPr>
              <w:snapToGrid w:val="0"/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 w:rsidRPr="00E42E6D">
              <w:rPr>
                <w:rFonts w:ascii="Times New Roman" w:hint="eastAsia"/>
                <w:kern w:val="2"/>
                <w:sz w:val="21"/>
                <w:szCs w:val="21"/>
              </w:rPr>
              <w:t>保险期间（天）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C7569" w14:textId="77777777" w:rsidR="00B17831" w:rsidRPr="00E42E6D" w:rsidRDefault="00000000">
            <w:pPr>
              <w:snapToGrid w:val="0"/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 w:rsidRPr="00E42E6D">
              <w:rPr>
                <w:rFonts w:ascii="Times New Roman"/>
                <w:kern w:val="2"/>
                <w:sz w:val="21"/>
                <w:szCs w:val="21"/>
              </w:rPr>
              <w:t>1</w:t>
            </w:r>
            <w:r>
              <w:rPr>
                <w:rFonts w:ascii="Times New Roman"/>
                <w:kern w:val="2"/>
                <w:sz w:val="21"/>
                <w:szCs w:val="21"/>
              </w:rPr>
              <w:t>-7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10C32" w14:textId="77777777" w:rsidR="00B17831" w:rsidRPr="00E42E6D" w:rsidRDefault="00000000">
            <w:pPr>
              <w:snapToGrid w:val="0"/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8-15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DA5D7" w14:textId="77777777" w:rsidR="00B17831" w:rsidRPr="00E42E6D" w:rsidRDefault="00000000">
            <w:pPr>
              <w:snapToGrid w:val="0"/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16-31</w:t>
            </w:r>
          </w:p>
        </w:tc>
      </w:tr>
      <w:tr w:rsidR="00B17831" w14:paraId="658E66AB" w14:textId="77777777" w:rsidTr="00E42E6D">
        <w:tc>
          <w:tcPr>
            <w:tcW w:w="14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E7166" w14:textId="77777777" w:rsidR="00B17831" w:rsidRPr="00E42E6D" w:rsidRDefault="00000000">
            <w:pPr>
              <w:snapToGrid w:val="0"/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1312B" w14:textId="77777777" w:rsidR="00B17831" w:rsidRPr="00E42E6D" w:rsidRDefault="00000000">
            <w:pPr>
              <w:snapToGrid w:val="0"/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 w:rsidRPr="00E42E6D">
              <w:rPr>
                <w:rFonts w:ascii="Times New Roman"/>
                <w:kern w:val="2"/>
                <w:sz w:val="21"/>
                <w:szCs w:val="21"/>
              </w:rPr>
              <w:t>3</w:t>
            </w:r>
            <w:r>
              <w:rPr>
                <w:rFonts w:ascii="Times New Roman"/>
                <w:kern w:val="2"/>
                <w:sz w:val="21"/>
                <w:szCs w:val="21"/>
              </w:rPr>
              <w:t>%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813AA" w14:textId="77777777" w:rsidR="00B17831" w:rsidRPr="00E42E6D" w:rsidRDefault="00000000">
            <w:pPr>
              <w:snapToGrid w:val="0"/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5%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740D1" w14:textId="77777777" w:rsidR="00B17831" w:rsidRPr="00E42E6D" w:rsidRDefault="00000000">
            <w:pPr>
              <w:snapToGrid w:val="0"/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10%</w:t>
            </w:r>
          </w:p>
        </w:tc>
      </w:tr>
    </w:tbl>
    <w:p w14:paraId="230598AC" w14:textId="77777777" w:rsidR="00B17831" w:rsidRPr="00E42E6D" w:rsidRDefault="00B17831">
      <w:pPr>
        <w:rPr>
          <w:rFonts w:ascii="Times New Roman"/>
          <w:kern w:val="2"/>
          <w:sz w:val="21"/>
          <w:szCs w:val="21"/>
        </w:rPr>
      </w:pPr>
    </w:p>
    <w:p w14:paraId="28BEBD33" w14:textId="77777777" w:rsidR="00B17831" w:rsidRPr="00E42E6D" w:rsidRDefault="00B17831">
      <w:pPr>
        <w:rPr>
          <w:rFonts w:ascii="Times New Roman"/>
          <w:kern w:val="2"/>
          <w:sz w:val="21"/>
          <w:szCs w:val="21"/>
        </w:rPr>
      </w:pPr>
    </w:p>
    <w:p w14:paraId="386D28A4" w14:textId="77777777" w:rsidR="00B17831" w:rsidRPr="00E42E6D" w:rsidRDefault="00B17831">
      <w:pPr>
        <w:rPr>
          <w:rFonts w:ascii="Times New Roman"/>
          <w:kern w:val="2"/>
          <w:sz w:val="21"/>
          <w:szCs w:val="21"/>
        </w:rPr>
      </w:pPr>
    </w:p>
    <w:p w14:paraId="4EBCF09F" w14:textId="77777777" w:rsidR="00B17831" w:rsidRPr="00E42E6D" w:rsidRDefault="00B17831">
      <w:pPr>
        <w:rPr>
          <w:rFonts w:ascii="Times New Roman"/>
          <w:kern w:val="2"/>
          <w:sz w:val="21"/>
          <w:szCs w:val="21"/>
        </w:rPr>
      </w:pPr>
    </w:p>
    <w:sectPr w:rsidR="00B17831" w:rsidRPr="00E42E6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5E54A" w14:textId="77777777" w:rsidR="003C38D4" w:rsidRDefault="003C38D4">
      <w:r>
        <w:separator/>
      </w:r>
    </w:p>
  </w:endnote>
  <w:endnote w:type="continuationSeparator" w:id="0">
    <w:p w14:paraId="2AA3AC34" w14:textId="77777777" w:rsidR="003C38D4" w:rsidRDefault="003C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1EE9A" w14:textId="77777777" w:rsidR="00B17831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F5C3CA" wp14:editId="4464EFE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55453D" w14:textId="77777777" w:rsidR="00B17831" w:rsidRDefault="00000000">
                          <w:pPr>
                            <w:pStyle w:val="a9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F5C3C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F55453D" w14:textId="77777777" w:rsidR="00B17831" w:rsidRDefault="00000000">
                    <w:pPr>
                      <w:pStyle w:val="a9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2AFAC" w14:textId="77777777" w:rsidR="003C38D4" w:rsidRDefault="003C38D4">
      <w:r>
        <w:separator/>
      </w:r>
    </w:p>
  </w:footnote>
  <w:footnote w:type="continuationSeparator" w:id="0">
    <w:p w14:paraId="18276988" w14:textId="77777777" w:rsidR="003C38D4" w:rsidRDefault="003C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B58BA"/>
    <w:multiLevelType w:val="singleLevel"/>
    <w:tmpl w:val="5D8B58BA"/>
    <w:lvl w:ilvl="0">
      <w:start w:val="2"/>
      <w:numFmt w:val="decimal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74F29CC3"/>
    <w:multiLevelType w:val="singleLevel"/>
    <w:tmpl w:val="74F29CC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938758331">
    <w:abstractNumId w:val="1"/>
  </w:num>
  <w:num w:numId="2" w16cid:durableId="850410884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QxOTg0ZTg2NjA3ZGU0MTY2MmU0Yjk5YzMyNzRlOGMifQ=="/>
  </w:docVars>
  <w:rsids>
    <w:rsidRoot w:val="000748F2"/>
    <w:rsid w:val="00073AA3"/>
    <w:rsid w:val="000748F2"/>
    <w:rsid w:val="00103B90"/>
    <w:rsid w:val="00123759"/>
    <w:rsid w:val="001409EF"/>
    <w:rsid w:val="002D57AA"/>
    <w:rsid w:val="00350FB1"/>
    <w:rsid w:val="003C38D4"/>
    <w:rsid w:val="004A3958"/>
    <w:rsid w:val="005118BF"/>
    <w:rsid w:val="00563D39"/>
    <w:rsid w:val="005F170E"/>
    <w:rsid w:val="005F1811"/>
    <w:rsid w:val="006E4FB9"/>
    <w:rsid w:val="007072FA"/>
    <w:rsid w:val="0071184B"/>
    <w:rsid w:val="008D474A"/>
    <w:rsid w:val="008E2494"/>
    <w:rsid w:val="009B1A0C"/>
    <w:rsid w:val="00A46F12"/>
    <w:rsid w:val="00B02E31"/>
    <w:rsid w:val="00B02E7C"/>
    <w:rsid w:val="00B17831"/>
    <w:rsid w:val="00B66F3A"/>
    <w:rsid w:val="00B84D0A"/>
    <w:rsid w:val="00CC0929"/>
    <w:rsid w:val="00CD6C2C"/>
    <w:rsid w:val="00E42E6D"/>
    <w:rsid w:val="00E575CA"/>
    <w:rsid w:val="00ED508A"/>
    <w:rsid w:val="00F16285"/>
    <w:rsid w:val="048542B5"/>
    <w:rsid w:val="0FA65537"/>
    <w:rsid w:val="137C4B33"/>
    <w:rsid w:val="144D66E9"/>
    <w:rsid w:val="1503378F"/>
    <w:rsid w:val="1C1665EC"/>
    <w:rsid w:val="1CC75D47"/>
    <w:rsid w:val="21A03822"/>
    <w:rsid w:val="23FA341F"/>
    <w:rsid w:val="246246CB"/>
    <w:rsid w:val="27B10680"/>
    <w:rsid w:val="287C203A"/>
    <w:rsid w:val="2CFF6214"/>
    <w:rsid w:val="3A484FB4"/>
    <w:rsid w:val="4AC543EC"/>
    <w:rsid w:val="51AD600C"/>
    <w:rsid w:val="57A842E8"/>
    <w:rsid w:val="669D235F"/>
    <w:rsid w:val="67A817FC"/>
    <w:rsid w:val="7763584D"/>
    <w:rsid w:val="787476D5"/>
    <w:rsid w:val="7BA1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3010E9"/>
  <w15:docId w15:val="{29FD190B-E7D4-4768-B90E-0D2B959A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Times New Roman" w:cs="Times New Roman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Pr>
      <w:b/>
      <w:bCs/>
    </w:rPr>
  </w:style>
  <w:style w:type="paragraph" w:styleId="a4">
    <w:name w:val="annotation text"/>
    <w:basedOn w:val="a"/>
    <w:link w:val="a6"/>
    <w:qFormat/>
    <w:pPr>
      <w:jc w:val="left"/>
    </w:pPr>
  </w:style>
  <w:style w:type="paragraph" w:styleId="a7">
    <w:name w:val="Balloon Text"/>
    <w:basedOn w:val="a"/>
    <w:link w:val="a8"/>
    <w:qFormat/>
    <w:rPr>
      <w:sz w:val="18"/>
      <w:szCs w:val="18"/>
    </w:rPr>
  </w:style>
  <w:style w:type="paragraph" w:styleId="a9">
    <w:name w:val="footer"/>
    <w:basedOn w:val="a"/>
    <w:link w:val="a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annotation reference"/>
    <w:basedOn w:val="a0"/>
    <w:qFormat/>
    <w:rPr>
      <w:sz w:val="21"/>
      <w:szCs w:val="21"/>
    </w:rPr>
  </w:style>
  <w:style w:type="table" w:styleId="ae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页眉 字符"/>
    <w:basedOn w:val="a0"/>
    <w:link w:val="ab"/>
    <w:qFormat/>
    <w:rPr>
      <w:rFonts w:ascii="宋体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qFormat/>
    <w:rPr>
      <w:rFonts w:ascii="宋体" w:eastAsia="宋体" w:hAnsi="Times New Roman" w:cs="Times New Roman"/>
      <w:sz w:val="18"/>
      <w:szCs w:val="18"/>
    </w:rPr>
  </w:style>
  <w:style w:type="character" w:customStyle="1" w:styleId="a6">
    <w:name w:val="批注文字 字符"/>
    <w:basedOn w:val="a0"/>
    <w:link w:val="a4"/>
    <w:qFormat/>
    <w:rPr>
      <w:rFonts w:ascii="宋体" w:eastAsia="宋体" w:hAnsi="Times New Roman" w:cs="Times New Roman"/>
      <w:sz w:val="34"/>
      <w:szCs w:val="22"/>
    </w:rPr>
  </w:style>
  <w:style w:type="character" w:customStyle="1" w:styleId="a5">
    <w:name w:val="批注主题 字符"/>
    <w:basedOn w:val="a6"/>
    <w:link w:val="a3"/>
    <w:qFormat/>
    <w:rPr>
      <w:rFonts w:ascii="宋体" w:eastAsia="宋体" w:hAnsi="Times New Roman" w:cs="Times New Roman"/>
      <w:b/>
      <w:bCs/>
      <w:sz w:val="34"/>
      <w:szCs w:val="22"/>
    </w:rPr>
  </w:style>
  <w:style w:type="character" w:customStyle="1" w:styleId="a8">
    <w:name w:val="批注框文本 字符"/>
    <w:basedOn w:val="a0"/>
    <w:link w:val="a7"/>
    <w:qFormat/>
    <w:rPr>
      <w:rFonts w:ascii="宋体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rPr>
      <w:rFonts w:ascii="宋体" w:eastAsia="宋体" w:hAnsi="Times New Roman" w:cs="Times New Roman"/>
      <w:sz w:val="34"/>
      <w:szCs w:val="22"/>
    </w:rPr>
  </w:style>
  <w:style w:type="paragraph" w:styleId="af">
    <w:name w:val="Revision"/>
    <w:hidden/>
    <w:uiPriority w:val="99"/>
    <w:semiHidden/>
    <w:rsid w:val="00E42E6D"/>
    <w:rPr>
      <w:rFonts w:ascii="宋体" w:eastAsia="宋体" w:hAnsi="Times New Roman" w:cs="Times New Roman"/>
      <w:sz w:val="3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徐驿</cp:lastModifiedBy>
  <cp:revision>17</cp:revision>
  <dcterms:created xsi:type="dcterms:W3CDTF">2014-10-29T12:08:00Z</dcterms:created>
  <dcterms:modified xsi:type="dcterms:W3CDTF">2022-11-01T03:42:00Z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4BC6967829E34179B236C0C1DF02D036</vt:lpwstr>
  </property>
</Properties>
</file>