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附加乳腺恶性肿瘤复发特种药品费用医疗保险费率表（互联网专属）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一、基准赔付标准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（一）保险金额：</w:t>
      </w:r>
      <w:r>
        <w:rPr>
          <w:rFonts w:hint="eastAsia" w:ascii="宋体" w:hAnsi="宋体" w:eastAsia="宋体" w:cs="宋体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Cs w:val="21"/>
        </w:rPr>
        <w:t>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（二）免赔额：0元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（三）赔付比例：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bookmarkStart w:id="0" w:name="_Hlk31888858"/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Cs w:val="21"/>
        </w:rPr>
        <w:t>保险人以参加基本医疗保险或公费医疗身份投保，并以基本医疗保险或公费医疗身份就诊并结算，赔付比例为100%。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Cs w:val="21"/>
        </w:rPr>
        <w:t>若被保险人以参加基本医疗保险或公费医疗身份投保，但未以基本医疗保险或公费 医疗身份就诊并结算，赔付比例为60%。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Cs w:val="21"/>
        </w:rPr>
        <w:t>若被保险人未以参加基本医疗保险或公费医疗身份投保，赔付比例为100%。</w:t>
      </w:r>
    </w:p>
    <w:bookmarkEnd w:id="0"/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二、基准年保险费（单位：元） </w:t>
      </w:r>
      <w:r>
        <w:rPr>
          <w:rFonts w:hint="eastAsia" w:ascii="宋体" w:hAnsi="宋体" w:eastAsia="宋体" w:cs="宋体"/>
          <w:szCs w:val="21"/>
        </w:rPr>
        <w:t xml:space="preserve">   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（1）对于已接受</w:t>
      </w:r>
      <w:r>
        <w:rPr>
          <w:rFonts w:hint="eastAsia" w:ascii="宋体" w:hAnsi="宋体" w:eastAsia="宋体" w:cs="宋体"/>
          <w:szCs w:val="21"/>
        </w:rPr>
        <w:t>乳腺恶性肿瘤手术治疗</w:t>
      </w:r>
      <w:r>
        <w:rPr>
          <w:rFonts w:hint="eastAsia" w:ascii="宋体" w:hAnsi="宋体" w:eastAsia="宋体" w:cs="宋体"/>
          <w:szCs w:val="21"/>
          <w:lang w:val="en-US" w:eastAsia="zh-CN"/>
        </w:rPr>
        <w:t>，但未接受乳腺恶性肿瘤新辅助治疗人群：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963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分型/分期</w:t>
            </w:r>
          </w:p>
        </w:tc>
        <w:tc>
          <w:tcPr>
            <w:tcW w:w="705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  <w:t>基准年保险费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33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  <w:t>有社保</w:t>
            </w:r>
          </w:p>
        </w:tc>
        <w:tc>
          <w:tcPr>
            <w:tcW w:w="365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0期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I期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II期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0期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I期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II期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腔面A型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Luminal A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495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619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1642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1355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1701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4512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腔面B型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Luminal B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495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889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2376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1355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2446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6527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Her2过表达型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495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1067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2851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1355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2935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7832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三阴性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495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1741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3133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1355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4789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8607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（2）对于已经接受</w:t>
      </w:r>
      <w:r>
        <w:rPr>
          <w:rFonts w:hint="eastAsia" w:ascii="宋体" w:hAnsi="宋体" w:eastAsia="宋体" w:cs="宋体"/>
          <w:szCs w:val="21"/>
        </w:rPr>
        <w:t>乳腺恶性肿瘤手术治疗</w:t>
      </w:r>
      <w:r>
        <w:rPr>
          <w:rFonts w:hint="eastAsia" w:ascii="宋体" w:hAnsi="宋体" w:eastAsia="宋体" w:cs="宋体"/>
          <w:szCs w:val="21"/>
          <w:lang w:val="en-US" w:eastAsia="zh-CN"/>
        </w:rPr>
        <w:t>及乳腺恶性肿瘤新辅助治疗人群：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963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7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分型/分期</w:t>
            </w:r>
          </w:p>
        </w:tc>
        <w:tc>
          <w:tcPr>
            <w:tcW w:w="705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  <w:t>基准年保险费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33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  <w:t>有社保</w:t>
            </w:r>
          </w:p>
        </w:tc>
        <w:tc>
          <w:tcPr>
            <w:tcW w:w="365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pCR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I期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II期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pCR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I期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II期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腔面A型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Luminal A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495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773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2053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1363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2128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5640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腔面B型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Luminal B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713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1113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2970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1955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3058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8160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Her2过表达型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855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1335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3565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2348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3670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9790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三阴性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1395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2178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  <w:t>3915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3833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5988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10760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三</w:t>
      </w:r>
      <w:r>
        <w:rPr>
          <w:rFonts w:hint="eastAsia" w:ascii="宋体" w:hAnsi="宋体" w:eastAsia="宋体"/>
          <w:b/>
          <w:szCs w:val="21"/>
        </w:rPr>
        <w:t>、调整系数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 w:bidi="ar"/>
        </w:rPr>
      </w:pPr>
      <w:r>
        <w:rPr>
          <w:rFonts w:ascii="宋体" w:hAnsi="宋体" w:eastAsia="宋体" w:cs="宋体"/>
          <w:szCs w:val="21"/>
          <w:lang w:bidi="ar"/>
        </w:rPr>
        <w:t>1</w:t>
      </w:r>
      <w:r>
        <w:rPr>
          <w:rFonts w:hint="eastAsia" w:ascii="宋体" w:hAnsi="宋体" w:eastAsia="宋体" w:cs="宋体"/>
          <w:szCs w:val="21"/>
          <w:lang w:bidi="ar"/>
        </w:rPr>
        <w:t>、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年龄调整系数</w:t>
      </w:r>
    </w:p>
    <w:tbl>
      <w:tblPr>
        <w:tblStyle w:val="8"/>
        <w:tblW w:w="0" w:type="auto"/>
        <w:tblInd w:w="14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9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8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被保险人年龄（周岁）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[18,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30</w:t>
            </w: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]</w:t>
            </w:r>
          </w:p>
        </w:tc>
        <w:tc>
          <w:tcPr>
            <w:tcW w:w="2841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3</w:t>
            </w: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1,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50</w:t>
            </w: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]</w:t>
            </w:r>
          </w:p>
        </w:tc>
        <w:tc>
          <w:tcPr>
            <w:tcW w:w="2841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51</w:t>
            </w: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65</w:t>
            </w: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]</w:t>
            </w:r>
          </w:p>
        </w:tc>
        <w:tc>
          <w:tcPr>
            <w:tcW w:w="2841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66</w:t>
            </w: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70</w:t>
            </w: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]</w:t>
            </w:r>
          </w:p>
        </w:tc>
        <w:tc>
          <w:tcPr>
            <w:tcW w:w="2841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71</w:t>
            </w: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75</w:t>
            </w:r>
            <w:r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  <w:t>]</w:t>
            </w:r>
          </w:p>
        </w:tc>
        <w:tc>
          <w:tcPr>
            <w:tcW w:w="2841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1.4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2</w:t>
      </w:r>
      <w:r>
        <w:rPr>
          <w:rFonts w:hint="eastAsia" w:ascii="宋体" w:hAnsi="宋体" w:eastAsia="宋体"/>
          <w:szCs w:val="21"/>
        </w:rPr>
        <w:t>、</w:t>
      </w:r>
      <w:r>
        <w:rPr>
          <w:rFonts w:ascii="宋体" w:hAnsi="宋体" w:eastAsia="宋体"/>
          <w:szCs w:val="21"/>
        </w:rPr>
        <w:t>等待期调整系数</w:t>
      </w:r>
    </w:p>
    <w:tbl>
      <w:tblPr>
        <w:tblStyle w:val="8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等待期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30天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60天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90天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120天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150天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180天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0.7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3</w:t>
      </w:r>
      <w:r>
        <w:rPr>
          <w:rFonts w:hint="eastAsia" w:ascii="宋体" w:hAnsi="宋体" w:eastAsia="宋体"/>
          <w:szCs w:val="21"/>
        </w:rPr>
        <w:t>、</w:t>
      </w:r>
      <w:r>
        <w:rPr>
          <w:rFonts w:hint="eastAsia" w:ascii="宋体" w:hAnsi="宋体" w:eastAsia="宋体" w:cs="宋体"/>
          <w:szCs w:val="21"/>
          <w:lang w:bidi="ar"/>
        </w:rPr>
        <w:t>免赔额调整系数</w:t>
      </w:r>
    </w:p>
    <w:tbl>
      <w:tblPr>
        <w:tblStyle w:val="8"/>
        <w:tblW w:w="3485" w:type="pct"/>
        <w:tblInd w:w="1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2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免赔额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 w:bidi="ar"/>
              </w:rPr>
              <w:t>）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0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5000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10000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20000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30000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0.6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4、保险金额调整系数</w:t>
      </w:r>
    </w:p>
    <w:tbl>
      <w:tblPr>
        <w:tblStyle w:val="8"/>
        <w:tblW w:w="3485" w:type="pct"/>
        <w:tblInd w:w="1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2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保险金额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万元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 w:bidi="ar"/>
              </w:rPr>
              <w:t>）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[20,40]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[1.0,1.6]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(40,80]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(1.6,2.5]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(80,100]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(2.5,2.8]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(100,150]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(2.8,3.2]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(150,200]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(3.2,3.4]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宋体" w:hAnsi="宋体" w:eastAsia="宋体" w:cs="Arial"/>
          <w:bCs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5、</w:t>
      </w:r>
      <w:r>
        <w:rPr>
          <w:rFonts w:hint="eastAsia" w:ascii="宋体" w:hAnsi="宋体" w:eastAsia="宋体" w:cs="Arial"/>
          <w:bCs/>
          <w:color w:val="000000"/>
          <w:szCs w:val="21"/>
        </w:rPr>
        <w:t>赔付比例调整系数</w:t>
      </w:r>
    </w:p>
    <w:tbl>
      <w:tblPr>
        <w:tblStyle w:val="7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 w:bidi="ar"/>
              </w:rPr>
              <w:t>赔付比例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80%-100%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(0.9,</w:t>
            </w:r>
            <w:r>
              <w:rPr>
                <w:rFonts w:hint="eastAsia" w:ascii="宋体" w:hAnsi="宋体" w:cs="Arial"/>
                <w:bCs/>
                <w:color w:val="000000"/>
                <w:szCs w:val="21"/>
                <w:lang w:val="en-US" w:eastAsia="zh-CN"/>
              </w:rPr>
              <w:t>1.0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60%-80%（含）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(0.6,0.9]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40%-60%（含）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(0.3,0.6]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&lt;=40%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[0.1,0.3]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6、被保险人风险状况调整系数</w:t>
      </w:r>
    </w:p>
    <w:tbl>
      <w:tblPr>
        <w:tblStyle w:val="8"/>
        <w:tblW w:w="3485" w:type="pct"/>
        <w:tblInd w:w="1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2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被保险人风险状况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低风险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[0.5,1.0]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中等风险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(1.0,1.3]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高风险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(1.3,2.0]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注：低风险：指被保险人接受治疗后健康状况很好，生活方式健康，风险意识较强；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中等风险：指被保险人接受治疗后健康状况中等，生活方式中等，风险意识中等；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高风险：指被保险人接受治疗后健康状况较差，生活方式较差，风险意识较差。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7、</w:t>
      </w:r>
      <w:bookmarkStart w:id="1" w:name="_GoBack"/>
      <w:bookmarkEnd w:id="1"/>
      <w:r>
        <w:rPr>
          <w:rFonts w:hint="eastAsia" w:ascii="宋体" w:hAnsi="宋体" w:eastAsia="宋体" w:cs="宋体"/>
          <w:szCs w:val="21"/>
          <w:lang w:bidi="ar"/>
        </w:rPr>
        <w:t>规模调整系数</w:t>
      </w:r>
    </w:p>
    <w:tbl>
      <w:tblPr>
        <w:tblStyle w:val="7"/>
        <w:tblW w:w="52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5"/>
        <w:gridCol w:w="17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年度投保人数（</w:t>
            </w:r>
            <w:r>
              <w:rPr>
                <w:rFonts w:ascii="宋体" w:hAnsi="宋体" w:eastAsia="宋体" w:cs="宋体"/>
                <w:b/>
                <w:bCs/>
                <w:szCs w:val="21"/>
                <w:lang w:bidi="ar"/>
              </w:rPr>
              <w:t>N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人</w:t>
            </w:r>
            <w:r>
              <w:rPr>
                <w:rFonts w:ascii="宋体" w:hAnsi="宋体" w:eastAsia="宋体" w:cs="宋体"/>
                <w:b/>
                <w:bCs/>
                <w:szCs w:val="21"/>
                <w:lang w:bidi="ar"/>
              </w:rPr>
              <w:t>）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N&gt;200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00&lt;N≤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200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00&lt;N≤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100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5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[1.1,1.5]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szCs w:val="21"/>
          <w:lang w:bidi="ar"/>
        </w:rPr>
        <w:t>、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预期</w:t>
      </w:r>
      <w:r>
        <w:rPr>
          <w:rFonts w:hint="eastAsia" w:ascii="宋体" w:hAnsi="宋体" w:eastAsia="宋体" w:cs="宋体"/>
          <w:szCs w:val="21"/>
          <w:lang w:bidi="ar"/>
        </w:rPr>
        <w:t>赔付率调整系数</w:t>
      </w:r>
    </w:p>
    <w:tbl>
      <w:tblPr>
        <w:tblStyle w:val="7"/>
        <w:tblW w:w="51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24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预期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赔付率</w:t>
            </w:r>
          </w:p>
        </w:tc>
        <w:tc>
          <w:tcPr>
            <w:tcW w:w="2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0%-30%（含）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30%-50%（含）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2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50%-80%（含）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80%以上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(1.1,1.5]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9、</w:t>
      </w:r>
      <w:r>
        <w:rPr>
          <w:rFonts w:hint="eastAsia" w:ascii="宋体" w:hAnsi="宋体" w:eastAsia="宋体" w:cs="宋体"/>
          <w:szCs w:val="21"/>
          <w:lang w:bidi="ar"/>
        </w:rPr>
        <w:t>销售</w:t>
      </w:r>
      <w:r>
        <w:rPr>
          <w:rFonts w:hint="eastAsia" w:ascii="宋体" w:hAnsi="宋体" w:eastAsia="宋体" w:cs="宋体"/>
          <w:szCs w:val="21"/>
          <w:lang w:bidi="ar"/>
        </w:rPr>
        <w:t>渠道调整系数</w:t>
      </w:r>
    </w:p>
    <w:tbl>
      <w:tblPr>
        <w:tblStyle w:val="7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销售方式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网络直销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[0.9,1.1]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网络中介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[0.8,1.2]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四</w:t>
      </w:r>
      <w:r>
        <w:rPr>
          <w:rFonts w:hint="eastAsia" w:ascii="宋体" w:hAnsi="宋体" w:eastAsia="宋体"/>
          <w:b/>
          <w:szCs w:val="21"/>
        </w:rPr>
        <w:t>、保险费计算</w:t>
      </w:r>
    </w:p>
    <w:p>
      <w:pPr>
        <w:snapToGrid w:val="0"/>
        <w:spacing w:line="288" w:lineRule="auto"/>
        <w:ind w:firstLine="482"/>
        <w:rPr>
          <w:rFonts w:hint="default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Cs/>
          <w:szCs w:val="21"/>
        </w:rPr>
        <w:t>年</w:t>
      </w:r>
      <w:r>
        <w:rPr>
          <w:rFonts w:ascii="宋体" w:hAnsi="宋体" w:eastAsia="宋体" w:cs="宋体"/>
          <w:bCs/>
          <w:szCs w:val="21"/>
        </w:rPr>
        <w:t>保险费=基准</w:t>
      </w:r>
      <w:r>
        <w:rPr>
          <w:rFonts w:hint="eastAsia" w:ascii="宋体" w:hAnsi="宋体" w:eastAsia="宋体" w:cs="宋体"/>
          <w:bCs/>
          <w:szCs w:val="21"/>
        </w:rPr>
        <w:t>年</w:t>
      </w:r>
      <w:r>
        <w:rPr>
          <w:rFonts w:ascii="宋体" w:hAnsi="宋体" w:eastAsia="宋体" w:cs="宋体"/>
          <w:bCs/>
          <w:szCs w:val="21"/>
        </w:rPr>
        <w:t>保险费×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年龄调整系数</w:t>
      </w:r>
      <w:r>
        <w:rPr>
          <w:rFonts w:ascii="宋体" w:hAnsi="宋体" w:eastAsia="宋体" w:cs="宋体"/>
          <w:bCs/>
          <w:szCs w:val="21"/>
        </w:rPr>
        <w:t>×等待期调整系数×</w:t>
      </w:r>
      <w:r>
        <w:rPr>
          <w:rFonts w:hint="eastAsia" w:ascii="宋体" w:hAnsi="宋体" w:eastAsia="宋体" w:cs="宋体"/>
          <w:szCs w:val="21"/>
          <w:lang w:bidi="ar"/>
        </w:rPr>
        <w:t>免赔额调整系数</w:t>
      </w:r>
      <w:r>
        <w:rPr>
          <w:rFonts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保险金额调整系数</w:t>
      </w:r>
      <w:r>
        <w:rPr>
          <w:rFonts w:hint="eastAsia" w:ascii="宋体" w:hAnsi="宋体" w:eastAsia="宋体" w:cs="宋体"/>
          <w:szCs w:val="21"/>
          <w:lang w:bidi="ar"/>
        </w:rPr>
        <w:t>×</w:t>
      </w:r>
      <w:r>
        <w:rPr>
          <w:rFonts w:hint="eastAsia" w:ascii="宋体" w:hAnsi="宋体" w:eastAsia="宋体" w:cs="Arial"/>
          <w:bCs/>
          <w:color w:val="000000"/>
          <w:szCs w:val="21"/>
        </w:rPr>
        <w:t>赔付比例调整系数</w:t>
      </w:r>
      <w:r>
        <w:rPr>
          <w:rFonts w:hint="eastAsia" w:ascii="宋体" w:hAnsi="宋体" w:eastAsia="宋体" w:cs="宋体"/>
          <w:szCs w:val="21"/>
          <w:lang w:bidi="ar"/>
        </w:rPr>
        <w:t>×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被保险人风险状况调整系数</w:t>
      </w:r>
      <w:r>
        <w:rPr>
          <w:rFonts w:hint="eastAsia" w:ascii="宋体" w:hAnsi="宋体" w:eastAsia="宋体" w:cs="宋体"/>
          <w:szCs w:val="21"/>
          <w:lang w:bidi="ar"/>
        </w:rPr>
        <w:t>×</w:t>
      </w:r>
      <w:r>
        <w:rPr>
          <w:rFonts w:ascii="宋体" w:hAnsi="宋体" w:eastAsia="宋体" w:cs="宋体"/>
          <w:bCs/>
          <w:szCs w:val="21"/>
        </w:rPr>
        <w:t>规模调整系数×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预期</w:t>
      </w:r>
      <w:r>
        <w:rPr>
          <w:rFonts w:ascii="宋体" w:hAnsi="宋体" w:eastAsia="宋体" w:cs="宋体"/>
          <w:bCs/>
          <w:szCs w:val="21"/>
        </w:rPr>
        <w:t>赔付率调整系数×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销售渠道调整系数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ascii="宋体" w:hAnsi="宋体" w:eastAsia="宋体" w:cs="Times New Roman"/>
          <w:b/>
          <w:kern w:val="0"/>
        </w:rPr>
      </w:pPr>
      <w:r>
        <w:rPr>
          <w:rFonts w:hint="eastAsia" w:ascii="宋体" w:hAnsi="宋体" w:eastAsia="宋体" w:cs="Times New Roman"/>
          <w:b/>
          <w:kern w:val="0"/>
        </w:rPr>
        <w:t>五、短期</w:t>
      </w:r>
      <w:r>
        <w:rPr>
          <w:rFonts w:hint="eastAsia" w:ascii="宋体" w:hAnsi="宋体" w:eastAsia="宋体"/>
          <w:b/>
          <w:szCs w:val="21"/>
        </w:rPr>
        <w:t>费率</w:t>
      </w:r>
      <w:r>
        <w:rPr>
          <w:rFonts w:hint="eastAsia" w:ascii="宋体" w:hAnsi="宋体" w:eastAsia="宋体" w:cs="Times New Roman"/>
          <w:b/>
          <w:kern w:val="0"/>
        </w:rPr>
        <w:t>表</w:t>
      </w:r>
    </w:p>
    <w:p>
      <w:pPr>
        <w:snapToGrid w:val="0"/>
        <w:spacing w:line="288" w:lineRule="auto"/>
        <w:ind w:firstLine="482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8025095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F627F0"/>
    <w:rsid w:val="00023DE6"/>
    <w:rsid w:val="00061794"/>
    <w:rsid w:val="00061975"/>
    <w:rsid w:val="000A3789"/>
    <w:rsid w:val="000C2C4B"/>
    <w:rsid w:val="000E0AF6"/>
    <w:rsid w:val="000E3F63"/>
    <w:rsid w:val="000F60A7"/>
    <w:rsid w:val="001244FF"/>
    <w:rsid w:val="00225CBB"/>
    <w:rsid w:val="002542C8"/>
    <w:rsid w:val="0029332F"/>
    <w:rsid w:val="002E3E7E"/>
    <w:rsid w:val="00341A35"/>
    <w:rsid w:val="003F4393"/>
    <w:rsid w:val="004902B3"/>
    <w:rsid w:val="00506C87"/>
    <w:rsid w:val="005D75B7"/>
    <w:rsid w:val="006007A7"/>
    <w:rsid w:val="00662F31"/>
    <w:rsid w:val="00696B15"/>
    <w:rsid w:val="006E3F0C"/>
    <w:rsid w:val="00702F75"/>
    <w:rsid w:val="00733558"/>
    <w:rsid w:val="00767CE8"/>
    <w:rsid w:val="007A668C"/>
    <w:rsid w:val="00864233"/>
    <w:rsid w:val="00905109"/>
    <w:rsid w:val="00907BDA"/>
    <w:rsid w:val="009414F5"/>
    <w:rsid w:val="009D156E"/>
    <w:rsid w:val="00A0448E"/>
    <w:rsid w:val="00A5472D"/>
    <w:rsid w:val="00AA7B60"/>
    <w:rsid w:val="00AE7EFF"/>
    <w:rsid w:val="00BA132C"/>
    <w:rsid w:val="00C6391C"/>
    <w:rsid w:val="00CD1F3F"/>
    <w:rsid w:val="00CF76C6"/>
    <w:rsid w:val="00D278AD"/>
    <w:rsid w:val="00E30098"/>
    <w:rsid w:val="00E7065F"/>
    <w:rsid w:val="00E940E8"/>
    <w:rsid w:val="00EE5519"/>
    <w:rsid w:val="00F627F0"/>
    <w:rsid w:val="01A611B0"/>
    <w:rsid w:val="023D5009"/>
    <w:rsid w:val="04671EF4"/>
    <w:rsid w:val="05AC63F4"/>
    <w:rsid w:val="0678682D"/>
    <w:rsid w:val="078809D2"/>
    <w:rsid w:val="08241C4A"/>
    <w:rsid w:val="0B14530F"/>
    <w:rsid w:val="0B650573"/>
    <w:rsid w:val="0C071098"/>
    <w:rsid w:val="0C1E36B4"/>
    <w:rsid w:val="0CE60BCD"/>
    <w:rsid w:val="0D935B07"/>
    <w:rsid w:val="0F5534D9"/>
    <w:rsid w:val="10DE709A"/>
    <w:rsid w:val="11B619F3"/>
    <w:rsid w:val="13864296"/>
    <w:rsid w:val="1415741C"/>
    <w:rsid w:val="1489141C"/>
    <w:rsid w:val="14C117C9"/>
    <w:rsid w:val="15434F89"/>
    <w:rsid w:val="15E52977"/>
    <w:rsid w:val="1630439D"/>
    <w:rsid w:val="16FC1186"/>
    <w:rsid w:val="17780F8F"/>
    <w:rsid w:val="178839B1"/>
    <w:rsid w:val="17CA1CD8"/>
    <w:rsid w:val="18580D0E"/>
    <w:rsid w:val="1CD852E5"/>
    <w:rsid w:val="1DA578BD"/>
    <w:rsid w:val="1F14355E"/>
    <w:rsid w:val="2028386D"/>
    <w:rsid w:val="214F546F"/>
    <w:rsid w:val="21FA6A29"/>
    <w:rsid w:val="239D4B92"/>
    <w:rsid w:val="25DD07DA"/>
    <w:rsid w:val="27CC5136"/>
    <w:rsid w:val="2BD471DA"/>
    <w:rsid w:val="2D6A01DB"/>
    <w:rsid w:val="2ED4418A"/>
    <w:rsid w:val="30BF5808"/>
    <w:rsid w:val="31AF2660"/>
    <w:rsid w:val="363851A6"/>
    <w:rsid w:val="366F318F"/>
    <w:rsid w:val="396E017E"/>
    <w:rsid w:val="398753C5"/>
    <w:rsid w:val="3BAA6DE9"/>
    <w:rsid w:val="3C6F3118"/>
    <w:rsid w:val="43AA70B0"/>
    <w:rsid w:val="48A13A0E"/>
    <w:rsid w:val="496B4457"/>
    <w:rsid w:val="4A055EC7"/>
    <w:rsid w:val="4A381310"/>
    <w:rsid w:val="4A3E05CE"/>
    <w:rsid w:val="4A48467D"/>
    <w:rsid w:val="4A7807D3"/>
    <w:rsid w:val="5052092F"/>
    <w:rsid w:val="51494826"/>
    <w:rsid w:val="516D1FD0"/>
    <w:rsid w:val="521F5665"/>
    <w:rsid w:val="573D749D"/>
    <w:rsid w:val="586631C9"/>
    <w:rsid w:val="59A62C9C"/>
    <w:rsid w:val="59E93FE0"/>
    <w:rsid w:val="5ED725C3"/>
    <w:rsid w:val="5EFE0567"/>
    <w:rsid w:val="63473BF7"/>
    <w:rsid w:val="66415276"/>
    <w:rsid w:val="66F63E97"/>
    <w:rsid w:val="68067F28"/>
    <w:rsid w:val="6A2536C5"/>
    <w:rsid w:val="6B6A4927"/>
    <w:rsid w:val="71074787"/>
    <w:rsid w:val="730333A6"/>
    <w:rsid w:val="73FE3E08"/>
    <w:rsid w:val="76571277"/>
    <w:rsid w:val="76B973FB"/>
    <w:rsid w:val="777A05E8"/>
    <w:rsid w:val="77A1081E"/>
    <w:rsid w:val="790740FD"/>
    <w:rsid w:val="7A431165"/>
    <w:rsid w:val="7BBE3FC8"/>
    <w:rsid w:val="7C376E8E"/>
    <w:rsid w:val="7CAF3128"/>
    <w:rsid w:val="7E2766A8"/>
    <w:rsid w:val="7F5A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1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1064</Words>
  <Characters>1647</Characters>
  <Lines>14</Lines>
  <Paragraphs>4</Paragraphs>
  <TotalTime>1</TotalTime>
  <ScaleCrop>false</ScaleCrop>
  <LinksUpToDate>false</LinksUpToDate>
  <CharactersWithSpaces>1656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2020-02-18T03:53:00Z</dcterms:created>
  <dc:creator>林男 曹</dc:creator>
  <cp:lastModifiedBy>Zixuan Shen</cp:lastModifiedBy>
  <dcterms:modified xsi:type="dcterms:W3CDTF">2023-06-20T10:03:17Z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07C7ACF2E12743B7A27770C56FA79FD2</vt:lpwstr>
  </property>
  <property fmtid="{D5CDD505-2E9C-101B-9397-08002B2CF9AE}" pid="4" name="commondata">
    <vt:lpwstr>eyJoZGlkIjoiMDRiMmE0ZjljZDExM2YyODdkMDQ1ZGRhYjY0YmQ5MmQifQ==</vt:lpwstr>
  </property>
</Properties>
</file>