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16" w:line="188" w:lineRule="auto"/>
        <w:jc w:val="center"/>
        <w:outlineLvl w:val="0"/>
        <w:rPr>
          <w:rFonts w:ascii="微软雅黑" w:hAnsi="微软雅黑" w:eastAsia="微软雅黑" w:cs="微软雅黑"/>
          <w:b/>
          <w:bCs/>
          <w:spacing w:val="9"/>
          <w:sz w:val="27"/>
          <w:szCs w:val="27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pacing w:val="9"/>
          <w:sz w:val="27"/>
          <w:szCs w:val="27"/>
          <w:lang w:eastAsia="zh-CN"/>
        </w:rPr>
        <w:t>华农财产保险股份有限公司</w:t>
      </w:r>
    </w:p>
    <w:p>
      <w:pPr>
        <w:spacing w:before="116" w:line="188" w:lineRule="auto"/>
        <w:jc w:val="center"/>
        <w:outlineLvl w:val="0"/>
        <w:rPr>
          <w:rFonts w:ascii="微软雅黑" w:hAnsi="微软雅黑" w:eastAsia="微软雅黑" w:cs="微软雅黑"/>
          <w:sz w:val="27"/>
          <w:szCs w:val="27"/>
          <w:lang w:eastAsia="zh-CN"/>
        </w:rPr>
      </w:pPr>
      <w:r>
        <w:rPr>
          <w:rFonts w:ascii="微软雅黑" w:hAnsi="微软雅黑" w:eastAsia="微软雅黑" w:cs="微软雅黑"/>
          <w:b/>
          <w:bCs/>
          <w:spacing w:val="9"/>
          <w:sz w:val="27"/>
          <w:szCs w:val="27"/>
          <w:lang w:eastAsia="zh-CN"/>
        </w:rPr>
        <w:t>附加燃气用户人身意外伤害保险（互联网</w:t>
      </w:r>
      <w:r>
        <w:rPr>
          <w:rFonts w:hint="eastAsia" w:ascii="微软雅黑" w:hAnsi="微软雅黑" w:eastAsia="微软雅黑" w:cs="微软雅黑"/>
          <w:b/>
          <w:bCs/>
          <w:spacing w:val="9"/>
          <w:sz w:val="27"/>
          <w:szCs w:val="27"/>
          <w:lang w:eastAsia="zh-CN"/>
        </w:rPr>
        <w:t>专属</w:t>
      </w:r>
      <w:r>
        <w:rPr>
          <w:rFonts w:ascii="微软雅黑" w:hAnsi="微软雅黑" w:eastAsia="微软雅黑" w:cs="微软雅黑"/>
          <w:b/>
          <w:bCs/>
          <w:spacing w:val="9"/>
          <w:sz w:val="27"/>
          <w:szCs w:val="27"/>
          <w:lang w:eastAsia="zh-CN"/>
        </w:rPr>
        <w:t>）费率表</w:t>
      </w:r>
    </w:p>
    <w:p>
      <w:pPr>
        <w:numPr>
          <w:ilvl w:val="0"/>
          <w:numId w:val="1"/>
        </w:numPr>
        <w:spacing w:before="268" w:line="226" w:lineRule="auto"/>
        <w:ind w:firstLine="500"/>
        <w:rPr>
          <w:rFonts w:ascii="宋体" w:hAnsi="宋体" w:eastAsia="宋体" w:cs="宋体"/>
          <w:b/>
          <w:bCs/>
          <w:color w:val="auto"/>
          <w:spacing w:val="7"/>
        </w:rPr>
      </w:pPr>
      <w:r>
        <w:rPr>
          <w:rFonts w:ascii="宋体" w:hAnsi="宋体" w:eastAsia="宋体" w:cs="宋体"/>
          <w:b/>
          <w:bCs/>
          <w:color w:val="auto"/>
          <w:spacing w:val="7"/>
        </w:rPr>
        <w:t>基准费率</w:t>
      </w:r>
    </w:p>
    <w:p>
      <w:pPr>
        <w:numPr>
          <w:ilvl w:val="0"/>
          <w:numId w:val="2"/>
        </w:numPr>
        <w:spacing w:before="268" w:line="226" w:lineRule="auto"/>
        <w:ind w:left="500"/>
        <w:rPr>
          <w:rFonts w:ascii="宋体" w:hAnsi="宋体" w:eastAsia="宋体" w:cs="宋体"/>
          <w:color w:val="auto"/>
          <w:spacing w:val="-4"/>
          <w:lang w:eastAsia="zh-CN"/>
        </w:rPr>
      </w:pPr>
      <w:r>
        <w:rPr>
          <w:rFonts w:hint="eastAsia" w:ascii="宋体" w:hAnsi="宋体" w:eastAsia="宋体" w:cs="宋体"/>
          <w:color w:val="auto"/>
          <w:spacing w:val="-4"/>
          <w:lang w:eastAsia="zh-CN"/>
        </w:rPr>
        <w:t>意外伤害</w:t>
      </w:r>
      <w:r>
        <w:rPr>
          <w:rFonts w:ascii="宋体" w:hAnsi="宋体" w:eastAsia="宋体" w:cs="宋体"/>
          <w:color w:val="auto"/>
          <w:spacing w:val="-4"/>
          <w:lang w:eastAsia="zh-CN"/>
        </w:rPr>
        <w:t>医疗保险</w:t>
      </w:r>
      <w:r>
        <w:rPr>
          <w:rFonts w:hint="eastAsia" w:ascii="宋体" w:hAnsi="宋体" w:eastAsia="宋体" w:cs="宋体"/>
          <w:color w:val="auto"/>
          <w:spacing w:val="-4"/>
          <w:lang w:eastAsia="zh-CN"/>
        </w:rPr>
        <w:t>金免赔额：200元</w:t>
      </w:r>
    </w:p>
    <w:p>
      <w:pPr>
        <w:numPr>
          <w:ilvl w:val="0"/>
          <w:numId w:val="2"/>
        </w:numPr>
        <w:spacing w:before="268" w:line="226" w:lineRule="auto"/>
        <w:ind w:left="500"/>
        <w:rPr>
          <w:rFonts w:ascii="宋体" w:hAnsi="宋体" w:eastAsia="宋体" w:cs="宋体"/>
          <w:color w:val="auto"/>
          <w:spacing w:val="-4"/>
          <w:lang w:eastAsia="zh-CN"/>
        </w:rPr>
      </w:pPr>
      <w:r>
        <w:rPr>
          <w:rFonts w:hint="eastAsia" w:ascii="宋体" w:hAnsi="宋体" w:eastAsia="宋体" w:cs="宋体"/>
          <w:color w:val="auto"/>
          <w:spacing w:val="-4"/>
          <w:lang w:eastAsia="zh-CN"/>
        </w:rPr>
        <w:t>意外伤害</w:t>
      </w:r>
      <w:r>
        <w:rPr>
          <w:rFonts w:ascii="宋体" w:hAnsi="宋体" w:eastAsia="宋体" w:cs="宋体"/>
          <w:color w:val="auto"/>
          <w:spacing w:val="-4"/>
          <w:lang w:eastAsia="zh-CN"/>
        </w:rPr>
        <w:t>医疗保险</w:t>
      </w:r>
      <w:r>
        <w:rPr>
          <w:rFonts w:hint="eastAsia" w:ascii="宋体" w:hAnsi="宋体" w:eastAsia="宋体" w:cs="宋体"/>
          <w:color w:val="auto"/>
          <w:spacing w:val="-4"/>
          <w:lang w:eastAsia="zh-CN"/>
        </w:rPr>
        <w:t>金赔付比例：若被保险人以参加基本医疗保险身份就诊并结算，赔付比例为90%；若被保险人未以参加基本医疗保险身份就诊并结算，赔付比例为54%。</w:t>
      </w:r>
    </w:p>
    <w:p>
      <w:pPr>
        <w:numPr>
          <w:ilvl w:val="255"/>
          <w:numId w:val="0"/>
        </w:numPr>
        <w:spacing w:before="268" w:line="226" w:lineRule="auto"/>
        <w:ind w:left="500"/>
        <w:jc w:val="right"/>
        <w:rPr>
          <w:rFonts w:ascii="宋体" w:hAnsi="宋体" w:eastAsia="宋体" w:cs="宋体"/>
          <w:color w:val="auto"/>
          <w:spacing w:val="7"/>
          <w:lang w:eastAsia="zh-CN"/>
        </w:rPr>
      </w:pPr>
      <w:r>
        <w:rPr>
          <w:rFonts w:hint="eastAsia" w:ascii="宋体" w:hAnsi="宋体" w:eastAsia="宋体" w:cs="宋体"/>
          <w:color w:val="auto"/>
          <w:spacing w:val="7"/>
          <w:lang w:eastAsia="zh-CN"/>
        </w:rPr>
        <w:t>单位：元</w:t>
      </w:r>
    </w:p>
    <w:p>
      <w:pPr>
        <w:spacing w:before="13"/>
        <w:rPr>
          <w:color w:val="auto"/>
        </w:rPr>
      </w:pPr>
    </w:p>
    <w:tbl>
      <w:tblPr>
        <w:tblStyle w:val="10"/>
        <w:tblW w:w="690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50"/>
        <w:gridCol w:w="345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2" w:hRule="atLeast"/>
          <w:jc w:val="center"/>
        </w:trPr>
        <w:tc>
          <w:tcPr>
            <w:tcW w:w="3450" w:type="dxa"/>
          </w:tcPr>
          <w:p>
            <w:pPr>
              <w:spacing w:before="274" w:line="219" w:lineRule="auto"/>
              <w:ind w:left="1216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pacing w:val="8"/>
              </w:rPr>
              <w:t>保险责任</w:t>
            </w:r>
          </w:p>
        </w:tc>
        <w:tc>
          <w:tcPr>
            <w:tcW w:w="3450" w:type="dxa"/>
          </w:tcPr>
          <w:p>
            <w:pPr>
              <w:spacing w:before="274" w:line="219" w:lineRule="auto"/>
              <w:ind w:left="1085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pacing w:val="9"/>
              </w:rPr>
              <w:t>基准费率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  <w:jc w:val="center"/>
        </w:trPr>
        <w:tc>
          <w:tcPr>
            <w:tcW w:w="3450" w:type="dxa"/>
          </w:tcPr>
          <w:p>
            <w:pPr>
              <w:spacing w:before="272" w:line="219" w:lineRule="auto"/>
              <w:ind w:left="291"/>
              <w:rPr>
                <w:rFonts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lang w:eastAsia="zh-CN"/>
              </w:rPr>
              <w:t>意外伤害</w:t>
            </w:r>
            <w:r>
              <w:rPr>
                <w:rFonts w:ascii="宋体" w:hAnsi="宋体" w:eastAsia="宋体" w:cs="宋体"/>
                <w:color w:val="auto"/>
                <w:spacing w:val="-3"/>
                <w:lang w:eastAsia="zh-CN"/>
              </w:rPr>
              <w:t>保险</w:t>
            </w:r>
            <w:r>
              <w:rPr>
                <w:rFonts w:hint="eastAsia" w:ascii="宋体" w:hAnsi="宋体" w:eastAsia="宋体" w:cs="宋体"/>
                <w:color w:val="auto"/>
                <w:spacing w:val="-3"/>
                <w:lang w:eastAsia="zh-CN"/>
              </w:rPr>
              <w:t>金</w:t>
            </w:r>
            <w:r>
              <w:rPr>
                <w:rFonts w:ascii="宋体" w:hAnsi="宋体" w:eastAsia="宋体" w:cs="宋体"/>
                <w:color w:val="auto"/>
                <w:spacing w:val="-3"/>
                <w:lang w:eastAsia="zh-CN"/>
              </w:rPr>
              <w:t>（必选）</w:t>
            </w:r>
          </w:p>
        </w:tc>
        <w:tc>
          <w:tcPr>
            <w:tcW w:w="3450" w:type="dxa"/>
          </w:tcPr>
          <w:p>
            <w:pPr>
              <w:spacing w:before="308" w:line="184" w:lineRule="auto"/>
              <w:ind w:left="1364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pacing w:val="-2"/>
              </w:rPr>
              <w:t>0.001%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  <w:jc w:val="center"/>
        </w:trPr>
        <w:tc>
          <w:tcPr>
            <w:tcW w:w="3450" w:type="dxa"/>
          </w:tcPr>
          <w:p>
            <w:pPr>
              <w:spacing w:before="277" w:line="219" w:lineRule="auto"/>
              <w:ind w:firstLine="202" w:firstLineChars="100"/>
              <w:rPr>
                <w:rFonts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lang w:eastAsia="zh-CN"/>
              </w:rPr>
              <w:t>意外伤害</w:t>
            </w:r>
            <w:r>
              <w:rPr>
                <w:rFonts w:ascii="宋体" w:hAnsi="宋体" w:eastAsia="宋体" w:cs="宋体"/>
                <w:color w:val="auto"/>
                <w:spacing w:val="-4"/>
                <w:lang w:eastAsia="zh-CN"/>
              </w:rPr>
              <w:t>医疗保险</w:t>
            </w:r>
            <w:r>
              <w:rPr>
                <w:rFonts w:hint="eastAsia" w:ascii="宋体" w:hAnsi="宋体" w:eastAsia="宋体" w:cs="宋体"/>
                <w:color w:val="auto"/>
                <w:spacing w:val="-4"/>
                <w:lang w:eastAsia="zh-CN"/>
              </w:rPr>
              <w:t>金</w:t>
            </w:r>
            <w:r>
              <w:rPr>
                <w:rFonts w:ascii="宋体" w:hAnsi="宋体" w:eastAsia="宋体" w:cs="宋体"/>
                <w:color w:val="auto"/>
                <w:spacing w:val="-4"/>
                <w:lang w:eastAsia="zh-CN"/>
              </w:rPr>
              <w:t>（可选）</w:t>
            </w:r>
          </w:p>
        </w:tc>
        <w:tc>
          <w:tcPr>
            <w:tcW w:w="3450" w:type="dxa"/>
          </w:tcPr>
          <w:p>
            <w:pPr>
              <w:spacing w:before="314" w:line="183" w:lineRule="auto"/>
              <w:ind w:left="1364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pacing w:val="-2"/>
              </w:rPr>
              <w:t>0.003%</w:t>
            </w:r>
          </w:p>
        </w:tc>
      </w:tr>
    </w:tbl>
    <w:p>
      <w:pPr>
        <w:pStyle w:val="3"/>
        <w:rPr>
          <w:color w:val="E46C0A" w:themeColor="accent6" w:themeShade="BF"/>
        </w:rPr>
      </w:pPr>
    </w:p>
    <w:p>
      <w:pPr>
        <w:pStyle w:val="3"/>
        <w:rPr>
          <w:color w:val="E46C0A" w:themeColor="accent6" w:themeShade="BF"/>
        </w:rPr>
      </w:pPr>
    </w:p>
    <w:p>
      <w:pPr>
        <w:spacing w:after="50"/>
        <w:ind w:firstLine="420"/>
        <w:rPr>
          <w:rFonts w:ascii="宋体" w:hAnsi="宋体" w:eastAsia="宋体" w:cs="宋体"/>
          <w:b/>
          <w:color w:val="auto"/>
        </w:rPr>
      </w:pPr>
      <w:r>
        <w:rPr>
          <w:rFonts w:hint="eastAsia" w:ascii="宋体" w:hAnsi="宋体" w:eastAsia="宋体" w:cs="宋体"/>
          <w:b/>
          <w:color w:val="auto"/>
        </w:rPr>
        <w:t>二、费率调整系数</w:t>
      </w:r>
    </w:p>
    <w:p>
      <w:pPr>
        <w:spacing w:after="50"/>
        <w:ind w:firstLine="426" w:firstLineChars="202"/>
        <w:rPr>
          <w:rStyle w:val="9"/>
          <w:rFonts w:ascii="宋体" w:hAnsi="宋体" w:eastAsia="宋体" w:cs="宋体"/>
          <w:b/>
          <w:bCs/>
          <w:color w:val="auto"/>
          <w:lang w:eastAsia="zh-CN"/>
        </w:rPr>
      </w:pPr>
      <w:r>
        <w:rPr>
          <w:rStyle w:val="9"/>
          <w:rFonts w:hint="eastAsia" w:ascii="宋体" w:hAnsi="宋体" w:eastAsia="宋体" w:cs="宋体"/>
          <w:b/>
          <w:bCs/>
          <w:color w:val="auto"/>
          <w:lang w:eastAsia="zh-CN"/>
        </w:rPr>
        <w:t>（一）适用于意外伤害保险责任、意外伤害医疗保险责任</w:t>
      </w:r>
    </w:p>
    <w:p>
      <w:pPr>
        <w:spacing w:after="50"/>
        <w:ind w:firstLine="426" w:firstLineChars="202"/>
        <w:rPr>
          <w:rStyle w:val="9"/>
          <w:rFonts w:ascii="宋体" w:hAnsi="宋体" w:eastAsia="宋体" w:cs="宋体"/>
          <w:b/>
          <w:bCs/>
          <w:color w:val="auto"/>
          <w:lang w:eastAsia="zh-CN"/>
        </w:rPr>
      </w:pPr>
      <w:r>
        <w:rPr>
          <w:rStyle w:val="9"/>
          <w:rFonts w:hint="eastAsia" w:ascii="宋体" w:hAnsi="宋体" w:eastAsia="宋体" w:cs="宋体"/>
          <w:b/>
          <w:bCs/>
          <w:color w:val="auto"/>
          <w:lang w:eastAsia="zh-CN"/>
        </w:rPr>
        <w:t>费率调整系数为以下各项系数的乘积。当某项调整系数相关风险信息不准确或不完整时，该系数取</w:t>
      </w:r>
      <w:r>
        <w:rPr>
          <w:rStyle w:val="9"/>
          <w:rFonts w:ascii="宋体" w:hAnsi="宋体" w:eastAsia="宋体" w:cs="宋体"/>
          <w:b/>
          <w:bCs/>
          <w:color w:val="auto"/>
          <w:lang w:eastAsia="zh-CN"/>
        </w:rPr>
        <w:t>1.0。</w:t>
      </w:r>
    </w:p>
    <w:p>
      <w:pPr>
        <w:numPr>
          <w:ilvl w:val="255"/>
          <w:numId w:val="0"/>
        </w:numPr>
        <w:spacing w:after="50"/>
        <w:ind w:firstLine="420" w:firstLineChars="200"/>
        <w:rPr>
          <w:rStyle w:val="9"/>
          <w:rFonts w:ascii="宋体" w:hAnsi="宋体" w:eastAsia="宋体" w:cs="宋体"/>
          <w:color w:val="auto"/>
          <w:lang w:eastAsia="zh-CN"/>
        </w:rPr>
      </w:pPr>
      <w:bookmarkStart w:id="0" w:name="OLE_LINK11"/>
      <w:r>
        <w:rPr>
          <w:rFonts w:hint="eastAsia" w:ascii="宋体" w:hAnsi="宋体" w:eastAsia="宋体" w:cs="宋体"/>
          <w:color w:val="auto"/>
          <w:lang w:eastAsia="zh-CN"/>
        </w:rPr>
        <w:t>1、承保房屋防灾能力</w:t>
      </w:r>
      <w:r>
        <w:rPr>
          <w:rStyle w:val="9"/>
          <w:rFonts w:ascii="宋体" w:hAnsi="宋体" w:eastAsia="宋体" w:cs="宋体"/>
          <w:color w:val="auto"/>
          <w:lang w:eastAsia="zh-CN"/>
        </w:rPr>
        <w:t>调整系数</w:t>
      </w:r>
      <w:r>
        <w:rPr>
          <w:rStyle w:val="9"/>
          <w:rFonts w:hint="eastAsia" w:ascii="宋体" w:hAnsi="宋体" w:eastAsia="宋体" w:cs="宋体"/>
          <w:color w:val="auto"/>
          <w:lang w:eastAsia="zh-CN"/>
        </w:rPr>
        <w:t>（F1）</w:t>
      </w:r>
    </w:p>
    <w:tbl>
      <w:tblPr>
        <w:tblStyle w:val="7"/>
        <w:tblW w:w="67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4"/>
        <w:gridCol w:w="33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454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b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lang w:eastAsia="zh-CN"/>
              </w:rPr>
              <w:t>承保房屋防灾能力</w:t>
            </w:r>
          </w:p>
        </w:tc>
        <w:tc>
          <w:tcPr>
            <w:tcW w:w="3303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b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color w:val="auto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454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优</w:t>
            </w:r>
          </w:p>
        </w:tc>
        <w:tc>
          <w:tcPr>
            <w:tcW w:w="3303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0.7</w:t>
            </w: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454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良</w:t>
            </w:r>
          </w:p>
        </w:tc>
        <w:tc>
          <w:tcPr>
            <w:tcW w:w="3303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0.85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454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合格</w:t>
            </w:r>
          </w:p>
        </w:tc>
        <w:tc>
          <w:tcPr>
            <w:tcW w:w="3303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1.</w:t>
            </w: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454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不合格</w:t>
            </w:r>
          </w:p>
        </w:tc>
        <w:tc>
          <w:tcPr>
            <w:tcW w:w="3303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不承保</w:t>
            </w:r>
          </w:p>
        </w:tc>
      </w:tr>
    </w:tbl>
    <w:p>
      <w:pPr>
        <w:spacing w:after="50"/>
        <w:rPr>
          <w:rFonts w:ascii="宋体" w:hAnsi="宋体" w:eastAsia="宋体" w:cs="宋体"/>
          <w:color w:val="E46C0A" w:themeColor="accent6" w:themeShade="BF"/>
        </w:rPr>
      </w:pPr>
    </w:p>
    <w:bookmarkEnd w:id="0"/>
    <w:p>
      <w:pPr>
        <w:numPr>
          <w:ilvl w:val="255"/>
          <w:numId w:val="0"/>
        </w:numPr>
        <w:spacing w:after="50"/>
        <w:ind w:firstLine="420" w:firstLineChars="200"/>
        <w:rPr>
          <w:rFonts w:ascii="宋体" w:hAnsi="宋体" w:eastAsia="宋体" w:cs="宋体"/>
          <w:bCs/>
          <w:color w:val="auto"/>
          <w:spacing w:val="-4"/>
          <w:lang w:eastAsia="zh-CN"/>
        </w:rPr>
      </w:pPr>
      <w:r>
        <w:rPr>
          <w:rFonts w:hint="eastAsia" w:ascii="宋体" w:hAnsi="宋体" w:eastAsia="PMingLiU" w:cs="宋体"/>
          <w:color w:val="auto"/>
          <w:lang w:eastAsia="zh-CN"/>
        </w:rPr>
        <w:t>2</w:t>
      </w:r>
      <w:r>
        <w:rPr>
          <w:rFonts w:hint="eastAsia" w:ascii="宋体" w:hAnsi="宋体" w:eastAsia="宋体" w:cs="宋体"/>
          <w:color w:val="auto"/>
          <w:lang w:eastAsia="zh-CN"/>
        </w:rPr>
        <w:t>、</w:t>
      </w:r>
      <w:r>
        <w:rPr>
          <w:color w:val="auto"/>
          <w:spacing w:val="8"/>
          <w:lang w:eastAsia="zh-CN"/>
        </w:rPr>
        <w:t>燃气类别</w:t>
      </w:r>
      <w:r>
        <w:rPr>
          <w:rFonts w:hint="eastAsia" w:ascii="宋体" w:hAnsi="宋体" w:eastAsia="宋体" w:cs="宋体"/>
          <w:bCs/>
          <w:color w:val="auto"/>
          <w:spacing w:val="-4"/>
          <w:lang w:eastAsia="zh-CN"/>
        </w:rPr>
        <w:t>调整系数（F</w:t>
      </w:r>
      <w:r>
        <w:rPr>
          <w:rFonts w:hint="eastAsia" w:ascii="宋体" w:hAnsi="宋体" w:eastAsia="PMingLiU" w:cs="宋体"/>
          <w:bCs/>
          <w:color w:val="auto"/>
          <w:spacing w:val="-4"/>
          <w:lang w:eastAsia="zh-CN"/>
        </w:rPr>
        <w:t>2</w:t>
      </w:r>
      <w:r>
        <w:rPr>
          <w:rFonts w:hint="eastAsia" w:ascii="宋体" w:hAnsi="宋体" w:eastAsia="宋体" w:cs="宋体"/>
          <w:bCs/>
          <w:color w:val="auto"/>
          <w:spacing w:val="-4"/>
          <w:lang w:eastAsia="zh-CN"/>
        </w:rPr>
        <w:t>）</w:t>
      </w:r>
    </w:p>
    <w:tbl>
      <w:tblPr>
        <w:tblStyle w:val="6"/>
        <w:tblW w:w="68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65"/>
        <w:gridCol w:w="33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65" w:type="dxa"/>
          </w:tcPr>
          <w:p>
            <w:pPr>
              <w:spacing w:after="50"/>
              <w:jc w:val="center"/>
              <w:rPr>
                <w:rFonts w:ascii="宋体" w:hAnsi="宋体" w:eastAsia="宋体" w:cs="宋体"/>
                <w:b/>
                <w:color w:val="auto"/>
                <w:spacing w:val="-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pacing w:val="-4"/>
                <w:lang w:eastAsia="zh-CN"/>
              </w:rPr>
              <w:t>燃气类别</w:t>
            </w:r>
          </w:p>
        </w:tc>
        <w:tc>
          <w:tcPr>
            <w:tcW w:w="3351" w:type="dxa"/>
          </w:tcPr>
          <w:p>
            <w:pPr>
              <w:spacing w:after="50"/>
              <w:jc w:val="center"/>
              <w:rPr>
                <w:rFonts w:ascii="宋体" w:hAnsi="宋体" w:eastAsia="宋体" w:cs="宋体"/>
                <w:b/>
                <w:color w:val="auto"/>
                <w:spacing w:val="-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pacing w:val="-4"/>
                <w:lang w:eastAsia="zh-CN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65" w:type="dxa"/>
          </w:tcPr>
          <w:p>
            <w:pPr>
              <w:spacing w:after="50"/>
              <w:jc w:val="center"/>
              <w:rPr>
                <w:rFonts w:ascii="宋体" w:hAnsi="宋体" w:eastAsia="宋体" w:cs="宋体"/>
                <w:color w:val="auto"/>
                <w:spacing w:val="-4"/>
                <w:lang w:eastAsia="zh-CN"/>
              </w:rPr>
            </w:pPr>
            <w:r>
              <w:rPr>
                <w:rStyle w:val="9"/>
                <w:rFonts w:hint="eastAsia" w:ascii="宋体" w:hAnsi="宋体" w:eastAsia="宋体" w:cs="宋体"/>
                <w:color w:val="auto"/>
                <w:spacing w:val="-3"/>
              </w:rPr>
              <w:t>管道天然气</w:t>
            </w:r>
          </w:p>
        </w:tc>
        <w:tc>
          <w:tcPr>
            <w:tcW w:w="3351" w:type="dxa"/>
          </w:tcPr>
          <w:p>
            <w:pPr>
              <w:spacing w:after="50"/>
              <w:jc w:val="center"/>
              <w:rPr>
                <w:rFonts w:ascii="宋体" w:hAnsi="宋体" w:eastAsia="宋体" w:cs="宋体"/>
                <w:color w:val="auto"/>
                <w:spacing w:val="-4"/>
                <w:lang w:eastAsia="zh-CN"/>
              </w:rPr>
            </w:pPr>
            <w:r>
              <w:rPr>
                <w:rStyle w:val="9"/>
                <w:rFonts w:hint="eastAsia" w:ascii="宋体" w:hAnsi="宋体" w:eastAsia="宋体" w:cs="宋体"/>
                <w:color w:val="auto"/>
                <w:spacing w:val="-3"/>
              </w:rPr>
              <w:t>0.70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65" w:type="dxa"/>
          </w:tcPr>
          <w:p>
            <w:pPr>
              <w:spacing w:after="50"/>
              <w:jc w:val="center"/>
              <w:rPr>
                <w:rFonts w:ascii="宋体" w:hAnsi="宋体" w:eastAsia="宋体" w:cs="宋体"/>
                <w:color w:val="auto"/>
                <w:spacing w:val="-4"/>
                <w:lang w:eastAsia="zh-CN"/>
              </w:rPr>
            </w:pPr>
            <w:r>
              <w:rPr>
                <w:rStyle w:val="9"/>
                <w:rFonts w:hint="eastAsia" w:ascii="宋体" w:hAnsi="宋体" w:eastAsia="宋体" w:cs="宋体"/>
                <w:color w:val="auto"/>
                <w:spacing w:val="-3"/>
              </w:rPr>
              <w:t>管道煤气</w:t>
            </w:r>
          </w:p>
        </w:tc>
        <w:tc>
          <w:tcPr>
            <w:tcW w:w="3351" w:type="dxa"/>
          </w:tcPr>
          <w:p>
            <w:pPr>
              <w:spacing w:after="50"/>
              <w:jc w:val="center"/>
              <w:rPr>
                <w:rFonts w:ascii="宋体" w:hAnsi="宋体" w:eastAsia="宋体" w:cs="宋体"/>
                <w:color w:val="auto"/>
                <w:spacing w:val="-4"/>
                <w:lang w:eastAsia="zh-CN"/>
              </w:rPr>
            </w:pPr>
            <w:r>
              <w:rPr>
                <w:rStyle w:val="9"/>
                <w:rFonts w:hint="eastAsia" w:ascii="宋体" w:hAnsi="宋体" w:eastAsia="宋体" w:cs="宋体"/>
                <w:color w:val="auto"/>
                <w:spacing w:val="-6"/>
              </w:rPr>
              <w:t>1.00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65" w:type="dxa"/>
          </w:tcPr>
          <w:p>
            <w:pPr>
              <w:spacing w:after="50"/>
              <w:jc w:val="center"/>
              <w:rPr>
                <w:rFonts w:ascii="宋体" w:hAnsi="宋体" w:eastAsia="宋体" w:cs="宋体"/>
                <w:color w:val="auto"/>
                <w:spacing w:val="-4"/>
                <w:lang w:eastAsia="zh-CN"/>
              </w:rPr>
            </w:pPr>
            <w:r>
              <w:rPr>
                <w:rStyle w:val="9"/>
                <w:rFonts w:hint="eastAsia" w:ascii="宋体" w:hAnsi="宋体" w:eastAsia="宋体" w:cs="宋体"/>
                <w:color w:val="auto"/>
                <w:spacing w:val="-2"/>
              </w:rPr>
              <w:t>钢瓶气</w:t>
            </w:r>
          </w:p>
        </w:tc>
        <w:tc>
          <w:tcPr>
            <w:tcW w:w="3351" w:type="dxa"/>
          </w:tcPr>
          <w:p>
            <w:pPr>
              <w:spacing w:after="50"/>
              <w:jc w:val="center"/>
              <w:rPr>
                <w:rFonts w:ascii="宋体" w:hAnsi="宋体" w:eastAsia="宋体" w:cs="宋体"/>
                <w:color w:val="auto"/>
                <w:spacing w:val="-4"/>
                <w:lang w:eastAsia="zh-CN"/>
              </w:rPr>
            </w:pPr>
            <w:r>
              <w:rPr>
                <w:rStyle w:val="9"/>
                <w:rFonts w:hint="eastAsia" w:ascii="宋体" w:hAnsi="宋体" w:eastAsia="宋体" w:cs="宋体"/>
                <w:color w:val="auto"/>
                <w:spacing w:val="-6"/>
              </w:rPr>
              <w:t>1.50</w:t>
            </w:r>
          </w:p>
        </w:tc>
      </w:tr>
    </w:tbl>
    <w:p>
      <w:pPr>
        <w:numPr>
          <w:ilvl w:val="255"/>
          <w:numId w:val="0"/>
        </w:numPr>
        <w:spacing w:after="50"/>
        <w:rPr>
          <w:rFonts w:ascii="宋体" w:hAnsi="宋体" w:eastAsia="宋体" w:cs="宋体"/>
          <w:bCs/>
          <w:color w:val="E46C0A" w:themeColor="accent6" w:themeShade="BF"/>
          <w:spacing w:val="-4"/>
          <w:lang w:eastAsia="zh-CN"/>
        </w:rPr>
      </w:pPr>
    </w:p>
    <w:p>
      <w:pPr>
        <w:numPr>
          <w:ilvl w:val="255"/>
          <w:numId w:val="0"/>
        </w:numPr>
        <w:spacing w:after="50"/>
        <w:ind w:firstLine="404" w:firstLineChars="200"/>
        <w:rPr>
          <w:rFonts w:ascii="宋体" w:hAnsi="宋体" w:eastAsia="宋体" w:cs="宋体"/>
          <w:bCs/>
          <w:color w:val="auto"/>
          <w:spacing w:val="-4"/>
          <w:lang w:eastAsia="zh-CN"/>
        </w:rPr>
      </w:pPr>
      <w:r>
        <w:rPr>
          <w:rFonts w:hint="eastAsia" w:ascii="宋体" w:hAnsi="宋体" w:eastAsia="PMingLiU" w:cs="宋体"/>
          <w:bCs/>
          <w:color w:val="auto"/>
          <w:spacing w:val="-4"/>
          <w:lang w:eastAsia="zh-CN"/>
        </w:rPr>
        <w:t>3</w:t>
      </w:r>
      <w:r>
        <w:rPr>
          <w:rFonts w:hint="eastAsia" w:ascii="宋体" w:hAnsi="宋体" w:eastAsia="宋体" w:cs="宋体"/>
          <w:bCs/>
          <w:color w:val="auto"/>
          <w:spacing w:val="-4"/>
          <w:lang w:eastAsia="zh-CN"/>
        </w:rPr>
        <w:t>、建筑物结构调整系数（F</w:t>
      </w:r>
      <w:r>
        <w:rPr>
          <w:rFonts w:hint="eastAsia" w:ascii="宋体" w:hAnsi="宋体" w:eastAsia="PMingLiU" w:cs="宋体"/>
          <w:bCs/>
          <w:color w:val="auto"/>
          <w:spacing w:val="-4"/>
          <w:lang w:eastAsia="zh-CN"/>
        </w:rPr>
        <w:t>3</w:t>
      </w:r>
      <w:r>
        <w:rPr>
          <w:rFonts w:hint="eastAsia" w:ascii="宋体" w:hAnsi="宋体" w:eastAsia="宋体" w:cs="宋体"/>
          <w:bCs/>
          <w:color w:val="auto"/>
          <w:spacing w:val="-4"/>
          <w:lang w:eastAsia="zh-CN"/>
        </w:rPr>
        <w:t>）</w:t>
      </w:r>
    </w:p>
    <w:tbl>
      <w:tblPr>
        <w:tblStyle w:val="6"/>
        <w:tblW w:w="67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0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0" w:type="dxa"/>
          </w:tcPr>
          <w:p>
            <w:pPr>
              <w:spacing w:after="50"/>
              <w:jc w:val="center"/>
              <w:rPr>
                <w:rFonts w:ascii="宋体" w:hAnsi="宋体" w:eastAsia="宋体" w:cs="宋体"/>
                <w:b/>
                <w:color w:val="auto"/>
                <w:spacing w:val="-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pacing w:val="-4"/>
                <w:lang w:eastAsia="zh-CN"/>
              </w:rPr>
              <w:t>建筑物结构</w:t>
            </w:r>
          </w:p>
        </w:tc>
        <w:tc>
          <w:tcPr>
            <w:tcW w:w="3336" w:type="dxa"/>
          </w:tcPr>
          <w:p>
            <w:pPr>
              <w:spacing w:after="50"/>
              <w:jc w:val="center"/>
              <w:rPr>
                <w:rFonts w:ascii="宋体" w:hAnsi="宋体" w:eastAsia="宋体" w:cs="宋体"/>
                <w:b/>
                <w:color w:val="auto"/>
                <w:spacing w:val="-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pacing w:val="-4"/>
                <w:lang w:eastAsia="zh-CN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0" w:type="dxa"/>
          </w:tcPr>
          <w:p>
            <w:pPr>
              <w:spacing w:after="50"/>
              <w:jc w:val="center"/>
              <w:rPr>
                <w:rFonts w:ascii="宋体" w:hAnsi="宋体" w:eastAsia="宋体" w:cs="宋体"/>
                <w:bCs/>
                <w:color w:val="auto"/>
                <w:spacing w:val="-4"/>
                <w:lang w:eastAsia="zh-CN"/>
              </w:rPr>
            </w:pPr>
            <w:r>
              <w:rPr>
                <w:color w:val="auto"/>
                <w:spacing w:val="-1"/>
              </w:rPr>
              <w:t>钢、钢筋混凝土型</w:t>
            </w:r>
          </w:p>
        </w:tc>
        <w:tc>
          <w:tcPr>
            <w:tcW w:w="3336" w:type="dxa"/>
          </w:tcPr>
          <w:p>
            <w:pPr>
              <w:spacing w:after="50"/>
              <w:jc w:val="center"/>
              <w:rPr>
                <w:rFonts w:ascii="宋体" w:hAnsi="宋体" w:eastAsia="宋体" w:cs="宋体"/>
                <w:bCs/>
                <w:color w:val="auto"/>
                <w:spacing w:val="-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-4"/>
                <w:lang w:eastAsia="zh-CN"/>
              </w:rPr>
              <w:t>0.70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0" w:type="dxa"/>
          </w:tcPr>
          <w:p>
            <w:pPr>
              <w:spacing w:after="50"/>
              <w:jc w:val="center"/>
              <w:rPr>
                <w:rFonts w:ascii="宋体" w:hAnsi="宋体" w:eastAsia="宋体" w:cs="宋体"/>
                <w:bCs/>
                <w:color w:val="auto"/>
                <w:spacing w:val="-4"/>
                <w:lang w:eastAsia="zh-CN"/>
              </w:rPr>
            </w:pPr>
            <w:r>
              <w:rPr>
                <w:color w:val="auto"/>
                <w:spacing w:val="-2"/>
              </w:rPr>
              <w:t>混合型结构</w:t>
            </w:r>
          </w:p>
        </w:tc>
        <w:tc>
          <w:tcPr>
            <w:tcW w:w="3336" w:type="dxa"/>
          </w:tcPr>
          <w:p>
            <w:pPr>
              <w:spacing w:after="50"/>
              <w:jc w:val="center"/>
              <w:rPr>
                <w:rFonts w:ascii="宋体" w:hAnsi="宋体" w:eastAsia="宋体" w:cs="宋体"/>
                <w:bCs/>
                <w:color w:val="auto"/>
                <w:spacing w:val="-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-4"/>
                <w:lang w:eastAsia="zh-CN"/>
              </w:rPr>
              <w:t>1.00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0" w:type="dxa"/>
          </w:tcPr>
          <w:p>
            <w:pPr>
              <w:spacing w:after="50"/>
              <w:jc w:val="center"/>
              <w:rPr>
                <w:rFonts w:ascii="宋体" w:hAnsi="宋体" w:eastAsia="宋体" w:cs="宋体"/>
                <w:bCs/>
                <w:color w:val="auto"/>
                <w:spacing w:val="-4"/>
                <w:lang w:eastAsia="zh-CN"/>
              </w:rPr>
            </w:pPr>
            <w:r>
              <w:rPr>
                <w:color w:val="auto"/>
                <w:spacing w:val="-2"/>
              </w:rPr>
              <w:t>砖木型结构</w:t>
            </w:r>
          </w:p>
        </w:tc>
        <w:tc>
          <w:tcPr>
            <w:tcW w:w="3336" w:type="dxa"/>
          </w:tcPr>
          <w:p>
            <w:pPr>
              <w:spacing w:after="50"/>
              <w:jc w:val="center"/>
              <w:rPr>
                <w:rFonts w:ascii="宋体" w:hAnsi="宋体" w:eastAsia="宋体" w:cs="宋体"/>
                <w:bCs/>
                <w:color w:val="auto"/>
                <w:spacing w:val="-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-4"/>
                <w:lang w:eastAsia="zh-CN"/>
              </w:rPr>
              <w:t>1.10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450" w:type="dxa"/>
          </w:tcPr>
          <w:p>
            <w:pPr>
              <w:spacing w:after="50"/>
              <w:jc w:val="center"/>
              <w:rPr>
                <w:rFonts w:ascii="宋体" w:hAnsi="宋体" w:eastAsia="宋体" w:cs="宋体"/>
                <w:bCs/>
                <w:color w:val="auto"/>
                <w:spacing w:val="-4"/>
                <w:lang w:eastAsia="zh-CN"/>
              </w:rPr>
            </w:pPr>
            <w:r>
              <w:rPr>
                <w:color w:val="auto"/>
                <w:spacing w:val="-2"/>
              </w:rPr>
              <w:t>纯木及其他结构</w:t>
            </w:r>
          </w:p>
        </w:tc>
        <w:tc>
          <w:tcPr>
            <w:tcW w:w="3336" w:type="dxa"/>
          </w:tcPr>
          <w:p>
            <w:pPr>
              <w:spacing w:after="50"/>
              <w:jc w:val="center"/>
              <w:rPr>
                <w:rFonts w:ascii="宋体" w:hAnsi="宋体" w:eastAsia="宋体" w:cs="宋体"/>
                <w:bCs/>
                <w:color w:val="auto"/>
                <w:spacing w:val="-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-4"/>
                <w:lang w:eastAsia="zh-CN"/>
              </w:rPr>
              <w:t>1.50</w:t>
            </w:r>
          </w:p>
        </w:tc>
      </w:tr>
    </w:tbl>
    <w:p>
      <w:pPr>
        <w:spacing w:after="50"/>
        <w:rPr>
          <w:rFonts w:ascii="宋体" w:hAnsi="宋体" w:eastAsia="PMingLiU" w:cs="宋体"/>
          <w:bCs/>
          <w:color w:val="E46C0A" w:themeColor="accent6" w:themeShade="BF"/>
          <w:spacing w:val="-4"/>
          <w:lang w:eastAsia="zh-TW"/>
        </w:rPr>
      </w:pPr>
    </w:p>
    <w:p>
      <w:pPr>
        <w:spacing w:after="50"/>
        <w:ind w:firstLine="420" w:firstLineChars="200"/>
        <w:rPr>
          <w:rFonts w:ascii="宋体" w:hAnsi="宋体" w:eastAsia="宋体" w:cs="宋体"/>
          <w:bCs/>
          <w:color w:val="auto"/>
          <w:spacing w:val="-4"/>
          <w:lang w:eastAsia="zh-CN"/>
        </w:rPr>
      </w:pPr>
      <w:r>
        <w:rPr>
          <w:rFonts w:hint="eastAsia" w:ascii="宋体" w:hAnsi="宋体" w:eastAsia="PMingLiU" w:cs="宋体"/>
          <w:color w:val="auto"/>
          <w:lang w:eastAsia="zh-CN"/>
        </w:rPr>
        <w:t>4</w:t>
      </w:r>
      <w:r>
        <w:rPr>
          <w:rFonts w:hint="eastAsia" w:ascii="宋体" w:hAnsi="宋体" w:eastAsia="宋体" w:cs="宋体"/>
          <w:color w:val="auto"/>
          <w:lang w:eastAsia="zh-CN"/>
        </w:rPr>
        <w:t>、</w:t>
      </w:r>
      <w:r>
        <w:rPr>
          <w:rFonts w:hint="eastAsia" w:ascii="宋体" w:hAnsi="宋体" w:eastAsia="宋体" w:cs="宋体"/>
          <w:bCs/>
          <w:color w:val="auto"/>
          <w:spacing w:val="-4"/>
          <w:lang w:eastAsia="zh-CN"/>
        </w:rPr>
        <w:t>缴费方式调整系数（F</w:t>
      </w:r>
      <w:r>
        <w:rPr>
          <w:rFonts w:hint="eastAsia" w:ascii="宋体" w:hAnsi="宋体" w:eastAsia="PMingLiU" w:cs="宋体"/>
          <w:bCs/>
          <w:color w:val="auto"/>
          <w:spacing w:val="-4"/>
          <w:lang w:eastAsia="zh-CN"/>
        </w:rPr>
        <w:t>4</w:t>
      </w:r>
      <w:r>
        <w:rPr>
          <w:rFonts w:hint="eastAsia" w:ascii="宋体" w:hAnsi="宋体" w:eastAsia="宋体" w:cs="宋体"/>
          <w:bCs/>
          <w:color w:val="auto"/>
          <w:spacing w:val="-4"/>
          <w:lang w:eastAsia="zh-CN"/>
        </w:rPr>
        <w:t>）</w:t>
      </w:r>
    </w:p>
    <w:tbl>
      <w:tblPr>
        <w:tblStyle w:val="6"/>
        <w:tblW w:w="6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7"/>
        <w:gridCol w:w="33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7" w:type="dxa"/>
          </w:tcPr>
          <w:p>
            <w:pPr>
              <w:spacing w:after="50"/>
              <w:jc w:val="center"/>
              <w:rPr>
                <w:rFonts w:ascii="宋体" w:hAnsi="宋体" w:eastAsia="宋体" w:cs="宋体"/>
                <w:b/>
                <w:color w:val="auto"/>
                <w:spacing w:val="-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pacing w:val="-4"/>
                <w:lang w:eastAsia="zh-CN"/>
              </w:rPr>
              <w:t>缴费方式</w:t>
            </w:r>
          </w:p>
        </w:tc>
        <w:tc>
          <w:tcPr>
            <w:tcW w:w="3313" w:type="dxa"/>
          </w:tcPr>
          <w:p>
            <w:pPr>
              <w:spacing w:after="50"/>
              <w:jc w:val="center"/>
              <w:rPr>
                <w:rFonts w:ascii="宋体" w:hAnsi="宋体" w:eastAsia="宋体" w:cs="宋体"/>
                <w:b/>
                <w:color w:val="auto"/>
                <w:spacing w:val="-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pacing w:val="-4"/>
                <w:lang w:eastAsia="zh-CN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7" w:type="dxa"/>
          </w:tcPr>
          <w:p>
            <w:pPr>
              <w:spacing w:after="50"/>
              <w:jc w:val="center"/>
              <w:rPr>
                <w:rFonts w:ascii="宋体" w:hAnsi="宋体" w:eastAsia="宋体" w:cs="宋体"/>
                <w:bCs/>
                <w:color w:val="auto"/>
                <w:spacing w:val="-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-4"/>
                <w:lang w:eastAsia="zh-CN"/>
              </w:rPr>
              <w:t>按月缴费</w:t>
            </w:r>
          </w:p>
        </w:tc>
        <w:tc>
          <w:tcPr>
            <w:tcW w:w="3313" w:type="dxa"/>
          </w:tcPr>
          <w:p>
            <w:pPr>
              <w:spacing w:after="50"/>
              <w:jc w:val="center"/>
              <w:rPr>
                <w:rFonts w:ascii="宋体" w:hAnsi="宋体" w:eastAsia="宋体" w:cs="宋体"/>
                <w:bCs/>
                <w:color w:val="auto"/>
                <w:spacing w:val="-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-4"/>
                <w:lang w:eastAsia="zh-CN"/>
              </w:rPr>
              <w:t>[1.0,1.10]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7" w:type="dxa"/>
          </w:tcPr>
          <w:p>
            <w:pPr>
              <w:spacing w:after="50"/>
              <w:jc w:val="center"/>
              <w:rPr>
                <w:rFonts w:ascii="宋体" w:hAnsi="宋体" w:eastAsia="宋体" w:cs="宋体"/>
                <w:bCs/>
                <w:color w:val="auto"/>
                <w:spacing w:val="-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-4"/>
                <w:lang w:eastAsia="zh-CN"/>
              </w:rPr>
              <w:t>按季缴费</w:t>
            </w:r>
          </w:p>
        </w:tc>
        <w:tc>
          <w:tcPr>
            <w:tcW w:w="3313" w:type="dxa"/>
          </w:tcPr>
          <w:p>
            <w:pPr>
              <w:spacing w:after="50"/>
              <w:jc w:val="center"/>
              <w:rPr>
                <w:rFonts w:ascii="宋体" w:hAnsi="宋体" w:eastAsia="宋体" w:cs="宋体"/>
                <w:bCs/>
                <w:color w:val="auto"/>
                <w:spacing w:val="-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-4"/>
                <w:lang w:eastAsia="zh-CN"/>
              </w:rPr>
              <w:t>[1.0,1.05]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7" w:type="dxa"/>
          </w:tcPr>
          <w:p>
            <w:pPr>
              <w:spacing w:after="50"/>
              <w:jc w:val="center"/>
              <w:rPr>
                <w:rFonts w:ascii="宋体" w:hAnsi="宋体" w:eastAsia="宋体" w:cs="宋体"/>
                <w:bCs/>
                <w:color w:val="auto"/>
                <w:spacing w:val="-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-4"/>
                <w:lang w:eastAsia="zh-CN"/>
              </w:rPr>
              <w:t>一次性缴清</w:t>
            </w:r>
          </w:p>
        </w:tc>
        <w:tc>
          <w:tcPr>
            <w:tcW w:w="3313" w:type="dxa"/>
          </w:tcPr>
          <w:p>
            <w:pPr>
              <w:spacing w:after="50"/>
              <w:jc w:val="center"/>
              <w:rPr>
                <w:rFonts w:ascii="宋体" w:hAnsi="宋体" w:eastAsia="宋体" w:cs="宋体"/>
                <w:bCs/>
                <w:color w:val="auto"/>
                <w:spacing w:val="-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-4"/>
                <w:lang w:eastAsia="zh-CN"/>
              </w:rPr>
              <w:t>[0.95,1.0]</w:t>
            </w:r>
          </w:p>
        </w:tc>
      </w:tr>
    </w:tbl>
    <w:p>
      <w:pPr>
        <w:spacing w:after="50"/>
        <w:rPr>
          <w:rFonts w:hint="eastAsia" w:ascii="宋体" w:hAnsi="宋体" w:eastAsia="PMingLiU" w:cs="宋体"/>
          <w:bCs/>
          <w:color w:val="E46C0A" w:themeColor="accent6" w:themeShade="BF"/>
          <w:spacing w:val="-4"/>
          <w:lang w:eastAsia="zh-TW"/>
        </w:rPr>
      </w:pPr>
    </w:p>
    <w:p>
      <w:pPr>
        <w:numPr>
          <w:ilvl w:val="0"/>
          <w:numId w:val="3"/>
        </w:numPr>
        <w:spacing w:after="50"/>
        <w:ind w:firstLine="426" w:firstLineChars="202"/>
        <w:rPr>
          <w:rStyle w:val="9"/>
          <w:rFonts w:ascii="宋体" w:hAnsi="宋体" w:eastAsia="宋体" w:cs="宋体"/>
          <w:b/>
          <w:bCs/>
          <w:color w:val="auto"/>
          <w:lang w:eastAsia="zh-CN"/>
        </w:rPr>
      </w:pPr>
      <w:r>
        <w:rPr>
          <w:rStyle w:val="9"/>
          <w:rFonts w:hint="eastAsia" w:ascii="宋体" w:hAnsi="宋体" w:eastAsia="宋体" w:cs="宋体"/>
          <w:b/>
          <w:bCs/>
          <w:color w:val="auto"/>
          <w:lang w:eastAsia="zh-CN"/>
        </w:rPr>
        <w:t>仅适用于意外伤害医疗保险责任</w:t>
      </w:r>
    </w:p>
    <w:p>
      <w:pPr>
        <w:spacing w:after="50"/>
        <w:ind w:firstLine="420" w:firstLineChars="200"/>
        <w:rPr>
          <w:rFonts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  <w:lang w:eastAsia="zh-CN"/>
        </w:rPr>
        <w:t>5、免赔额调整系数(F5)</w:t>
      </w:r>
      <w:r>
        <w:rPr>
          <w:rFonts w:hint="eastAsia" w:ascii="宋体" w:hAnsi="宋体" w:eastAsia="宋体" w:cs="宋体"/>
          <w:bCs/>
          <w:color w:val="auto"/>
          <w:spacing w:val="-4"/>
          <w:lang w:eastAsia="zh-CN"/>
        </w:rPr>
        <w:t>：</w:t>
      </w:r>
      <w:r>
        <w:rPr>
          <w:rStyle w:val="9"/>
          <w:rFonts w:hint="eastAsia" w:ascii="宋体" w:hAnsi="宋体" w:eastAsia="宋体" w:cs="宋体"/>
          <w:color w:val="auto"/>
          <w:lang w:eastAsia="zh-CN"/>
        </w:rPr>
        <w:t xml:space="preserve"> </w:t>
      </w:r>
    </w:p>
    <w:tbl>
      <w:tblPr>
        <w:tblStyle w:val="7"/>
        <w:tblW w:w="67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77"/>
        <w:gridCol w:w="3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477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b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color w:val="auto"/>
              </w:rPr>
              <w:t>免赔额（元）</w:t>
            </w:r>
          </w:p>
        </w:tc>
        <w:tc>
          <w:tcPr>
            <w:tcW w:w="3271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b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color w:val="auto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477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</w:rPr>
              <w:t>0,200]</w:t>
            </w:r>
          </w:p>
        </w:tc>
        <w:tc>
          <w:tcPr>
            <w:tcW w:w="3271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</w:rPr>
              <w:t>1.0</w:t>
            </w:r>
            <w:r>
              <w:rPr>
                <w:rFonts w:ascii="宋体" w:hAnsi="宋体" w:eastAsia="宋体" w:cs="宋体"/>
                <w:color w:val="auto"/>
              </w:rPr>
              <w:t>,1.2]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477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(200,500]</w:t>
            </w:r>
          </w:p>
        </w:tc>
        <w:tc>
          <w:tcPr>
            <w:tcW w:w="3271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</w:rPr>
              <w:t>0.9</w:t>
            </w:r>
            <w:r>
              <w:rPr>
                <w:rFonts w:ascii="宋体" w:hAnsi="宋体" w:eastAsia="宋体" w:cs="宋体"/>
                <w:color w:val="auto"/>
              </w:rPr>
              <w:t>,1.0</w:t>
            </w: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477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500以上</w:t>
            </w:r>
          </w:p>
        </w:tc>
        <w:tc>
          <w:tcPr>
            <w:tcW w:w="3271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</w:rPr>
              <w:t>0.8</w:t>
            </w:r>
            <w:r>
              <w:rPr>
                <w:rFonts w:ascii="宋体" w:hAnsi="宋体" w:eastAsia="宋体" w:cs="宋体"/>
                <w:color w:val="auto"/>
              </w:rPr>
              <w:t>,0.9)</w:t>
            </w:r>
          </w:p>
        </w:tc>
      </w:tr>
    </w:tbl>
    <w:p>
      <w:pPr>
        <w:spacing w:after="50"/>
        <w:rPr>
          <w:rFonts w:hint="eastAsia" w:ascii="宋体" w:hAnsi="宋体" w:eastAsia="PMingLiU" w:cs="宋体"/>
          <w:color w:val="auto"/>
          <w:lang w:eastAsia="zh-CN"/>
        </w:rPr>
      </w:pPr>
      <w:r>
        <w:rPr>
          <w:rFonts w:hint="eastAsia" w:ascii="宋体" w:hAnsi="宋体" w:eastAsia="PMingLiU" w:cs="宋体"/>
          <w:color w:val="E46C0A" w:themeColor="accent6" w:themeShade="BF"/>
          <w:lang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lang w:eastAsia="zh-CN"/>
        </w:rPr>
        <w:t>注：免赔额最高不超过</w:t>
      </w:r>
      <w:r>
        <w:rPr>
          <w:rFonts w:ascii="宋体" w:hAnsi="宋体" w:eastAsia="宋体" w:cs="宋体"/>
          <w:color w:val="auto"/>
          <w:lang w:eastAsia="zh-CN"/>
        </w:rPr>
        <w:t>50,000</w:t>
      </w:r>
      <w:r>
        <w:rPr>
          <w:rFonts w:hint="eastAsia" w:ascii="宋体" w:hAnsi="宋体" w:eastAsia="宋体" w:cs="宋体"/>
          <w:color w:val="auto"/>
          <w:lang w:eastAsia="zh-CN"/>
        </w:rPr>
        <w:t>元</w:t>
      </w:r>
    </w:p>
    <w:p>
      <w:pPr>
        <w:spacing w:after="50"/>
        <w:rPr>
          <w:rFonts w:hint="eastAsia" w:ascii="宋体" w:hAnsi="宋体" w:eastAsia="PMingLiU" w:cs="宋体"/>
          <w:color w:val="E46C0A" w:themeColor="accent6" w:themeShade="BF"/>
          <w:lang w:eastAsia="zh-CN"/>
        </w:rPr>
      </w:pPr>
    </w:p>
    <w:p>
      <w:pPr>
        <w:spacing w:after="50"/>
        <w:ind w:firstLine="420" w:firstLineChars="200"/>
        <w:rPr>
          <w:rFonts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  <w:lang w:eastAsia="zh-CN"/>
        </w:rPr>
        <w:t>6、赔付比例调整系数(F6)：</w:t>
      </w:r>
      <w:r>
        <w:rPr>
          <w:rStyle w:val="9"/>
          <w:rFonts w:hint="eastAsia" w:ascii="宋体" w:hAnsi="宋体" w:eastAsia="宋体" w:cs="宋体"/>
          <w:color w:val="auto"/>
          <w:lang w:eastAsia="zh-CN"/>
        </w:rPr>
        <w:t>按照意外伤害医疗保险金赔付比例</w:t>
      </w:r>
      <w:r>
        <w:rPr>
          <w:rFonts w:hint="eastAsia" w:ascii="宋体" w:hAnsi="宋体" w:eastAsia="宋体" w:cs="宋体"/>
          <w:color w:val="auto"/>
          <w:lang w:eastAsia="zh-CN"/>
        </w:rPr>
        <w:t>，进行划分。</w:t>
      </w:r>
    </w:p>
    <w:tbl>
      <w:tblPr>
        <w:tblStyle w:val="7"/>
        <w:tblW w:w="8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4"/>
        <w:gridCol w:w="2807"/>
        <w:gridCol w:w="28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2904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b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4"/>
                <w:lang w:eastAsia="zh-CN"/>
              </w:rPr>
              <w:t>若被保险人以参加基本医疗保险身份就诊并结算的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lang w:eastAsia="zh-CN"/>
              </w:rPr>
              <w:t>赔付比例</w:t>
            </w:r>
          </w:p>
        </w:tc>
        <w:tc>
          <w:tcPr>
            <w:tcW w:w="2807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b/>
                <w:bCs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4"/>
                <w:lang w:eastAsia="zh-CN"/>
              </w:rPr>
              <w:t>若被保险人未以参加基本医疗保险身份就诊并结算的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lang w:eastAsia="zh-CN"/>
              </w:rPr>
              <w:t>赔付比例</w:t>
            </w:r>
          </w:p>
        </w:tc>
        <w:tc>
          <w:tcPr>
            <w:tcW w:w="2807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b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color w:val="auto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2904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bCs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lang w:eastAsia="zh-CN"/>
              </w:rPr>
              <w:t>100%</w:t>
            </w:r>
          </w:p>
        </w:tc>
        <w:tc>
          <w:tcPr>
            <w:tcW w:w="2807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bCs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lang w:eastAsia="zh-CN"/>
              </w:rPr>
              <w:t>60%</w:t>
            </w:r>
          </w:p>
        </w:tc>
        <w:tc>
          <w:tcPr>
            <w:tcW w:w="2807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bCs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lang w:eastAsia="zh-CN"/>
              </w:rPr>
              <w:t>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2904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bCs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lang w:eastAsia="zh-CN"/>
              </w:rPr>
              <w:t>90%</w:t>
            </w:r>
          </w:p>
        </w:tc>
        <w:tc>
          <w:tcPr>
            <w:tcW w:w="2807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bCs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lang w:eastAsia="zh-CN"/>
              </w:rPr>
              <w:t>54%</w:t>
            </w:r>
          </w:p>
        </w:tc>
        <w:tc>
          <w:tcPr>
            <w:tcW w:w="2807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lang w:eastAsia="zh-CN"/>
              </w:rPr>
              <w:t>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2904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bCs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lang w:eastAsia="zh-CN"/>
              </w:rPr>
              <w:t>80%</w:t>
            </w:r>
          </w:p>
        </w:tc>
        <w:tc>
          <w:tcPr>
            <w:tcW w:w="2807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bCs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lang w:eastAsia="zh-CN"/>
              </w:rPr>
              <w:t>48%</w:t>
            </w:r>
          </w:p>
        </w:tc>
        <w:tc>
          <w:tcPr>
            <w:tcW w:w="2807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bCs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lang w:eastAsia="zh-CN"/>
              </w:rPr>
              <w:t>0.9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2904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bCs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lang w:eastAsia="zh-CN"/>
              </w:rPr>
              <w:t>70%</w:t>
            </w:r>
          </w:p>
        </w:tc>
        <w:tc>
          <w:tcPr>
            <w:tcW w:w="2807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bCs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lang w:eastAsia="zh-CN"/>
              </w:rPr>
              <w:t>42%</w:t>
            </w:r>
          </w:p>
        </w:tc>
        <w:tc>
          <w:tcPr>
            <w:tcW w:w="2807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bCs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lang w:eastAsia="zh-CN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2904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bCs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lang w:eastAsia="zh-CN"/>
              </w:rPr>
              <w:t>60%</w:t>
            </w:r>
          </w:p>
        </w:tc>
        <w:tc>
          <w:tcPr>
            <w:tcW w:w="2807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bCs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lang w:eastAsia="zh-CN"/>
              </w:rPr>
              <w:t>36%</w:t>
            </w:r>
          </w:p>
        </w:tc>
        <w:tc>
          <w:tcPr>
            <w:tcW w:w="2807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bCs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lang w:eastAsia="zh-CN"/>
              </w:rPr>
              <w:t>0.7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2904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bCs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lang w:eastAsia="zh-CN"/>
              </w:rPr>
              <w:t>50%</w:t>
            </w:r>
          </w:p>
        </w:tc>
        <w:tc>
          <w:tcPr>
            <w:tcW w:w="2807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bCs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lang w:eastAsia="zh-CN"/>
              </w:rPr>
              <w:t>30%</w:t>
            </w:r>
          </w:p>
        </w:tc>
        <w:tc>
          <w:tcPr>
            <w:tcW w:w="2807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bCs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lang w:eastAsia="zh-CN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2904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bCs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lang w:eastAsia="zh-CN"/>
              </w:rPr>
              <w:t>40%</w:t>
            </w:r>
          </w:p>
        </w:tc>
        <w:tc>
          <w:tcPr>
            <w:tcW w:w="2807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bCs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lang w:eastAsia="zh-CN"/>
              </w:rPr>
              <w:t>24%</w:t>
            </w:r>
          </w:p>
        </w:tc>
        <w:tc>
          <w:tcPr>
            <w:tcW w:w="2807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bCs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lang w:eastAsia="zh-CN"/>
              </w:rPr>
              <w:t>0.4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2904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bCs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lang w:eastAsia="zh-CN"/>
              </w:rPr>
              <w:t>30%</w:t>
            </w:r>
          </w:p>
        </w:tc>
        <w:tc>
          <w:tcPr>
            <w:tcW w:w="2807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bCs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lang w:eastAsia="zh-CN"/>
              </w:rPr>
              <w:t>18%</w:t>
            </w:r>
          </w:p>
        </w:tc>
        <w:tc>
          <w:tcPr>
            <w:tcW w:w="2807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bCs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lang w:eastAsia="zh-CN"/>
              </w:rPr>
              <w:t>0.3</w:t>
            </w:r>
          </w:p>
        </w:tc>
      </w:tr>
    </w:tbl>
    <w:p>
      <w:pPr>
        <w:spacing w:after="50"/>
        <w:rPr>
          <w:rFonts w:ascii="宋体" w:hAnsi="宋体" w:eastAsia="宋体" w:cs="宋体"/>
          <w:color w:val="E46C0A" w:themeColor="accent6" w:themeShade="BF"/>
          <w:lang w:eastAsia="zh-CN"/>
        </w:rPr>
      </w:pPr>
    </w:p>
    <w:p>
      <w:pPr>
        <w:spacing w:after="50"/>
        <w:ind w:firstLine="420"/>
        <w:rPr>
          <w:rFonts w:hint="eastAsia" w:ascii="宋体" w:hAnsi="宋体" w:eastAsia="宋体" w:cs="宋体"/>
          <w:b/>
          <w:color w:val="auto"/>
        </w:rPr>
      </w:pPr>
      <w:r>
        <w:rPr>
          <w:rFonts w:hint="eastAsia" w:ascii="宋体" w:hAnsi="宋体" w:eastAsia="宋体" w:cs="宋体"/>
          <w:b/>
          <w:color w:val="auto"/>
        </w:rPr>
        <w:t>三、保险费计算公式</w:t>
      </w:r>
    </w:p>
    <w:p>
      <w:pPr>
        <w:pStyle w:val="3"/>
        <w:spacing w:before="255" w:line="360" w:lineRule="auto"/>
        <w:ind w:left="442"/>
        <w:rPr>
          <w:rFonts w:hint="eastAsia" w:ascii="宋体" w:hAnsi="宋体" w:eastAsia="宋体" w:cs="宋体"/>
          <w:bCs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  <w:spacing w:val="-1"/>
          <w:lang w:eastAsia="zh-CN"/>
        </w:rPr>
        <w:t>1、</w:t>
      </w:r>
      <w:r>
        <w:rPr>
          <w:rFonts w:hint="eastAsia" w:ascii="宋体" w:hAnsi="宋体" w:eastAsia="宋体" w:cs="宋体"/>
          <w:bCs/>
          <w:color w:val="auto"/>
          <w:lang w:eastAsia="zh-CN"/>
        </w:rPr>
        <w:t>投保人选择一次性缴清保险费：</w:t>
      </w:r>
    </w:p>
    <w:p>
      <w:pPr>
        <w:pStyle w:val="3"/>
        <w:spacing w:before="255" w:line="360" w:lineRule="auto"/>
        <w:ind w:left="442"/>
        <w:rPr>
          <w:rFonts w:hint="eastAsia" w:ascii="宋体" w:hAnsi="宋体" w:eastAsia="宋体" w:cs="宋体"/>
          <w:color w:val="auto"/>
          <w:spacing w:val="-2"/>
          <w:lang w:eastAsia="zh-CN"/>
        </w:rPr>
      </w:pPr>
      <w:r>
        <w:rPr>
          <w:rFonts w:hint="eastAsia" w:ascii="宋体" w:hAnsi="宋体" w:eastAsia="宋体" w:cs="宋体"/>
          <w:color w:val="auto"/>
          <w:spacing w:val="-1"/>
          <w:lang w:eastAsia="zh-CN"/>
        </w:rPr>
        <w:t>年保险费=</w:t>
      </w:r>
      <w:r>
        <w:rPr>
          <w:rFonts w:hint="eastAsia" w:ascii="宋体" w:hAnsi="宋体" w:eastAsia="宋体" w:cs="宋体"/>
          <w:color w:val="auto"/>
          <w:spacing w:val="-1"/>
        </w:rPr>
        <w:t>Σ</w:t>
      </w:r>
      <w:r>
        <w:rPr>
          <w:rFonts w:hint="eastAsia" w:ascii="宋体" w:hAnsi="宋体" w:eastAsia="宋体" w:cs="宋体"/>
          <w:color w:val="auto"/>
          <w:spacing w:val="-1"/>
          <w:lang w:eastAsia="zh-CN"/>
        </w:rPr>
        <w:t>每项责任保险金额×保险责任</w:t>
      </w:r>
      <w:r>
        <w:rPr>
          <w:rFonts w:hint="eastAsia" w:ascii="宋体" w:hAnsi="宋体" w:eastAsia="宋体" w:cs="宋体"/>
          <w:color w:val="auto"/>
          <w:spacing w:val="-2"/>
          <w:lang w:eastAsia="zh-CN"/>
        </w:rPr>
        <w:t>对应的基准费率</w:t>
      </w:r>
      <w:r>
        <w:rPr>
          <w:rFonts w:hint="eastAsia" w:ascii="宋体" w:hAnsi="宋体" w:eastAsia="宋体" w:cs="宋体"/>
          <w:color w:val="auto"/>
          <w:spacing w:val="-45"/>
          <w:lang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2"/>
          <w:lang w:eastAsia="zh-CN"/>
        </w:rPr>
        <w:t>×保险责任对应费率调整系数之积</w:t>
      </w:r>
      <w:bookmarkStart w:id="1" w:name="_GoBack"/>
      <w:bookmarkEnd w:id="1"/>
    </w:p>
    <w:p>
      <w:pPr>
        <w:pStyle w:val="3"/>
        <w:spacing w:before="255" w:line="360" w:lineRule="auto"/>
        <w:ind w:left="442"/>
        <w:rPr>
          <w:rFonts w:hint="eastAsia" w:ascii="宋体" w:hAnsi="宋体" w:eastAsia="宋体" w:cs="宋体"/>
          <w:color w:val="auto"/>
          <w:spacing w:val="-1"/>
          <w:lang w:eastAsia="zh-CN"/>
        </w:rPr>
      </w:pPr>
      <w:r>
        <w:rPr>
          <w:rFonts w:hint="eastAsia" w:ascii="宋体" w:hAnsi="宋体" w:eastAsia="宋体" w:cs="宋体"/>
          <w:color w:val="auto"/>
          <w:spacing w:val="-1"/>
          <w:lang w:eastAsia="zh-CN"/>
        </w:rPr>
        <w:t>2、保险合同按分期缴付保险费，根据保险费分期支付期数，使用如下公式计收每期保险费：</w:t>
      </w:r>
    </w:p>
    <w:p>
      <w:pPr>
        <w:pStyle w:val="3"/>
        <w:spacing w:before="285" w:line="360" w:lineRule="auto"/>
        <w:ind w:left="450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  <w:spacing w:val="-7"/>
          <w:position w:val="25"/>
          <w:lang w:eastAsia="zh-CN"/>
        </w:rPr>
        <w:t>每期保险费（按四舍五入计算）</w:t>
      </w:r>
      <w:r>
        <w:rPr>
          <w:rFonts w:hint="eastAsia" w:ascii="宋体" w:hAnsi="宋体" w:eastAsia="宋体" w:cs="宋体"/>
          <w:color w:val="auto"/>
          <w:spacing w:val="39"/>
          <w:w w:val="101"/>
          <w:position w:val="25"/>
          <w:lang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7"/>
          <w:position w:val="25"/>
          <w:lang w:eastAsia="zh-CN"/>
        </w:rPr>
        <w:t>=年保险费</w:t>
      </w:r>
      <w:r>
        <w:rPr>
          <w:rFonts w:hint="eastAsia" w:ascii="宋体" w:hAnsi="宋体" w:eastAsia="宋体" w:cs="宋体"/>
          <w:color w:val="auto"/>
          <w:spacing w:val="-7"/>
          <w:position w:val="25"/>
          <w:lang w:val="en-US" w:eastAsia="zh-CN"/>
        </w:rPr>
        <w:t>÷</w:t>
      </w:r>
      <w:r>
        <w:rPr>
          <w:rFonts w:hint="eastAsia" w:ascii="宋体" w:hAnsi="宋体" w:eastAsia="宋体" w:cs="宋体"/>
          <w:color w:val="auto"/>
          <w:spacing w:val="-7"/>
          <w:position w:val="25"/>
          <w:lang w:eastAsia="zh-CN"/>
        </w:rPr>
        <w:t>分期缴费期数</w:t>
      </w:r>
    </w:p>
    <w:p>
      <w:pPr>
        <w:pStyle w:val="3"/>
        <w:spacing w:before="1" w:line="360" w:lineRule="auto"/>
        <w:ind w:left="433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  <w:spacing w:val="-2"/>
          <w:lang w:eastAsia="zh-CN"/>
        </w:rPr>
        <w:t>注：本产品涉及分期缴费，每期缴费金额一致。</w:t>
      </w:r>
    </w:p>
    <w:p>
      <w:pPr>
        <w:pStyle w:val="3"/>
        <w:spacing w:before="255" w:line="176" w:lineRule="auto"/>
        <w:ind w:left="445"/>
        <w:rPr>
          <w:color w:val="auto"/>
          <w:spacing w:val="-2"/>
          <w:lang w:eastAsia="zh-CN"/>
        </w:rPr>
      </w:pPr>
    </w:p>
    <w:p>
      <w:pPr>
        <w:numPr>
          <w:ilvl w:val="0"/>
          <w:numId w:val="4"/>
        </w:numPr>
        <w:spacing w:after="50"/>
        <w:ind w:firstLine="420"/>
        <w:rPr>
          <w:rFonts w:ascii="宋体" w:hAnsi="宋体" w:eastAsia="宋体" w:cs="宋体"/>
          <w:b/>
          <w:color w:val="auto"/>
        </w:rPr>
      </w:pPr>
      <w:r>
        <w:rPr>
          <w:rFonts w:hint="eastAsia" w:ascii="宋体" w:hAnsi="宋体" w:eastAsia="宋体" w:cs="宋体"/>
          <w:b/>
          <w:color w:val="auto"/>
        </w:rPr>
        <w:t>短期费率表</w:t>
      </w:r>
    </w:p>
    <w:p>
      <w:pPr>
        <w:spacing w:after="50"/>
        <w:ind w:firstLine="420"/>
        <w:rPr>
          <w:rFonts w:ascii="宋体" w:hAnsi="宋体" w:eastAsia="宋体" w:cs="宋体"/>
          <w:b/>
          <w:color w:val="auto"/>
        </w:rPr>
      </w:pPr>
    </w:p>
    <w:p>
      <w:pPr>
        <w:spacing w:line="360" w:lineRule="auto"/>
        <w:ind w:firstLine="482"/>
        <w:rPr>
          <w:rFonts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  <w:lang w:eastAsia="zh-CN" w:bidi="ar"/>
        </w:rPr>
        <w:t>保险期间不足一年的，按以下标准计算短期保险费（按年保险费的百分比计算，不足一个月的按一个月计算）：</w:t>
      </w:r>
    </w:p>
    <w:tbl>
      <w:tblPr>
        <w:tblStyle w:val="6"/>
        <w:tblW w:w="84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7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bidi="ar"/>
              </w:rPr>
              <w:t>保险期间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bidi="ar"/>
              </w:rPr>
              <w:t>一个月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bidi="ar"/>
              </w:rPr>
              <w:t>二个月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bidi="ar"/>
              </w:rPr>
              <w:t>三个月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bidi="ar"/>
              </w:rPr>
              <w:t>四个月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bidi="ar"/>
              </w:rPr>
              <w:t>五个月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bidi="ar"/>
              </w:rPr>
              <w:t>六个月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bidi="ar"/>
              </w:rPr>
              <w:t>七个月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bidi="ar"/>
              </w:rPr>
              <w:t>八个月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bidi="ar"/>
              </w:rPr>
              <w:t>九个月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bidi="ar"/>
              </w:rPr>
              <w:t>十个月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bidi="ar"/>
              </w:rPr>
              <w:t>十一个月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bidi="ar"/>
              </w:rPr>
              <w:t>十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bidi="ar"/>
              </w:rPr>
              <w:t>二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bidi="ar"/>
              </w:rPr>
              <w:t>个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bidi="ar"/>
              </w:rPr>
              <w:t>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bidi="ar"/>
              </w:rPr>
              <w:t>年保险费的百分比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bidi="ar"/>
              </w:rPr>
              <w:t>10%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bidi="ar"/>
              </w:rPr>
              <w:t>20%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bidi="ar"/>
              </w:rPr>
              <w:t>30%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bidi="ar"/>
              </w:rPr>
              <w:t>40%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bidi="ar"/>
              </w:rPr>
              <w:t>50%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bidi="ar"/>
              </w:rPr>
              <w:t>60%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bidi="ar"/>
              </w:rPr>
              <w:t>70%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bidi="ar"/>
              </w:rPr>
              <w:t>80%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bidi="ar"/>
              </w:rPr>
              <w:t>85%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bidi="ar"/>
              </w:rPr>
              <w:t>90%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bidi="ar"/>
              </w:rPr>
              <w:t>95%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bidi="ar"/>
              </w:rPr>
              <w:t>100%</w:t>
            </w:r>
          </w:p>
        </w:tc>
      </w:tr>
    </w:tbl>
    <w:p>
      <w:pPr>
        <w:spacing w:line="360" w:lineRule="auto"/>
        <w:rPr>
          <w:rFonts w:ascii="宋体" w:hAnsi="宋体" w:eastAsia="宋体" w:cs="宋体"/>
          <w:color w:val="E46C0A" w:themeColor="accent6" w:themeShade="BF"/>
        </w:rPr>
      </w:pPr>
    </w:p>
    <w:p>
      <w:pPr>
        <w:spacing w:after="50"/>
        <w:ind w:firstLine="420"/>
        <w:rPr>
          <w:rFonts w:ascii="宋体" w:hAnsi="宋体" w:eastAsia="宋体" w:cs="宋体"/>
          <w:b/>
        </w:rPr>
      </w:pPr>
    </w:p>
    <w:p>
      <w:pPr>
        <w:pStyle w:val="3"/>
      </w:pPr>
    </w:p>
    <w:p>
      <w:pPr>
        <w:pStyle w:val="3"/>
        <w:spacing w:before="43" w:line="218" w:lineRule="exact"/>
        <w:jc w:val="right"/>
        <w:rPr>
          <w:sz w:val="15"/>
          <w:szCs w:val="15"/>
        </w:rPr>
      </w:pPr>
    </w:p>
    <w:sectPr>
      <w:headerReference r:id="rId3" w:type="default"/>
      <w:pgSz w:w="11900" w:h="16839"/>
      <w:pgMar w:top="1440" w:right="1800" w:bottom="1440" w:left="1800" w:header="268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45" w:line="162" w:lineRule="exact"/>
      <w:ind w:left="4973"/>
      <w:rPr>
        <w:sz w:val="15"/>
        <w:szCs w:val="15"/>
      </w:rPr>
    </w:pPr>
    <w:r>
      <w:pict>
        <v:shape id="_x0000_s3073" o:spid="_x0000_s3073" o:spt="202" type="#_x0000_t202" style="position:absolute;left:0pt;margin-left:-1pt;margin-top:-1pt;height:12.9pt;width:59pt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3"/>
                  <w:spacing w:before="20" w:line="217" w:lineRule="exact"/>
                  <w:ind w:left="20"/>
                  <w:rPr>
                    <w:sz w:val="15"/>
                    <w:szCs w:val="15"/>
                  </w:rPr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85538F"/>
    <w:multiLevelType w:val="singleLevel"/>
    <w:tmpl w:val="B885538F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D38867B"/>
    <w:multiLevelType w:val="singleLevel"/>
    <w:tmpl w:val="BD38867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E0B618FF"/>
    <w:multiLevelType w:val="singleLevel"/>
    <w:tmpl w:val="E0B618FF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4E2D263F"/>
    <w:multiLevelType w:val="singleLevel"/>
    <w:tmpl w:val="4E2D263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1"/>
  <w:bordersDoNotSurroundFooter w:val="1"/>
  <w:documentProtection w:enforcement="0"/>
  <w:defaultTabStop w:val="420"/>
  <w:characterSpacingControl w:val="doNotCompress"/>
  <w:hdrShapeDefaults>
    <o:shapelayout v:ext="edit">
      <o:idmap v:ext="edit" data="1,3"/>
    </o:shapelayout>
  </w:hdrShapeDefaults>
  <w:compat>
    <w:spaceForUL/>
    <w:ulTrailSpace/>
    <w:useFELayout/>
    <w:compatSetting w:name="compatibilityMode" w:uri="http://schemas.microsoft.com/office/word" w:val="14"/>
  </w:compat>
  <w:docVars>
    <w:docVar w:name="commondata" w:val="eyJoZGlkIjoiMDMwNDRhNmFmMzRlYTIyMDYzYjY3ZTY3MmRkZWYyNzUifQ=="/>
  </w:docVars>
  <w:rsids>
    <w:rsidRoot w:val="00EE08D4"/>
    <w:rsid w:val="000D501D"/>
    <w:rsid w:val="002C1789"/>
    <w:rsid w:val="002E2ECF"/>
    <w:rsid w:val="00890479"/>
    <w:rsid w:val="00CB6D35"/>
    <w:rsid w:val="00EE08D4"/>
    <w:rsid w:val="05E03D0C"/>
    <w:rsid w:val="0A9B1949"/>
    <w:rsid w:val="0EB6597B"/>
    <w:rsid w:val="12D24DF0"/>
    <w:rsid w:val="1C96437F"/>
    <w:rsid w:val="1F205874"/>
    <w:rsid w:val="1F8A0E6D"/>
    <w:rsid w:val="2F0D4663"/>
    <w:rsid w:val="3338561F"/>
    <w:rsid w:val="3D5E514C"/>
    <w:rsid w:val="3E9809F8"/>
    <w:rsid w:val="407C331E"/>
    <w:rsid w:val="47EE46BC"/>
    <w:rsid w:val="4E0931C5"/>
    <w:rsid w:val="61A54B5B"/>
    <w:rsid w:val="7585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</w:style>
  <w:style w:type="paragraph" w:styleId="3">
    <w:name w:val="Body Text"/>
    <w:basedOn w:val="1"/>
    <w:autoRedefine/>
    <w:semiHidden/>
    <w:qFormat/>
    <w:uiPriority w:val="0"/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5">
    <w:name w:val="header"/>
    <w:basedOn w:val="1"/>
    <w:link w:val="14"/>
    <w:qFormat/>
    <w:uiPriority w:val="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7">
    <w:name w:val="Table Grid"/>
    <w:basedOn w:val="6"/>
    <w:autoRedefine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annotation reference"/>
    <w:autoRedefine/>
    <w:unhideWhenUsed/>
    <w:qFormat/>
    <w:uiPriority w:val="99"/>
    <w:rPr>
      <w:sz w:val="21"/>
      <w:szCs w:val="21"/>
    </w:rPr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无间隔1"/>
    <w:autoRedefine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Table Text"/>
    <w:basedOn w:val="1"/>
    <w:autoRedefine/>
    <w:semiHidden/>
    <w:qFormat/>
    <w:uiPriority w:val="0"/>
    <w:rPr>
      <w:rFonts w:ascii="微软雅黑" w:hAnsi="微软雅黑" w:eastAsia="微软雅黑" w:cs="微软雅黑"/>
    </w:rPr>
  </w:style>
  <w:style w:type="paragraph" w:customStyle="1" w:styleId="13">
    <w:name w:val="Revision"/>
    <w:hidden/>
    <w:unhideWhenUsed/>
    <w:qFormat/>
    <w:uiPriority w:val="99"/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customStyle="1" w:styleId="14">
    <w:name w:val="页眉 字符"/>
    <w:basedOn w:val="8"/>
    <w:link w:val="5"/>
    <w:qFormat/>
    <w:uiPriority w:val="0"/>
    <w:rPr>
      <w:rFonts w:eastAsia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849</Words>
  <Characters>1054</Characters>
  <Lines>13</Lines>
  <Paragraphs>3</Paragraphs>
  <TotalTime>54</TotalTime>
  <ScaleCrop>false</ScaleCrop>
  <LinksUpToDate>false</LinksUpToDate>
  <CharactersWithSpaces>1065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2024-05-17T03:57:00Z</dcterms:created>
  <dc:creator>联想</dc:creator>
  <cp:lastModifiedBy>孙晓琪</cp:lastModifiedBy>
  <dcterms:modified xsi:type="dcterms:W3CDTF">2024-05-31T05:40:21Z</dcterms:modified>
  <dc:title>财产保险公司自主注册产品查询V1.0.0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2024-05-17T14:27:22Z</vt:filetime>
  </property>
  <property fmtid="{D5CDD505-2E9C-101B-9397-08002B2CF9AE}" pid="4" name="KSOProductBuildVer">
    <vt:lpwstr>2052-12.1.0.16929</vt:lpwstr>
  </property>
  <property fmtid="{D5CDD505-2E9C-101B-9397-08002B2CF9AE}" pid="5" name="ICV">
    <vt:lpwstr>5F33D998EB8248F0819002003F067ED3_13</vt:lpwstr>
  </property>
</Properties>
</file>