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Ansi="宋体" w:cs="Arial"/>
          <w:b/>
          <w:kern w:val="2"/>
          <w:sz w:val="28"/>
          <w:szCs w:val="28"/>
        </w:rPr>
      </w:pPr>
      <w:r>
        <w:rPr>
          <w:rFonts w:hint="eastAsia" w:hAnsi="宋体" w:cs="宋体"/>
          <w:b/>
          <w:kern w:val="2"/>
          <w:sz w:val="28"/>
          <w:szCs w:val="28"/>
        </w:rPr>
        <w:t>华农财产</w:t>
      </w:r>
      <w:r>
        <w:rPr>
          <w:rFonts w:hint="eastAsia" w:ascii="宋体" w:hAnsi="宋体" w:cs="宋体"/>
          <w:b/>
          <w:sz w:val="28"/>
          <w:szCs w:val="24"/>
        </w:rPr>
        <w:t>保险</w:t>
      </w:r>
      <w:r>
        <w:rPr>
          <w:rFonts w:hint="eastAsia" w:hAnsi="宋体" w:cs="宋体"/>
          <w:b/>
          <w:kern w:val="2"/>
          <w:sz w:val="28"/>
          <w:szCs w:val="28"/>
        </w:rPr>
        <w:t>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cs="Arial"/>
          <w:b/>
          <w:kern w:val="2"/>
          <w:sz w:val="28"/>
          <w:szCs w:val="28"/>
        </w:rPr>
      </w:pPr>
      <w:r>
        <w:rPr>
          <w:rFonts w:hint="eastAsia" w:cs="Arial"/>
          <w:b/>
          <w:kern w:val="2"/>
          <w:sz w:val="28"/>
          <w:szCs w:val="28"/>
        </w:rPr>
        <w:t>附加轻症疾病</w:t>
      </w:r>
      <w:r>
        <w:rPr>
          <w:rFonts w:hint="eastAsia" w:ascii="宋体" w:hAnsi="宋体" w:cs="宋体"/>
          <w:b/>
          <w:sz w:val="28"/>
          <w:szCs w:val="24"/>
        </w:rPr>
        <w:t>保险</w:t>
      </w:r>
      <w:r>
        <w:rPr>
          <w:rFonts w:hint="eastAsia" w:cs="Arial"/>
          <w:b/>
          <w:kern w:val="2"/>
          <w:sz w:val="28"/>
          <w:szCs w:val="28"/>
        </w:rPr>
        <w:t>A款费率表（互联网专属）</w:t>
      </w:r>
    </w:p>
    <w:p>
      <w:pPr>
        <w:pStyle w:val="6"/>
        <w:adjustRightInd w:val="0"/>
        <w:snapToGrid w:val="0"/>
        <w:spacing w:after="156" w:afterLines="50"/>
        <w:jc w:val="center"/>
        <w:rPr>
          <w:rFonts w:cs="Arial"/>
          <w:bCs/>
          <w:kern w:val="2"/>
          <w:sz w:val="21"/>
          <w:szCs w:val="21"/>
        </w:rPr>
      </w:pPr>
      <w:r>
        <w:rPr>
          <w:rFonts w:hint="eastAsia" w:cs="Arial"/>
          <w:b/>
          <w:kern w:val="2"/>
          <w:sz w:val="21"/>
          <w:szCs w:val="21"/>
        </w:rPr>
        <w:t xml:space="preserve"> 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b/>
          <w:kern w:val="2"/>
          <w:sz w:val="21"/>
          <w:szCs w:val="21"/>
        </w:rPr>
      </w:pPr>
      <w:r>
        <w:rPr>
          <w:rFonts w:hint="eastAsia" w:hAnsi="宋体" w:cs="Arial"/>
          <w:b/>
          <w:kern w:val="2"/>
          <w:sz w:val="21"/>
          <w:szCs w:val="21"/>
        </w:rPr>
        <w:t>一、年基准保险费（元）</w:t>
      </w:r>
    </w:p>
    <w:tbl>
      <w:tblPr>
        <w:tblStyle w:val="7"/>
        <w:tblW w:w="491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48"/>
        <w:gridCol w:w="1416"/>
        <w:gridCol w:w="175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sz w:val="21"/>
                <w:szCs w:val="21"/>
                <w:lang w:bidi="ar"/>
              </w:rPr>
            </w:pPr>
            <w:bookmarkStart w:id="0" w:name="_Hlk139374233"/>
            <w:r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  <w:t>轻症疾病保险金</w:t>
            </w:r>
          </w:p>
          <w:p>
            <w:pPr>
              <w:widowControl/>
              <w:jc w:val="center"/>
              <w:textAlignment w:val="center"/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  <w:t>以人民币1000</w:t>
            </w:r>
            <w:r>
              <w:rPr>
                <w:rFonts w:hAnsi="宋体" w:cs="宋体"/>
                <w:b/>
                <w:bCs/>
                <w:sz w:val="21"/>
                <w:szCs w:val="21"/>
                <w:lang w:bidi="ar"/>
              </w:rPr>
              <w:t>0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  <w:t>元保险金额为单位保额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1"/>
                <w:szCs w:val="21"/>
                <w:lang w:bidi="ar"/>
              </w:rPr>
              <w:t>年龄（周岁）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1"/>
                <w:szCs w:val="21"/>
                <w:lang w:bidi="ar"/>
              </w:rPr>
              <w:t>男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1"/>
                <w:szCs w:val="21"/>
                <w:lang w:bidi="ar"/>
              </w:rPr>
              <w:t>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宋体" w:asciiTheme="minorEastAsia" w:hAnsiTheme="minorEastAsia" w:eastAsiaTheme="minorEastAsia"/>
                <w:sz w:val="21"/>
                <w:szCs w:val="21"/>
                <w:lang w:bidi="ar"/>
              </w:rPr>
              <w:t>0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-4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4.4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3.8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5-10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2.7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2.5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11-15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3.3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16-20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5.1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7.2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21-25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10.5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19.9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26-30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17.5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36.6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31-35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27.7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56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36-40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39.5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78.6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41-45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53.2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99.3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46-50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66.9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101.8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51-55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83.9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95.4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56-60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107.6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95.3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61-65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140.8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103.7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66-70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183.6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116.7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71-75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225.9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131.6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76-80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253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151.1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81-85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267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172.5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86-90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294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205.9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91-95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332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257.7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bidi="ar"/>
              </w:rPr>
              <w:t>96-100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387.2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335.9</w:t>
            </w:r>
          </w:p>
        </w:tc>
      </w:tr>
    </w:tbl>
    <w:p>
      <w:pPr>
        <w:spacing w:line="360" w:lineRule="auto"/>
        <w:ind w:firstLine="420" w:firstLineChars="200"/>
        <w:rPr>
          <w:rFonts w:hint="eastAsia" w:hAnsi="宋体" w:cs="Arial"/>
          <w:bCs/>
          <w:kern w:val="2"/>
          <w:sz w:val="21"/>
          <w:szCs w:val="21"/>
        </w:rPr>
      </w:pPr>
      <w:r>
        <w:rPr>
          <w:rFonts w:hint="eastAsia" w:hAnsi="宋体" w:cs="Arial"/>
          <w:bCs/>
          <w:kern w:val="2"/>
          <w:sz w:val="21"/>
          <w:szCs w:val="21"/>
        </w:rPr>
        <w:t>注：1.</w:t>
      </w:r>
      <w:r>
        <w:rPr>
          <w:rFonts w:hint="eastAsia" w:hAnsi="宋体" w:cs="Arial"/>
          <w:bCs/>
          <w:kern w:val="2"/>
          <w:sz w:val="21"/>
          <w:szCs w:val="21"/>
        </w:rPr>
        <w:t>投保</w:t>
      </w:r>
      <w:r>
        <w:rPr>
          <w:rFonts w:hint="eastAsia" w:hAnsi="宋体" w:cs="Arial"/>
          <w:bCs/>
          <w:kern w:val="2"/>
          <w:sz w:val="21"/>
          <w:szCs w:val="21"/>
        </w:rPr>
        <w:t>时被保险人为0周岁的，应当为出生满28日且已健康出院的婴儿。</w:t>
      </w:r>
    </w:p>
    <w:p>
      <w:pPr>
        <w:spacing w:line="360" w:lineRule="auto"/>
        <w:ind w:firstLine="420" w:firstLineChars="200"/>
        <w:rPr>
          <w:rFonts w:hAnsi="宋体" w:cs="Arial"/>
          <w:bCs/>
          <w:kern w:val="2"/>
          <w:sz w:val="21"/>
          <w:szCs w:val="21"/>
        </w:rPr>
      </w:pPr>
      <w:r>
        <w:rPr>
          <w:rFonts w:hint="eastAsia" w:hAnsi="宋体" w:cs="Arial"/>
          <w:bCs/>
          <w:kern w:val="2"/>
          <w:sz w:val="21"/>
          <w:szCs w:val="21"/>
        </w:rPr>
        <w:t>2.对于</w:t>
      </w:r>
      <w:r>
        <w:rPr>
          <w:rFonts w:hint="eastAsia" w:hAnsi="宋体" w:cs="Arial"/>
          <w:bCs/>
          <w:kern w:val="2"/>
          <w:sz w:val="21"/>
          <w:szCs w:val="21"/>
          <w:lang w:val="en-US" w:eastAsia="zh-CN"/>
        </w:rPr>
        <w:t>不区分</w:t>
      </w:r>
      <w:r>
        <w:rPr>
          <w:rFonts w:hint="eastAsia" w:hAnsi="宋体" w:cs="Arial"/>
          <w:bCs/>
          <w:kern w:val="2"/>
          <w:sz w:val="21"/>
          <w:szCs w:val="21"/>
        </w:rPr>
        <w:t>性别计算的保险方案</w:t>
      </w:r>
      <w:r>
        <w:rPr>
          <w:rFonts w:hint="eastAsia" w:hAnsi="宋体" w:cs="Arial"/>
          <w:bCs/>
          <w:kern w:val="2"/>
          <w:sz w:val="21"/>
          <w:szCs w:val="21"/>
        </w:rPr>
        <w:t>，保费水平为对应年龄段男性和女性基准保险费的平均值。</w:t>
      </w:r>
    </w:p>
    <w:p>
      <w:pPr>
        <w:spacing w:line="312" w:lineRule="auto"/>
        <w:rPr>
          <w:rFonts w:hAnsi="宋体" w:cs="Arial"/>
          <w:b/>
          <w:kern w:val="2"/>
          <w:sz w:val="21"/>
          <w:szCs w:val="21"/>
        </w:rPr>
      </w:pPr>
      <w:r>
        <w:rPr>
          <w:rFonts w:hint="eastAsia" w:hAnsi="宋体" w:cs="Arial"/>
          <w:b/>
          <w:kern w:val="2"/>
          <w:sz w:val="21"/>
          <w:szCs w:val="21"/>
        </w:rPr>
        <w:t>二、费率调整系数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  <w:color w:val="000000"/>
          <w:kern w:val="2"/>
          <w:sz w:val="21"/>
          <w:szCs w:val="21"/>
        </w:rPr>
      </w:pPr>
      <w:bookmarkStart w:id="1" w:name="_Hlk40970434"/>
      <w:r>
        <w:rPr>
          <w:rFonts w:hint="eastAsia" w:hAnsi="宋体" w:cs="Arial"/>
          <w:bCs/>
          <w:kern w:val="2"/>
          <w:sz w:val="21"/>
          <w:szCs w:val="21"/>
        </w:rPr>
        <w:t>1、</w:t>
      </w:r>
      <w:r>
        <w:rPr>
          <w:rFonts w:hint="eastAsia" w:hAnsi="宋体" w:cs="宋体"/>
          <w:color w:val="000000"/>
          <w:kern w:val="2"/>
          <w:sz w:val="21"/>
          <w:szCs w:val="21"/>
        </w:rPr>
        <w:t>规模调整系数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年度投保人数N（人）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N&gt;5000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kern w:val="2"/>
                <w:sz w:val="21"/>
                <w:szCs w:val="21"/>
              </w:rPr>
              <w:t>0.6,0.7）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3000&lt;N≤5000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kern w:val="2"/>
                <w:sz w:val="21"/>
                <w:szCs w:val="21"/>
              </w:rPr>
              <w:t>0.7,0.9）</w:t>
            </w:r>
          </w:p>
        </w:tc>
      </w:tr>
      <w:tr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1000&lt;N≤3000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kern w:val="2"/>
                <w:sz w:val="21"/>
                <w:szCs w:val="21"/>
              </w:rPr>
              <w:t>0.9,1.1）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N≤1000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kern w:val="2"/>
                <w:sz w:val="21"/>
                <w:szCs w:val="21"/>
              </w:rPr>
              <w:t>1.1,1.5]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Arial"/>
          <w:bCs/>
          <w:kern w:val="2"/>
          <w:sz w:val="21"/>
          <w:szCs w:val="21"/>
        </w:rPr>
      </w:pPr>
      <w:r>
        <w:rPr>
          <w:rFonts w:hint="eastAsia" w:hAnsi="宋体" w:cs="Arial"/>
          <w:bCs/>
          <w:kern w:val="2"/>
          <w:sz w:val="21"/>
          <w:szCs w:val="21"/>
        </w:rPr>
        <w:t>2、等待期调整系数</w:t>
      </w:r>
    </w:p>
    <w:tbl>
      <w:tblPr>
        <w:tblStyle w:val="8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等待期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30天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60天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1.05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90天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120天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150天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1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80天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0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.85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Arial"/>
          <w:bCs/>
          <w:kern w:val="2"/>
          <w:sz w:val="21"/>
          <w:szCs w:val="21"/>
        </w:rPr>
      </w:pPr>
      <w:bookmarkStart w:id="2" w:name="OLE_LINK15"/>
      <w:r>
        <w:rPr>
          <w:rFonts w:hAnsi="宋体" w:cs="Arial"/>
          <w:bCs/>
          <w:kern w:val="2"/>
          <w:sz w:val="21"/>
          <w:szCs w:val="21"/>
        </w:rPr>
        <w:t>3</w:t>
      </w:r>
      <w:r>
        <w:rPr>
          <w:rFonts w:hint="eastAsia" w:hAnsi="宋体" w:cs="Arial"/>
          <w:bCs/>
          <w:kern w:val="2"/>
          <w:sz w:val="21"/>
          <w:szCs w:val="21"/>
        </w:rPr>
        <w:t>、客户健康评分调整系数</w:t>
      </w:r>
    </w:p>
    <w:tbl>
      <w:tblPr>
        <w:tblStyle w:val="8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投保人数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健康评分较高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健康评分较低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kern w:val="2"/>
                <w:sz w:val="21"/>
                <w:szCs w:val="21"/>
              </w:rPr>
              <w:t>(1.0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1.1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健康评分很低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1.1,1.5]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Arial"/>
          <w:bCs/>
          <w:kern w:val="2"/>
          <w:sz w:val="21"/>
          <w:szCs w:val="21"/>
        </w:rPr>
      </w:pPr>
      <w:r>
        <w:rPr>
          <w:rFonts w:hint="eastAsia" w:hAnsi="宋体" w:cs="Arial"/>
          <w:bCs/>
          <w:kern w:val="2"/>
          <w:sz w:val="21"/>
          <w:szCs w:val="21"/>
        </w:rPr>
        <w:t>4、渠道销售费用调整系数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4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渠道销售费用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销售费用低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(0.5,0.7]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销售费用中等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(0.7,</w:t>
            </w:r>
            <w:r>
              <w:rPr>
                <w:rFonts w:hAnsi="宋体" w:cs="宋体"/>
                <w:sz w:val="21"/>
                <w:szCs w:val="21"/>
              </w:rPr>
              <w:t>1.0</w:t>
            </w:r>
            <w:r>
              <w:rPr>
                <w:rFonts w:hint="eastAsia" w:hAnsi="宋体" w:cs="宋体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销售费用高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(1.</w:t>
            </w:r>
            <w:r>
              <w:rPr>
                <w:rFonts w:hAnsi="宋体" w:cs="宋体"/>
                <w:sz w:val="21"/>
                <w:szCs w:val="21"/>
              </w:rPr>
              <w:t>0</w:t>
            </w:r>
            <w:r>
              <w:rPr>
                <w:rFonts w:hint="eastAsia" w:hAnsi="宋体" w:cs="宋体"/>
                <w:sz w:val="21"/>
                <w:szCs w:val="21"/>
              </w:rPr>
              <w:t>,1.5]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Arial"/>
          <w:bCs/>
          <w:kern w:val="2"/>
          <w:sz w:val="21"/>
          <w:szCs w:val="21"/>
          <w:lang w:bidi="ar"/>
        </w:rPr>
      </w:pPr>
      <w:r>
        <w:rPr>
          <w:rFonts w:hAnsi="宋体" w:cs="Arial"/>
          <w:bCs/>
          <w:kern w:val="2"/>
          <w:sz w:val="21"/>
          <w:szCs w:val="21"/>
        </w:rPr>
        <w:t>5</w:t>
      </w:r>
      <w:r>
        <w:rPr>
          <w:rFonts w:hint="eastAsia" w:hAnsi="宋体" w:cs="Arial"/>
          <w:bCs/>
          <w:kern w:val="2"/>
          <w:sz w:val="21"/>
          <w:szCs w:val="21"/>
        </w:rPr>
        <w:t>、分期缴费方式调整系数</w:t>
      </w:r>
      <w:r>
        <w:rPr>
          <w:rFonts w:hint="eastAsia" w:hAnsi="宋体" w:cs="Arial"/>
          <w:bCs/>
          <w:kern w:val="2"/>
          <w:sz w:val="21"/>
          <w:szCs w:val="21"/>
          <w:lang w:bidi="ar"/>
        </w:rPr>
        <w:t xml:space="preserve"> </w:t>
      </w:r>
      <w:bookmarkEnd w:id="2"/>
      <w:r>
        <w:rPr>
          <w:rFonts w:hint="eastAsia" w:hAnsi="宋体" w:cs="Arial"/>
          <w:bCs/>
          <w:kern w:val="2"/>
          <w:sz w:val="21"/>
          <w:szCs w:val="21"/>
          <w:lang w:bidi="ar"/>
        </w:rPr>
        <w:t xml:space="preserve"> </w:t>
      </w:r>
    </w:p>
    <w:tbl>
      <w:tblPr>
        <w:tblStyle w:val="7"/>
        <w:tblW w:w="0" w:type="auto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color w:val="00000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color w:val="00000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widowControl/>
              <w:spacing w:line="312" w:lineRule="auto"/>
              <w:jc w:val="center"/>
              <w:rPr>
                <w:rFonts w:hint="eastAsia" w:hAnsi="宋体" w:cs="宋体"/>
                <w:color w:val="00000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</w:rPr>
              <w:t>[0.95,1.0]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Arial"/>
          <w:bCs/>
          <w:kern w:val="2"/>
          <w:sz w:val="21"/>
          <w:szCs w:val="21"/>
        </w:rPr>
      </w:pPr>
      <w:bookmarkStart w:id="3" w:name="_Hlk139374372"/>
      <w:r>
        <w:rPr>
          <w:rFonts w:hAnsi="宋体" w:cs="Arial"/>
          <w:bCs/>
          <w:kern w:val="2"/>
          <w:sz w:val="21"/>
          <w:szCs w:val="21"/>
        </w:rPr>
        <w:t>6</w:t>
      </w:r>
      <w:r>
        <w:rPr>
          <w:rFonts w:hint="eastAsia" w:hAnsi="宋体" w:cs="Arial"/>
          <w:bCs/>
          <w:kern w:val="2"/>
          <w:sz w:val="21"/>
          <w:szCs w:val="21"/>
        </w:rPr>
        <w:t>、</w:t>
      </w:r>
      <w:bookmarkStart w:id="4" w:name="OLE_LINK17"/>
      <w:r>
        <w:rPr>
          <w:rFonts w:hint="eastAsia" w:hAnsi="宋体" w:cs="Arial"/>
          <w:bCs/>
          <w:kern w:val="2"/>
          <w:sz w:val="21"/>
          <w:szCs w:val="21"/>
        </w:rPr>
        <w:t>投保类型调整系数</w:t>
      </w:r>
      <w:bookmarkEnd w:id="4"/>
    </w:p>
    <w:tbl>
      <w:tblPr>
        <w:tblStyle w:val="7"/>
        <w:tblW w:w="5700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bidi="ar"/>
              </w:rPr>
              <w:t>投保类型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bidi="ar"/>
              </w:rPr>
              <w:t>新保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bidi="ar"/>
              </w:rPr>
              <w:t>续保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[1.0,1.15]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bidi="ar"/>
              </w:rPr>
              <w:t>转保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[1.0,1.2]</w:t>
            </w:r>
          </w:p>
        </w:tc>
      </w:tr>
      <w:bookmarkEnd w:id="3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宋体"/>
          <w:sz w:val="21"/>
          <w:szCs w:val="21"/>
        </w:rPr>
      </w:pPr>
      <w:r>
        <w:rPr>
          <w:rFonts w:hAnsi="宋体" w:cs="宋体"/>
          <w:sz w:val="21"/>
          <w:szCs w:val="21"/>
        </w:rPr>
        <w:t>7</w:t>
      </w:r>
      <w:r>
        <w:rPr>
          <w:rFonts w:hint="eastAsia" w:hAnsi="宋体" w:cs="宋体"/>
          <w:sz w:val="21"/>
          <w:szCs w:val="21"/>
        </w:rPr>
        <w:t>、</w:t>
      </w:r>
      <w:r>
        <w:rPr>
          <w:rFonts w:hint="eastAsia" w:hAnsi="宋体" w:cs="Arial"/>
          <w:bCs/>
          <w:kern w:val="2"/>
          <w:sz w:val="21"/>
          <w:szCs w:val="21"/>
        </w:rPr>
        <w:t>预期</w:t>
      </w:r>
      <w:r>
        <w:rPr>
          <w:rFonts w:hAnsi="宋体" w:cs="宋体"/>
          <w:sz w:val="21"/>
          <w:szCs w:val="21"/>
        </w:rPr>
        <w:t>赔付率调整系数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预期赔付率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1.0</w:t>
            </w:r>
          </w:p>
        </w:tc>
      </w:tr>
      <w:bookmarkEnd w:id="1"/>
    </w:tbl>
    <w:p>
      <w:pPr>
        <w:spacing w:line="312" w:lineRule="auto"/>
        <w:rPr>
          <w:rFonts w:hAnsi="宋体" w:cs="Arial"/>
          <w:b/>
          <w:kern w:val="2"/>
          <w:sz w:val="21"/>
          <w:szCs w:val="21"/>
        </w:rPr>
      </w:pPr>
      <w:r>
        <w:rPr>
          <w:rFonts w:hint="eastAsia" w:hAnsi="宋体" w:cs="Arial"/>
          <w:b/>
          <w:kern w:val="2"/>
          <w:sz w:val="21"/>
          <w:szCs w:val="21"/>
        </w:rPr>
        <w:t>三、保险费</w:t>
      </w:r>
      <w:bookmarkStart w:id="7" w:name="_GoBack"/>
      <w:bookmarkEnd w:id="7"/>
      <w:r>
        <w:rPr>
          <w:rFonts w:hint="eastAsia" w:hAnsi="宋体" w:cs="Arial"/>
          <w:b/>
          <w:kern w:val="2"/>
          <w:sz w:val="21"/>
          <w:szCs w:val="21"/>
        </w:rPr>
        <w:t>计算</w:t>
      </w:r>
    </w:p>
    <w:p>
      <w:pPr>
        <w:spacing w:line="360" w:lineRule="auto"/>
        <w:ind w:firstLine="420" w:firstLineChars="200"/>
        <w:jc w:val="left"/>
        <w:rPr>
          <w:rFonts w:hint="eastAsia"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1、投保人选择一次性缴清保险费</w:t>
      </w:r>
    </w:p>
    <w:p>
      <w:pPr>
        <w:spacing w:after="156" w:afterLines="50" w:line="312" w:lineRule="auto"/>
        <w:ind w:firstLine="420" w:firstLineChars="200"/>
        <w:rPr>
          <w:rFonts w:hAnsi="宋体" w:cs="宋体"/>
          <w:color w:val="000000"/>
          <w:kern w:val="2"/>
          <w:sz w:val="21"/>
          <w:szCs w:val="21"/>
        </w:rPr>
      </w:pPr>
      <w:bookmarkStart w:id="5" w:name="_Hlk40970459"/>
      <w:r>
        <w:rPr>
          <w:rFonts w:hint="eastAsia" w:hAnsi="宋体" w:cs="Arial"/>
          <w:kern w:val="2"/>
          <w:sz w:val="21"/>
          <w:szCs w:val="21"/>
        </w:rPr>
        <w:t>年保险费=（保险金额÷1000</w:t>
      </w:r>
      <w:r>
        <w:rPr>
          <w:rFonts w:hAnsi="宋体" w:cs="Arial"/>
          <w:kern w:val="2"/>
          <w:sz w:val="21"/>
          <w:szCs w:val="21"/>
        </w:rPr>
        <w:t>0</w:t>
      </w:r>
      <w:r>
        <w:rPr>
          <w:rFonts w:hint="eastAsia" w:hAnsi="宋体" w:cs="Arial"/>
          <w:kern w:val="2"/>
          <w:sz w:val="21"/>
          <w:szCs w:val="21"/>
        </w:rPr>
        <w:t>）×年基准保险费×</w:t>
      </w:r>
      <w:r>
        <w:rPr>
          <w:rFonts w:hint="eastAsia" w:hAnsi="宋体" w:cs="宋体"/>
          <w:color w:val="000000"/>
          <w:kern w:val="2"/>
          <w:sz w:val="21"/>
          <w:szCs w:val="21"/>
        </w:rPr>
        <w:t>规模调整系数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bCs/>
          <w:kern w:val="2"/>
          <w:sz w:val="21"/>
          <w:szCs w:val="21"/>
        </w:rPr>
        <w:t>等待期调整系数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bCs/>
          <w:kern w:val="2"/>
          <w:sz w:val="21"/>
          <w:szCs w:val="21"/>
        </w:rPr>
        <w:t>客户健康评分调整系数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bCs/>
          <w:kern w:val="2"/>
          <w:sz w:val="21"/>
          <w:szCs w:val="21"/>
        </w:rPr>
        <w:t>渠道销售费用调整系数×分期缴费方式调整系数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bCs/>
          <w:kern w:val="2"/>
          <w:sz w:val="21"/>
          <w:szCs w:val="21"/>
        </w:rPr>
        <w:t>投保类型调整系数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</w:t>
      </w:r>
      <w:r>
        <w:rPr>
          <w:rFonts w:hAnsi="宋体" w:cs="宋体"/>
          <w:sz w:val="21"/>
          <w:szCs w:val="21"/>
        </w:rPr>
        <w:t>赔付率调整系数</w:t>
      </w:r>
    </w:p>
    <w:p>
      <w:pPr>
        <w:spacing w:line="360" w:lineRule="auto"/>
        <w:ind w:firstLine="420" w:firstLineChars="200"/>
        <w:jc w:val="left"/>
        <w:rPr>
          <w:rFonts w:hint="eastAsia"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2、投保人选择分期缴付保险费，保险人根据保险费分期缴费期数，计收每期保险费。</w:t>
      </w:r>
    </w:p>
    <w:p>
      <w:pPr>
        <w:spacing w:after="156" w:afterLines="50" w:line="312" w:lineRule="auto"/>
        <w:ind w:firstLine="420" w:firstLineChars="200"/>
        <w:rPr>
          <w:rFonts w:hint="eastAsia" w:hAnsi="宋体" w:cs="宋体"/>
          <w:color w:val="000000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年保险费=（保险金额÷1000</w:t>
      </w:r>
      <w:r>
        <w:rPr>
          <w:rFonts w:hAnsi="宋体" w:cs="Arial"/>
          <w:kern w:val="2"/>
          <w:sz w:val="21"/>
          <w:szCs w:val="21"/>
        </w:rPr>
        <w:t>0</w:t>
      </w:r>
      <w:r>
        <w:rPr>
          <w:rFonts w:hint="eastAsia" w:hAnsi="宋体" w:cs="Arial"/>
          <w:kern w:val="2"/>
          <w:sz w:val="21"/>
          <w:szCs w:val="21"/>
        </w:rPr>
        <w:t>）×年基准保险费×</w:t>
      </w:r>
      <w:r>
        <w:rPr>
          <w:rFonts w:hint="eastAsia" w:hAnsi="宋体" w:cs="宋体"/>
          <w:color w:val="000000"/>
          <w:kern w:val="2"/>
          <w:sz w:val="21"/>
          <w:szCs w:val="21"/>
        </w:rPr>
        <w:t>规模调整系数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bCs/>
          <w:kern w:val="2"/>
          <w:sz w:val="21"/>
          <w:szCs w:val="21"/>
        </w:rPr>
        <w:t>等待期调整系数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bCs/>
          <w:kern w:val="2"/>
          <w:sz w:val="21"/>
          <w:szCs w:val="21"/>
        </w:rPr>
        <w:t>客户健康评分调整系数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bCs/>
          <w:kern w:val="2"/>
          <w:sz w:val="21"/>
          <w:szCs w:val="21"/>
        </w:rPr>
        <w:t>渠道销售费用调整系数×分期缴费方式调整系数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Arial"/>
          <w:bCs/>
          <w:kern w:val="2"/>
          <w:sz w:val="21"/>
          <w:szCs w:val="21"/>
        </w:rPr>
        <w:t>投保类型调整系数</w:t>
      </w:r>
      <w:r>
        <w:rPr>
          <w:rFonts w:hint="eastAsia" w:hAnsi="宋体" w:cs="Arial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</w:t>
      </w:r>
      <w:r>
        <w:rPr>
          <w:rFonts w:hAnsi="宋体" w:cs="宋体"/>
          <w:sz w:val="21"/>
          <w:szCs w:val="21"/>
        </w:rPr>
        <w:t>赔付率调整系数</w:t>
      </w:r>
    </w:p>
    <w:p>
      <w:pPr>
        <w:spacing w:line="312" w:lineRule="auto"/>
        <w:ind w:firstLine="420" w:firstLineChars="200"/>
        <w:rPr>
          <w:rFonts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每期保险费（按四舍五入计算）=年保险费÷分期缴费期数</w:t>
      </w:r>
    </w:p>
    <w:p>
      <w:pPr>
        <w:spacing w:line="312" w:lineRule="auto"/>
        <w:ind w:firstLine="420" w:firstLineChars="200"/>
        <w:rPr>
          <w:rFonts w:hint="eastAsia"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注：本产品涉及分期缴费，每期缴费金额一致。</w:t>
      </w:r>
    </w:p>
    <w:bookmarkEnd w:id="5"/>
    <w:p>
      <w:pPr>
        <w:spacing w:after="156" w:afterLines="50" w:line="312" w:lineRule="auto"/>
        <w:rPr>
          <w:rFonts w:hAnsi="宋体" w:cs="Arial"/>
          <w:b/>
          <w:kern w:val="2"/>
          <w:sz w:val="21"/>
          <w:szCs w:val="21"/>
        </w:rPr>
      </w:pPr>
      <w:bookmarkStart w:id="6" w:name="_Hlk40869430"/>
      <w:r>
        <w:rPr>
          <w:rFonts w:hint="eastAsia" w:hAnsi="宋体" w:cs="Arial"/>
          <w:b/>
          <w:kern w:val="2"/>
          <w:sz w:val="21"/>
          <w:szCs w:val="21"/>
        </w:rPr>
        <w:t>四、短期费率表</w:t>
      </w:r>
    </w:p>
    <w:p>
      <w:pPr>
        <w:spacing w:after="156" w:afterLines="50" w:line="312" w:lineRule="auto"/>
        <w:ind w:firstLine="470" w:firstLineChars="224"/>
        <w:rPr>
          <w:rFonts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94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三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四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五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六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七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八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九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100%</w:t>
            </w:r>
          </w:p>
        </w:tc>
      </w:tr>
      <w:bookmarkEnd w:id="6"/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9D2EA9"/>
    <w:rsid w:val="0008559B"/>
    <w:rsid w:val="00151607"/>
    <w:rsid w:val="00153855"/>
    <w:rsid w:val="00181006"/>
    <w:rsid w:val="001F0046"/>
    <w:rsid w:val="00250DD9"/>
    <w:rsid w:val="002C3D26"/>
    <w:rsid w:val="00396892"/>
    <w:rsid w:val="0045677F"/>
    <w:rsid w:val="004B606B"/>
    <w:rsid w:val="005149FA"/>
    <w:rsid w:val="005A1F73"/>
    <w:rsid w:val="005D1BBF"/>
    <w:rsid w:val="005F333D"/>
    <w:rsid w:val="00642642"/>
    <w:rsid w:val="006557FD"/>
    <w:rsid w:val="006D7A85"/>
    <w:rsid w:val="006F0248"/>
    <w:rsid w:val="007F3486"/>
    <w:rsid w:val="00847657"/>
    <w:rsid w:val="00995BC5"/>
    <w:rsid w:val="009D2EA9"/>
    <w:rsid w:val="00A74EAB"/>
    <w:rsid w:val="00B41AFF"/>
    <w:rsid w:val="00CC17E5"/>
    <w:rsid w:val="00D561B5"/>
    <w:rsid w:val="00D95EEA"/>
    <w:rsid w:val="00DB4C40"/>
    <w:rsid w:val="00DE28D3"/>
    <w:rsid w:val="00E52601"/>
    <w:rsid w:val="00EA5349"/>
    <w:rsid w:val="00F14CD8"/>
    <w:rsid w:val="00FE1113"/>
    <w:rsid w:val="02AF76DD"/>
    <w:rsid w:val="04060867"/>
    <w:rsid w:val="04203ED0"/>
    <w:rsid w:val="04225EA6"/>
    <w:rsid w:val="04C84B1C"/>
    <w:rsid w:val="05EB7128"/>
    <w:rsid w:val="0B7117B3"/>
    <w:rsid w:val="0BCD25F3"/>
    <w:rsid w:val="0CD3289E"/>
    <w:rsid w:val="0E893F9F"/>
    <w:rsid w:val="1195219F"/>
    <w:rsid w:val="13EB5CC8"/>
    <w:rsid w:val="159D7AC9"/>
    <w:rsid w:val="16A955FC"/>
    <w:rsid w:val="1D2549E9"/>
    <w:rsid w:val="1E2D206B"/>
    <w:rsid w:val="210E4263"/>
    <w:rsid w:val="22960A6D"/>
    <w:rsid w:val="27220E05"/>
    <w:rsid w:val="297214C3"/>
    <w:rsid w:val="2A194EAE"/>
    <w:rsid w:val="2A2345B4"/>
    <w:rsid w:val="2BCD42D2"/>
    <w:rsid w:val="2E10227E"/>
    <w:rsid w:val="2F3F6B2C"/>
    <w:rsid w:val="433108D4"/>
    <w:rsid w:val="47AA3DD6"/>
    <w:rsid w:val="4AE44EBC"/>
    <w:rsid w:val="4BCC3852"/>
    <w:rsid w:val="4D2772C7"/>
    <w:rsid w:val="5554195C"/>
    <w:rsid w:val="572E11A9"/>
    <w:rsid w:val="5BB07831"/>
    <w:rsid w:val="5C1C158B"/>
    <w:rsid w:val="5CB63D34"/>
    <w:rsid w:val="5F226459"/>
    <w:rsid w:val="61D6330C"/>
    <w:rsid w:val="633F7E95"/>
    <w:rsid w:val="694864B2"/>
    <w:rsid w:val="6D037B52"/>
    <w:rsid w:val="6F820641"/>
    <w:rsid w:val="74A03E02"/>
    <w:rsid w:val="759A7160"/>
    <w:rsid w:val="78A04E65"/>
    <w:rsid w:val="799D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字符"/>
    <w:basedOn w:val="9"/>
    <w:link w:val="3"/>
    <w:qFormat/>
    <w:uiPriority w:val="0"/>
    <w:rPr>
      <w:rFonts w:ascii="宋体"/>
      <w:sz w:val="18"/>
      <w:szCs w:val="18"/>
    </w:rPr>
  </w:style>
  <w:style w:type="character" w:customStyle="1" w:styleId="12">
    <w:name w:val="页眉 字符"/>
    <w:basedOn w:val="9"/>
    <w:link w:val="5"/>
    <w:qFormat/>
    <w:uiPriority w:val="0"/>
    <w:rPr>
      <w:rFonts w:asci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882</Words>
  <Characters>1345</Characters>
  <Lines>11</Lines>
  <Paragraphs>3</Paragraphs>
  <TotalTime>1</TotalTime>
  <ScaleCrop>false</ScaleCrop>
  <LinksUpToDate>false</LinksUpToDate>
  <CharactersWithSpaces>1348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Zixuan Shen</cp:lastModifiedBy>
  <dcterms:modified xsi:type="dcterms:W3CDTF">2023-07-11T07:41:37Z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3564E13B358C41FF8C99BCC1A7F00C78</vt:lpwstr>
  </property>
</Properties>
</file>