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156"/>
        <w:jc w:val="center"/>
        <w:rPr>
          <w:b/>
          <w:sz w:val="28"/>
        </w:rPr>
      </w:pPr>
      <w:r>
        <w:rPr>
          <w:rFonts w:hint="eastAsia"/>
          <w:b/>
          <w:sz w:val="28"/>
        </w:rPr>
        <w:t>华农财产保险股份有限公司</w:t>
      </w:r>
    </w:p>
    <w:p>
      <w:pPr>
        <w:widowControl/>
        <w:snapToGrid w:val="0"/>
        <w:spacing w:after="156"/>
        <w:jc w:val="center"/>
        <w:outlineLvl w:val="1"/>
        <w:rPr>
          <w:b/>
          <w:sz w:val="28"/>
        </w:rPr>
      </w:pPr>
      <w:r>
        <w:rPr>
          <w:rFonts w:hint="eastAsia"/>
          <w:b/>
          <w:sz w:val="28"/>
        </w:rPr>
        <w:t>附加预防接种失效疾病保险费率表</w:t>
      </w:r>
    </w:p>
    <w:p>
      <w:pPr>
        <w:pStyle w:val="9"/>
        <w:widowControl/>
        <w:numPr>
          <w:ilvl w:val="0"/>
          <w:numId w:val="1"/>
        </w:numPr>
        <w:snapToGrid w:val="0"/>
        <w:spacing w:after="156"/>
        <w:ind w:firstLineChars="0"/>
        <w:outlineLvl w:val="1"/>
        <w:rPr>
          <w:rFonts w:hAnsi="宋体"/>
          <w:b/>
          <w:sz w:val="21"/>
          <w:szCs w:val="21"/>
        </w:rPr>
      </w:pPr>
      <w:r>
        <w:rPr>
          <w:rFonts w:hint="eastAsia" w:hAnsi="宋体"/>
          <w:b/>
          <w:sz w:val="21"/>
          <w:szCs w:val="21"/>
        </w:rPr>
        <w:t>基准费率</w:t>
      </w:r>
    </w:p>
    <w:p>
      <w:pPr>
        <w:widowControl/>
        <w:snapToGrid w:val="0"/>
        <w:spacing w:after="156"/>
        <w:outlineLvl w:val="1"/>
        <w:rPr>
          <w:rFonts w:hAnsi="宋体"/>
          <w:sz w:val="21"/>
          <w:szCs w:val="21"/>
        </w:rPr>
      </w:pPr>
      <w:r>
        <w:rPr>
          <w:rFonts w:hint="eastAsia" w:hAnsi="宋体"/>
          <w:sz w:val="21"/>
          <w:szCs w:val="21"/>
        </w:rPr>
        <w:t>本保险年基准费率为0.</w:t>
      </w:r>
      <w:r>
        <w:rPr>
          <w:rFonts w:hAnsi="宋体"/>
          <w:sz w:val="21"/>
          <w:szCs w:val="21"/>
        </w:rPr>
        <w:t>3</w:t>
      </w:r>
      <w:r>
        <w:rPr>
          <w:rFonts w:hint="eastAsia" w:hAnsi="宋体"/>
          <w:sz w:val="21"/>
          <w:szCs w:val="21"/>
        </w:rPr>
        <w:t>‰。</w:t>
      </w:r>
    </w:p>
    <w:p>
      <w:pPr>
        <w:pStyle w:val="9"/>
        <w:numPr>
          <w:ilvl w:val="0"/>
          <w:numId w:val="1"/>
        </w:numPr>
        <w:ind w:firstLineChars="0"/>
        <w:rPr>
          <w:rFonts w:hAnsi="宋体"/>
          <w:b/>
          <w:sz w:val="21"/>
          <w:szCs w:val="21"/>
        </w:rPr>
      </w:pPr>
      <w:r>
        <w:rPr>
          <w:rFonts w:hint="eastAsia" w:hAnsi="宋体"/>
          <w:b/>
          <w:sz w:val="21"/>
          <w:szCs w:val="21"/>
        </w:rPr>
        <w:t>费率调整系数</w:t>
      </w:r>
    </w:p>
    <w:p>
      <w:pPr>
        <w:pStyle w:val="9"/>
        <w:numPr>
          <w:ilvl w:val="0"/>
          <w:numId w:val="2"/>
        </w:numPr>
        <w:ind w:firstLineChars="0"/>
        <w:rPr>
          <w:rFonts w:hAnsi="宋体"/>
          <w:sz w:val="21"/>
          <w:szCs w:val="21"/>
        </w:rPr>
      </w:pPr>
      <w:r>
        <w:rPr>
          <w:rFonts w:hint="eastAsia" w:hAnsi="宋体"/>
          <w:sz w:val="21"/>
          <w:szCs w:val="21"/>
        </w:rPr>
        <w:t>疫苗类型调整系数</w:t>
      </w:r>
    </w:p>
    <w:tbl>
      <w:tblPr>
        <w:tblStyle w:val="5"/>
        <w:tblW w:w="7950"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5"/>
        <w:gridCol w:w="3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3975" w:type="dxa"/>
            <w:vAlign w:val="bottom"/>
          </w:tcPr>
          <w:p>
            <w:pPr>
              <w:pStyle w:val="9"/>
              <w:spacing w:line="360" w:lineRule="auto"/>
              <w:ind w:firstLine="0" w:firstLineChars="0"/>
              <w:jc w:val="center"/>
              <w:rPr>
                <w:rFonts w:hAnsi="宋体"/>
                <w:sz w:val="21"/>
                <w:szCs w:val="21"/>
              </w:rPr>
            </w:pPr>
            <w:r>
              <w:rPr>
                <w:rFonts w:hint="eastAsia" w:hAnsi="宋体"/>
                <w:sz w:val="21"/>
                <w:szCs w:val="21"/>
              </w:rPr>
              <w:t>疫苗种类</w:t>
            </w:r>
          </w:p>
        </w:tc>
        <w:tc>
          <w:tcPr>
            <w:tcW w:w="3975" w:type="dxa"/>
          </w:tcPr>
          <w:p>
            <w:pPr>
              <w:pStyle w:val="9"/>
              <w:spacing w:line="360" w:lineRule="auto"/>
              <w:ind w:firstLine="0" w:firstLineChars="0"/>
              <w:jc w:val="center"/>
              <w:rPr>
                <w:rFonts w:hAnsi="宋体"/>
                <w:sz w:val="21"/>
                <w:szCs w:val="21"/>
              </w:rPr>
            </w:pPr>
            <w:r>
              <w:rPr>
                <w:rFonts w:hint="eastAsia" w:hAnsi="宋体"/>
                <w:sz w:val="21"/>
                <w:szCs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975" w:type="dxa"/>
          </w:tcPr>
          <w:p>
            <w:pPr>
              <w:pStyle w:val="9"/>
              <w:spacing w:line="360" w:lineRule="auto"/>
              <w:ind w:firstLine="0" w:firstLineChars="0"/>
              <w:jc w:val="center"/>
              <w:rPr>
                <w:rFonts w:hAnsi="宋体"/>
                <w:sz w:val="21"/>
                <w:szCs w:val="21"/>
              </w:rPr>
            </w:pPr>
            <w:r>
              <w:rPr>
                <w:rFonts w:hint="eastAsia" w:hAnsi="宋体"/>
                <w:sz w:val="21"/>
                <w:szCs w:val="21"/>
              </w:rPr>
              <w:t>一类疫苗</w:t>
            </w:r>
          </w:p>
        </w:tc>
        <w:tc>
          <w:tcPr>
            <w:tcW w:w="3975" w:type="dxa"/>
          </w:tcPr>
          <w:p>
            <w:pPr>
              <w:pStyle w:val="9"/>
              <w:spacing w:line="360" w:lineRule="auto"/>
              <w:ind w:firstLine="0" w:firstLineChars="0"/>
              <w:jc w:val="center"/>
              <w:rPr>
                <w:rFonts w:hAnsi="宋体"/>
                <w:sz w:val="21"/>
                <w:szCs w:val="21"/>
              </w:rPr>
            </w:pPr>
            <w:r>
              <w:rPr>
                <w:rFonts w:hAnsi="宋体"/>
                <w:color w:val="000000" w:themeColor="text1"/>
                <w:sz w:val="21"/>
                <w:szCs w:val="21"/>
                <w14:textFill>
                  <w14:solidFill>
                    <w14:schemeClr w14:val="tx1"/>
                  </w14:solidFill>
                </w14:textFill>
              </w:rPr>
              <w:t>[0.8</w:t>
            </w:r>
            <w:r>
              <w:rPr>
                <w:rFonts w:hint="eastAsia" w:hAnsi="宋体"/>
                <w:color w:val="000000" w:themeColor="text1"/>
                <w:sz w:val="21"/>
                <w:szCs w:val="21"/>
                <w14:textFill>
                  <w14:solidFill>
                    <w14:schemeClr w14:val="tx1"/>
                  </w14:solidFill>
                </w14:textFill>
              </w:rPr>
              <w:t>,</w:t>
            </w:r>
            <w:r>
              <w:rPr>
                <w:rFonts w:hAnsi="宋体"/>
                <w:color w:val="000000" w:themeColor="text1"/>
                <w:sz w:val="21"/>
                <w:szCs w:val="21"/>
                <w14:textFill>
                  <w14:solidFill>
                    <w14:schemeClr w14:val="tx1"/>
                  </w14:solidFill>
                </w14:textFill>
              </w:rPr>
              <w:t>1.0</w:t>
            </w:r>
            <w:r>
              <w:rPr>
                <w:rFonts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3975" w:type="dxa"/>
          </w:tcPr>
          <w:p>
            <w:pPr>
              <w:pStyle w:val="9"/>
              <w:spacing w:line="360" w:lineRule="auto"/>
              <w:ind w:firstLine="0" w:firstLineChars="0"/>
              <w:jc w:val="center"/>
              <w:rPr>
                <w:rFonts w:hAnsi="宋体"/>
                <w:sz w:val="21"/>
                <w:szCs w:val="21"/>
              </w:rPr>
            </w:pPr>
            <w:r>
              <w:rPr>
                <w:rFonts w:hint="eastAsia" w:hAnsi="宋体"/>
                <w:sz w:val="21"/>
                <w:szCs w:val="21"/>
              </w:rPr>
              <w:t>二类疫苗</w:t>
            </w:r>
          </w:p>
        </w:tc>
        <w:tc>
          <w:tcPr>
            <w:tcW w:w="3975" w:type="dxa"/>
          </w:tcPr>
          <w:p>
            <w:pPr>
              <w:pStyle w:val="9"/>
              <w:spacing w:line="360" w:lineRule="auto"/>
              <w:ind w:firstLine="0" w:firstLineChars="0"/>
              <w:jc w:val="center"/>
              <w:rPr>
                <w:rFonts w:hAnsi="宋体"/>
                <w:sz w:val="21"/>
                <w:szCs w:val="21"/>
              </w:rPr>
            </w:pPr>
            <w:r>
              <w:rPr>
                <w:rFonts w:hAnsi="宋体"/>
                <w:sz w:val="21"/>
                <w:szCs w:val="21"/>
              </w:rPr>
              <w:t>(1.0</w:t>
            </w:r>
            <w:r>
              <w:rPr>
                <w:rFonts w:hint="eastAsia" w:hAnsi="宋体"/>
                <w:sz w:val="21"/>
                <w:szCs w:val="21"/>
              </w:rPr>
              <w:t>,2.0</w:t>
            </w:r>
            <w:r>
              <w:rPr>
                <w:rFonts w:hAnsi="宋体"/>
                <w:sz w:val="21"/>
                <w:szCs w:val="21"/>
              </w:rPr>
              <w:t>]</w:t>
            </w:r>
          </w:p>
        </w:tc>
      </w:tr>
    </w:tbl>
    <w:p>
      <w:pPr>
        <w:widowControl/>
        <w:spacing w:after="156"/>
        <w:ind w:firstLine="420" w:firstLineChars="200"/>
        <w:rPr>
          <w:rFonts w:hAnsi="宋体"/>
          <w:sz w:val="21"/>
          <w:szCs w:val="21"/>
        </w:rPr>
      </w:pPr>
      <w:r>
        <w:rPr>
          <w:rFonts w:hint="eastAsia" w:hAnsi="宋体"/>
          <w:sz w:val="21"/>
          <w:szCs w:val="21"/>
        </w:rPr>
        <w:t>注：</w:t>
      </w:r>
    </w:p>
    <w:p>
      <w:pPr>
        <w:widowControl/>
        <w:spacing w:after="156"/>
        <w:ind w:firstLine="420" w:firstLineChars="200"/>
        <w:rPr>
          <w:rFonts w:hAnsi="宋体"/>
          <w:sz w:val="21"/>
          <w:szCs w:val="21"/>
        </w:rPr>
      </w:pPr>
      <w:r>
        <w:rPr>
          <w:rFonts w:hint="eastAsia" w:hAnsi="宋体"/>
          <w:sz w:val="21"/>
          <w:szCs w:val="21"/>
        </w:rPr>
        <w:t>一类疫苗：是指政府免费向公民提供，公民应当依照政府的规定受种的疫苗，包括国家免疫规划确定的疫苗，省、自治区、直辖市人民政府在执行国家免疫规划时增加的疫苗，以及县级以上人民政府或者其卫生主管部门组织的应急接种或者群体性预防接种所使用的疫苗。</w:t>
      </w:r>
    </w:p>
    <w:p>
      <w:pPr>
        <w:widowControl/>
        <w:spacing w:after="156"/>
        <w:ind w:firstLine="420" w:firstLineChars="200"/>
        <w:rPr>
          <w:rFonts w:hAnsi="宋体"/>
          <w:sz w:val="21"/>
          <w:szCs w:val="21"/>
        </w:rPr>
      </w:pPr>
      <w:r>
        <w:rPr>
          <w:rFonts w:hint="eastAsia" w:hAnsi="宋体"/>
          <w:sz w:val="21"/>
          <w:szCs w:val="21"/>
        </w:rPr>
        <w:t>二类疫苗：是指由公民自费并且自愿受种的除一类疫苗以外的其他疫苗。</w:t>
      </w:r>
    </w:p>
    <w:p>
      <w:pPr>
        <w:pStyle w:val="9"/>
        <w:numPr>
          <w:ilvl w:val="0"/>
          <w:numId w:val="2"/>
        </w:numPr>
        <w:ind w:firstLineChars="0"/>
        <w:rPr>
          <w:rFonts w:hAnsi="宋体"/>
          <w:sz w:val="21"/>
          <w:szCs w:val="21"/>
        </w:rPr>
      </w:pPr>
      <w:r>
        <w:rPr>
          <w:rFonts w:hint="eastAsia" w:hAnsi="宋体"/>
          <w:sz w:val="21"/>
          <w:szCs w:val="21"/>
        </w:rPr>
        <w:t>疫苗种类失效风险综合评分调整系数</w:t>
      </w:r>
    </w:p>
    <w:p>
      <w:pPr>
        <w:pStyle w:val="9"/>
        <w:ind w:left="360"/>
        <w:rPr>
          <w:rFonts w:hAnsi="宋体"/>
          <w:sz w:val="21"/>
          <w:szCs w:val="21"/>
        </w:rPr>
      </w:pPr>
      <w:r>
        <w:rPr>
          <w:rFonts w:hint="eastAsia" w:hAnsi="宋体"/>
          <w:sz w:val="21"/>
          <w:szCs w:val="21"/>
        </w:rPr>
        <w:t>不同的疫苗功效和特点不同。例如针对常见病的疫苗，失效率也相对较高。根据不同疫苗的失效风险进行评分，评分越低则失效风险越高，费率应适当上浮，反之亦然。</w:t>
      </w:r>
    </w:p>
    <w:tbl>
      <w:tblPr>
        <w:tblStyle w:val="5"/>
        <w:tblW w:w="7936"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4"/>
        <w:gridCol w:w="3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4" w:type="dxa"/>
          </w:tcPr>
          <w:p>
            <w:pPr>
              <w:pStyle w:val="9"/>
              <w:ind w:firstLine="0" w:firstLineChars="0"/>
              <w:jc w:val="center"/>
              <w:rPr>
                <w:rFonts w:hAnsi="宋体"/>
                <w:sz w:val="21"/>
                <w:szCs w:val="21"/>
              </w:rPr>
            </w:pPr>
            <w:r>
              <w:rPr>
                <w:rFonts w:hint="eastAsia" w:hAnsi="宋体"/>
                <w:sz w:val="21"/>
                <w:szCs w:val="21"/>
              </w:rPr>
              <w:t>疫苗种类失效风险综合评分</w:t>
            </w:r>
          </w:p>
        </w:tc>
        <w:tc>
          <w:tcPr>
            <w:tcW w:w="3962" w:type="dxa"/>
          </w:tcPr>
          <w:p>
            <w:pPr>
              <w:pStyle w:val="9"/>
              <w:ind w:firstLine="0" w:firstLineChars="0"/>
              <w:jc w:val="center"/>
              <w:rPr>
                <w:rFonts w:hAnsi="宋体"/>
                <w:sz w:val="21"/>
                <w:szCs w:val="21"/>
              </w:rPr>
            </w:pPr>
            <w:r>
              <w:rPr>
                <w:rFonts w:hint="eastAsia" w:hAnsi="宋体"/>
                <w:sz w:val="21"/>
                <w:szCs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4" w:type="dxa"/>
          </w:tcPr>
          <w:p>
            <w:pPr>
              <w:pStyle w:val="9"/>
              <w:ind w:firstLine="0" w:firstLineChars="0"/>
              <w:jc w:val="center"/>
              <w:rPr>
                <w:rFonts w:hAnsi="宋体"/>
                <w:sz w:val="21"/>
                <w:szCs w:val="21"/>
              </w:rPr>
            </w:pPr>
            <w:r>
              <w:rPr>
                <w:rFonts w:hint="eastAsia" w:hAnsi="宋体"/>
                <w:sz w:val="21"/>
                <w:szCs w:val="21"/>
              </w:rPr>
              <w:t>8</w:t>
            </w:r>
            <w:r>
              <w:rPr>
                <w:rFonts w:hAnsi="宋体"/>
                <w:sz w:val="21"/>
                <w:szCs w:val="21"/>
              </w:rPr>
              <w:t>0</w:t>
            </w:r>
            <w:r>
              <w:rPr>
                <w:rFonts w:hint="eastAsia" w:hAnsi="宋体"/>
                <w:sz w:val="21"/>
                <w:szCs w:val="21"/>
              </w:rPr>
              <w:t>-1</w:t>
            </w:r>
            <w:r>
              <w:rPr>
                <w:rFonts w:hAnsi="宋体"/>
                <w:sz w:val="21"/>
                <w:szCs w:val="21"/>
              </w:rPr>
              <w:t>00</w:t>
            </w:r>
            <w:r>
              <w:rPr>
                <w:rFonts w:hint="eastAsia" w:hAnsi="宋体"/>
                <w:sz w:val="21"/>
                <w:szCs w:val="21"/>
              </w:rPr>
              <w:t>分（含）</w:t>
            </w:r>
          </w:p>
        </w:tc>
        <w:tc>
          <w:tcPr>
            <w:tcW w:w="3962" w:type="dxa"/>
          </w:tcPr>
          <w:p>
            <w:pPr>
              <w:pStyle w:val="9"/>
              <w:ind w:firstLine="0" w:firstLineChars="0"/>
              <w:jc w:val="center"/>
              <w:rPr>
                <w:rFonts w:hAnsi="宋体"/>
                <w:sz w:val="21"/>
                <w:szCs w:val="21"/>
              </w:rPr>
            </w:pPr>
            <w:r>
              <w:rPr>
                <w:rFonts w:hAnsi="宋体"/>
                <w:sz w:val="21"/>
                <w:szCs w:val="21"/>
              </w:rPr>
              <w:t>[</w:t>
            </w:r>
            <w:r>
              <w:rPr>
                <w:rFonts w:hint="eastAsia" w:hAnsi="宋体"/>
                <w:sz w:val="21"/>
                <w:szCs w:val="21"/>
              </w:rPr>
              <w:t>0</w:t>
            </w:r>
            <w:r>
              <w:rPr>
                <w:rFonts w:hAnsi="宋体"/>
                <w:sz w:val="21"/>
                <w:szCs w:val="21"/>
              </w:rPr>
              <w:t>.7,1.0)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4" w:type="dxa"/>
          </w:tcPr>
          <w:p>
            <w:pPr>
              <w:pStyle w:val="9"/>
              <w:ind w:firstLine="0" w:firstLineChars="0"/>
              <w:jc w:val="center"/>
              <w:rPr>
                <w:rFonts w:hAnsi="宋体"/>
                <w:sz w:val="21"/>
                <w:szCs w:val="21"/>
              </w:rPr>
            </w:pPr>
            <w:r>
              <w:rPr>
                <w:rFonts w:hint="eastAsia" w:hAnsi="宋体"/>
                <w:sz w:val="21"/>
                <w:szCs w:val="21"/>
              </w:rPr>
              <w:t>6</w:t>
            </w:r>
            <w:r>
              <w:rPr>
                <w:rFonts w:hAnsi="宋体"/>
                <w:sz w:val="21"/>
                <w:szCs w:val="21"/>
              </w:rPr>
              <w:t>0</w:t>
            </w:r>
            <w:r>
              <w:rPr>
                <w:rFonts w:hint="eastAsia" w:hAnsi="宋体"/>
                <w:sz w:val="21"/>
                <w:szCs w:val="21"/>
              </w:rPr>
              <w:t>-</w:t>
            </w:r>
            <w:r>
              <w:rPr>
                <w:rFonts w:hAnsi="宋体"/>
                <w:sz w:val="21"/>
                <w:szCs w:val="21"/>
              </w:rPr>
              <w:t>80</w:t>
            </w:r>
            <w:r>
              <w:rPr>
                <w:rFonts w:hint="eastAsia" w:hAnsi="宋体"/>
                <w:sz w:val="21"/>
                <w:szCs w:val="21"/>
              </w:rPr>
              <w:t>分（含）</w:t>
            </w:r>
          </w:p>
        </w:tc>
        <w:tc>
          <w:tcPr>
            <w:tcW w:w="3962" w:type="dxa"/>
          </w:tcPr>
          <w:p>
            <w:pPr>
              <w:pStyle w:val="9"/>
              <w:ind w:firstLine="0" w:firstLineChars="0"/>
              <w:jc w:val="center"/>
              <w:rPr>
                <w:rFonts w:hAnsi="宋体"/>
                <w:sz w:val="21"/>
                <w:szCs w:val="21"/>
              </w:rPr>
            </w:pPr>
            <w:r>
              <w:rPr>
                <w:rFonts w:hAnsi="宋体"/>
                <w:sz w:val="21"/>
                <w:szCs w:val="21"/>
              </w:rPr>
              <w:t>[</w:t>
            </w:r>
            <w:r>
              <w:rPr>
                <w:rFonts w:hint="eastAsia" w:hAnsi="宋体"/>
                <w:sz w:val="21"/>
                <w:szCs w:val="21"/>
              </w:rPr>
              <w:t>1</w:t>
            </w:r>
            <w:r>
              <w:rPr>
                <w:rFonts w:hAnsi="宋体"/>
                <w:sz w:val="21"/>
                <w:szCs w:val="21"/>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4" w:type="dxa"/>
          </w:tcPr>
          <w:p>
            <w:pPr>
              <w:pStyle w:val="9"/>
              <w:ind w:firstLine="0" w:firstLineChars="0"/>
              <w:jc w:val="center"/>
              <w:rPr>
                <w:rFonts w:hAnsi="宋体"/>
                <w:sz w:val="21"/>
                <w:szCs w:val="21"/>
              </w:rPr>
            </w:pPr>
            <w:r>
              <w:rPr>
                <w:rFonts w:hint="eastAsia" w:hAnsi="宋体"/>
                <w:sz w:val="21"/>
                <w:szCs w:val="21"/>
              </w:rPr>
              <w:t>＜=</w:t>
            </w:r>
            <w:r>
              <w:rPr>
                <w:rFonts w:hAnsi="宋体"/>
                <w:sz w:val="21"/>
                <w:szCs w:val="21"/>
              </w:rPr>
              <w:t>60</w:t>
            </w:r>
            <w:r>
              <w:rPr>
                <w:rFonts w:hint="eastAsia" w:hAnsi="宋体"/>
                <w:sz w:val="21"/>
                <w:szCs w:val="21"/>
              </w:rPr>
              <w:t>分</w:t>
            </w:r>
          </w:p>
        </w:tc>
        <w:tc>
          <w:tcPr>
            <w:tcW w:w="3962" w:type="dxa"/>
          </w:tcPr>
          <w:p>
            <w:pPr>
              <w:pStyle w:val="9"/>
              <w:ind w:firstLine="0" w:firstLineChars="0"/>
              <w:jc w:val="center"/>
              <w:rPr>
                <w:rFonts w:hAnsi="宋体"/>
                <w:sz w:val="21"/>
                <w:szCs w:val="21"/>
              </w:rPr>
            </w:pPr>
            <w:r>
              <w:rPr>
                <w:rFonts w:hAnsi="宋体"/>
                <w:sz w:val="21"/>
                <w:szCs w:val="21"/>
              </w:rPr>
              <w:t>[</w:t>
            </w:r>
            <w:r>
              <w:rPr>
                <w:rFonts w:hint="eastAsia" w:hAnsi="宋体"/>
                <w:sz w:val="21"/>
                <w:szCs w:val="21"/>
              </w:rPr>
              <w:t>2</w:t>
            </w:r>
            <w:r>
              <w:rPr>
                <w:rFonts w:hAnsi="宋体"/>
                <w:sz w:val="21"/>
                <w:szCs w:val="21"/>
              </w:rPr>
              <w:t>.0,5.0)</w:t>
            </w:r>
          </w:p>
        </w:tc>
      </w:tr>
    </w:tbl>
    <w:p>
      <w:pPr>
        <w:pStyle w:val="9"/>
        <w:ind w:left="360" w:firstLine="0" w:firstLineChars="0"/>
        <w:rPr>
          <w:rFonts w:hAnsi="宋体"/>
          <w:sz w:val="21"/>
          <w:szCs w:val="21"/>
        </w:rPr>
      </w:pPr>
    </w:p>
    <w:p>
      <w:pPr>
        <w:pStyle w:val="9"/>
        <w:numPr>
          <w:ilvl w:val="0"/>
          <w:numId w:val="2"/>
        </w:numPr>
        <w:ind w:firstLineChars="0"/>
        <w:rPr>
          <w:rFonts w:hAnsi="宋体"/>
          <w:sz w:val="21"/>
          <w:szCs w:val="21"/>
        </w:rPr>
      </w:pPr>
      <w:r>
        <w:rPr>
          <w:rFonts w:hint="eastAsia" w:hAnsi="宋体"/>
          <w:sz w:val="21"/>
          <w:szCs w:val="21"/>
        </w:rPr>
        <w:t>经验/预期赔付率调整系数</w:t>
      </w:r>
    </w:p>
    <w:tbl>
      <w:tblPr>
        <w:tblStyle w:val="5"/>
        <w:tblW w:w="7936"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86"/>
        <w:gridCol w:w="3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986" w:type="dxa"/>
          </w:tcPr>
          <w:p>
            <w:pPr>
              <w:pStyle w:val="9"/>
              <w:ind w:firstLine="0" w:firstLineChars="0"/>
              <w:jc w:val="center"/>
              <w:rPr>
                <w:rFonts w:hAnsi="宋体"/>
                <w:sz w:val="21"/>
                <w:szCs w:val="21"/>
              </w:rPr>
            </w:pPr>
            <w:r>
              <w:rPr>
                <w:rFonts w:hint="eastAsia" w:hAnsi="宋体"/>
                <w:sz w:val="21"/>
                <w:szCs w:val="21"/>
              </w:rPr>
              <w:t>经验/预期赔付率</w:t>
            </w:r>
          </w:p>
        </w:tc>
        <w:tc>
          <w:tcPr>
            <w:tcW w:w="3950" w:type="dxa"/>
          </w:tcPr>
          <w:p>
            <w:pPr>
              <w:pStyle w:val="9"/>
              <w:ind w:firstLine="0" w:firstLineChars="0"/>
              <w:jc w:val="center"/>
              <w:rPr>
                <w:rFonts w:hAnsi="宋体"/>
                <w:sz w:val="21"/>
                <w:szCs w:val="21"/>
              </w:rPr>
            </w:pPr>
            <w:r>
              <w:rPr>
                <w:rFonts w:hint="eastAsia" w:hAnsi="宋体"/>
                <w:sz w:val="21"/>
                <w:szCs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6" w:type="dxa"/>
          </w:tcPr>
          <w:p>
            <w:pPr>
              <w:pStyle w:val="9"/>
              <w:ind w:firstLine="0" w:firstLineChars="0"/>
              <w:jc w:val="center"/>
              <w:rPr>
                <w:rFonts w:hAnsi="宋体"/>
                <w:sz w:val="21"/>
                <w:szCs w:val="21"/>
              </w:rPr>
            </w:pPr>
            <w:r>
              <w:rPr>
                <w:rFonts w:hint="eastAsia" w:hAnsi="宋体"/>
                <w:sz w:val="21"/>
                <w:szCs w:val="21"/>
              </w:rPr>
              <w:t>（0,</w:t>
            </w:r>
            <w:r>
              <w:rPr>
                <w:rFonts w:hAnsi="宋体"/>
                <w:sz w:val="21"/>
                <w:szCs w:val="21"/>
              </w:rPr>
              <w:t>30</w:t>
            </w:r>
            <w:r>
              <w:rPr>
                <w:rFonts w:hint="eastAsia" w:hAnsi="宋体"/>
                <w:sz w:val="21"/>
                <w:szCs w:val="21"/>
              </w:rPr>
              <w:t>%</w:t>
            </w:r>
            <w:r>
              <w:rPr>
                <w:rFonts w:hAnsi="宋体"/>
                <w:sz w:val="21"/>
                <w:szCs w:val="21"/>
              </w:rPr>
              <w:t>]</w:t>
            </w:r>
          </w:p>
        </w:tc>
        <w:tc>
          <w:tcPr>
            <w:tcW w:w="3950" w:type="dxa"/>
          </w:tcPr>
          <w:p>
            <w:pPr>
              <w:pStyle w:val="9"/>
              <w:ind w:firstLine="0" w:firstLineChars="0"/>
              <w:jc w:val="center"/>
              <w:rPr>
                <w:rFonts w:hint="eastAsia" w:hAnsi="宋体"/>
                <w:sz w:val="21"/>
                <w:szCs w:val="21"/>
              </w:rPr>
            </w:pPr>
            <w:r>
              <w:rPr>
                <w:rFonts w:hAnsi="宋体"/>
                <w:sz w:val="21"/>
                <w:szCs w:val="21"/>
              </w:rPr>
              <w:t>(</w:t>
            </w:r>
            <w:r>
              <w:rPr>
                <w:rFonts w:hint="eastAsia" w:hAnsi="宋体"/>
                <w:sz w:val="21"/>
                <w:szCs w:val="21"/>
              </w:rPr>
              <w:t>0</w:t>
            </w:r>
            <w:r>
              <w:rPr>
                <w:rFonts w:hAnsi="宋体"/>
                <w:sz w:val="21"/>
                <w:szCs w:val="21"/>
              </w:rPr>
              <w:t>.5</w:t>
            </w:r>
            <w:r>
              <w:rPr>
                <w:rFonts w:hint="eastAsia" w:hAnsi="宋体"/>
                <w:sz w:val="21"/>
                <w:szCs w:val="21"/>
              </w:rPr>
              <w:t>,</w:t>
            </w:r>
            <w:r>
              <w:rPr>
                <w:rFonts w:hAnsi="宋体"/>
                <w:sz w:val="21"/>
                <w:szCs w:val="21"/>
              </w:rPr>
              <w:t>0.9</w:t>
            </w:r>
            <w:r>
              <w:rPr>
                <w:rFonts w:hint="eastAsia"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6" w:type="dxa"/>
          </w:tcPr>
          <w:p>
            <w:pPr>
              <w:pStyle w:val="9"/>
              <w:ind w:firstLine="0" w:firstLineChars="0"/>
              <w:jc w:val="center"/>
              <w:rPr>
                <w:rFonts w:hAnsi="宋体"/>
                <w:sz w:val="21"/>
                <w:szCs w:val="21"/>
              </w:rPr>
            </w:pPr>
            <w:r>
              <w:rPr>
                <w:rFonts w:hint="eastAsia" w:hAnsi="宋体"/>
                <w:sz w:val="21"/>
                <w:szCs w:val="21"/>
              </w:rPr>
              <w:t>（</w:t>
            </w:r>
            <w:r>
              <w:rPr>
                <w:rFonts w:hAnsi="宋体"/>
                <w:sz w:val="21"/>
                <w:szCs w:val="21"/>
              </w:rPr>
              <w:t>30%</w:t>
            </w:r>
            <w:r>
              <w:rPr>
                <w:rFonts w:hint="eastAsia" w:hAnsi="宋体"/>
                <w:sz w:val="21"/>
                <w:szCs w:val="21"/>
              </w:rPr>
              <w:t>,</w:t>
            </w:r>
            <w:r>
              <w:rPr>
                <w:rFonts w:hAnsi="宋体"/>
                <w:sz w:val="21"/>
                <w:szCs w:val="21"/>
              </w:rPr>
              <w:t>60</w:t>
            </w:r>
            <w:r>
              <w:rPr>
                <w:rFonts w:hint="eastAsia" w:hAnsi="宋体"/>
                <w:sz w:val="21"/>
                <w:szCs w:val="21"/>
              </w:rPr>
              <w:t>%</w:t>
            </w:r>
            <w:r>
              <w:rPr>
                <w:rFonts w:hAnsi="宋体"/>
                <w:sz w:val="21"/>
                <w:szCs w:val="21"/>
              </w:rPr>
              <w:t>]</w:t>
            </w:r>
          </w:p>
        </w:tc>
        <w:tc>
          <w:tcPr>
            <w:tcW w:w="3950" w:type="dxa"/>
          </w:tcPr>
          <w:p>
            <w:pPr>
              <w:pStyle w:val="9"/>
              <w:ind w:firstLine="0" w:firstLineChars="0"/>
              <w:jc w:val="center"/>
              <w:rPr>
                <w:rFonts w:hAnsi="宋体"/>
                <w:sz w:val="21"/>
                <w:szCs w:val="21"/>
              </w:rPr>
            </w:pPr>
            <w:r>
              <w:rPr>
                <w:rFonts w:hAnsi="宋体"/>
                <w:sz w:val="21"/>
                <w:szCs w:val="21"/>
              </w:rPr>
              <w:t>(</w:t>
            </w:r>
            <w:r>
              <w:rPr>
                <w:rFonts w:hint="eastAsia" w:hAnsi="宋体"/>
                <w:sz w:val="21"/>
                <w:szCs w:val="21"/>
              </w:rPr>
              <w:t>0</w:t>
            </w:r>
            <w:r>
              <w:rPr>
                <w:rFonts w:hAnsi="宋体"/>
                <w:sz w:val="21"/>
                <w:szCs w:val="21"/>
              </w:rPr>
              <w:t>.9,1.5</w:t>
            </w:r>
            <w:r>
              <w:rPr>
                <w:rFonts w:hint="eastAsia"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6" w:type="dxa"/>
          </w:tcPr>
          <w:p>
            <w:pPr>
              <w:pStyle w:val="9"/>
              <w:ind w:firstLine="0" w:firstLineChars="0"/>
              <w:jc w:val="center"/>
              <w:rPr>
                <w:rFonts w:hAnsi="宋体"/>
                <w:sz w:val="21"/>
                <w:szCs w:val="21"/>
              </w:rPr>
            </w:pPr>
            <w:r>
              <w:rPr>
                <w:rFonts w:hint="eastAsia" w:hAnsi="宋体"/>
                <w:sz w:val="21"/>
                <w:szCs w:val="21"/>
              </w:rPr>
              <w:t>60</w:t>
            </w:r>
            <w:r>
              <w:rPr>
                <w:rFonts w:hAnsi="宋体"/>
                <w:sz w:val="21"/>
                <w:szCs w:val="21"/>
              </w:rPr>
              <w:t>%</w:t>
            </w:r>
            <w:r>
              <w:rPr>
                <w:rFonts w:hint="eastAsia" w:hAnsi="宋体"/>
                <w:sz w:val="21"/>
                <w:szCs w:val="21"/>
              </w:rPr>
              <w:t>以上</w:t>
            </w:r>
          </w:p>
        </w:tc>
        <w:tc>
          <w:tcPr>
            <w:tcW w:w="3950" w:type="dxa"/>
          </w:tcPr>
          <w:p>
            <w:pPr>
              <w:pStyle w:val="9"/>
              <w:ind w:firstLine="0" w:firstLineChars="0"/>
              <w:jc w:val="center"/>
              <w:rPr>
                <w:rFonts w:hAnsi="宋体"/>
                <w:sz w:val="21"/>
                <w:szCs w:val="21"/>
              </w:rPr>
            </w:pPr>
            <w:r>
              <w:rPr>
                <w:rFonts w:hAnsi="宋体"/>
                <w:sz w:val="21"/>
                <w:szCs w:val="21"/>
              </w:rPr>
              <w:t>(</w:t>
            </w:r>
            <w:r>
              <w:rPr>
                <w:rFonts w:hint="eastAsia" w:hAnsi="宋体"/>
                <w:sz w:val="21"/>
                <w:szCs w:val="21"/>
              </w:rPr>
              <w:t>1</w:t>
            </w:r>
            <w:r>
              <w:rPr>
                <w:rFonts w:hAnsi="宋体"/>
                <w:sz w:val="21"/>
                <w:szCs w:val="21"/>
              </w:rPr>
              <w:t>.5,2</w:t>
            </w:r>
            <w:r>
              <w:rPr>
                <w:rFonts w:hint="eastAsia" w:hAnsi="宋体"/>
                <w:sz w:val="21"/>
                <w:szCs w:val="21"/>
              </w:rPr>
              <w:t>.</w:t>
            </w:r>
            <w:r>
              <w:rPr>
                <w:rFonts w:hAnsi="宋体"/>
                <w:sz w:val="21"/>
                <w:szCs w:val="21"/>
              </w:rPr>
              <w:t>0</w:t>
            </w:r>
            <w:r>
              <w:rPr>
                <w:rFonts w:hint="eastAsia" w:hAnsi="宋体"/>
                <w:sz w:val="21"/>
                <w:szCs w:val="21"/>
              </w:rPr>
              <w:t>]</w:t>
            </w:r>
          </w:p>
        </w:tc>
      </w:tr>
    </w:tbl>
    <w:p>
      <w:pPr>
        <w:pStyle w:val="9"/>
        <w:ind w:left="360" w:firstLine="0" w:firstLineChars="0"/>
        <w:rPr>
          <w:rFonts w:hAnsi="宋体"/>
          <w:sz w:val="21"/>
          <w:szCs w:val="21"/>
        </w:rPr>
      </w:pPr>
    </w:p>
    <w:p>
      <w:pPr>
        <w:pStyle w:val="9"/>
        <w:numPr>
          <w:ilvl w:val="0"/>
          <w:numId w:val="1"/>
        </w:numPr>
        <w:ind w:firstLineChars="0"/>
        <w:rPr>
          <w:rFonts w:hAnsi="宋体"/>
          <w:b/>
          <w:sz w:val="21"/>
          <w:szCs w:val="21"/>
        </w:rPr>
      </w:pPr>
      <w:r>
        <w:rPr>
          <w:rFonts w:hint="eastAsia" w:hAnsi="宋体"/>
          <w:b/>
          <w:sz w:val="21"/>
          <w:szCs w:val="21"/>
        </w:rPr>
        <w:t>保险费计算公式</w:t>
      </w:r>
    </w:p>
    <w:p>
      <w:pPr>
        <w:pStyle w:val="9"/>
        <w:rPr>
          <w:rFonts w:hAnsi="宋体"/>
          <w:sz w:val="21"/>
          <w:szCs w:val="21"/>
        </w:rPr>
      </w:pPr>
      <w:r>
        <w:rPr>
          <w:rFonts w:hint="eastAsia"/>
          <w:sz w:val="21"/>
        </w:rPr>
        <w:t>年</w:t>
      </w:r>
      <w:r>
        <w:rPr>
          <w:rFonts w:hint="eastAsia" w:hAnsi="宋体"/>
          <w:sz w:val="21"/>
          <w:szCs w:val="21"/>
        </w:rPr>
        <w:t>保险费=预防接种失效疾病保险金额×预防接种失效疾病保险年基准费率×疫苗类型调整系数×疫苗种类失效风险综合评分调整系数×经验/预期赔付率调整系数</w:t>
      </w:r>
    </w:p>
    <w:p>
      <w:pPr>
        <w:pStyle w:val="9"/>
        <w:rPr>
          <w:rFonts w:hAnsi="宋体"/>
          <w:sz w:val="21"/>
          <w:szCs w:val="21"/>
        </w:rPr>
      </w:pPr>
    </w:p>
    <w:p>
      <w:pPr>
        <w:pStyle w:val="9"/>
        <w:numPr>
          <w:ilvl w:val="0"/>
          <w:numId w:val="1"/>
        </w:numPr>
        <w:ind w:firstLineChars="0"/>
        <w:rPr>
          <w:rFonts w:hAnsi="宋体"/>
          <w:b/>
          <w:sz w:val="21"/>
          <w:szCs w:val="21"/>
        </w:rPr>
      </w:pPr>
      <w:r>
        <w:rPr>
          <w:rFonts w:hint="eastAsia" w:hAnsi="宋体"/>
          <w:b/>
          <w:sz w:val="21"/>
          <w:szCs w:val="21"/>
        </w:rPr>
        <w:t>短期费率表</w:t>
      </w:r>
    </w:p>
    <w:p>
      <w:pPr>
        <w:widowControl/>
        <w:spacing w:after="156"/>
        <w:rPr>
          <w:rFonts w:hAnsi="宋体"/>
          <w:sz w:val="21"/>
          <w:szCs w:val="21"/>
        </w:rPr>
      </w:pPr>
      <w:r>
        <w:rPr>
          <w:rFonts w:hint="eastAsia" w:hAnsi="宋体"/>
          <w:sz w:val="21"/>
          <w:szCs w:val="21"/>
        </w:rPr>
        <w:t>保险期间不足一年的，按以下标准计算短期保险费（按年保险费的百分比计算，不足一个月的按一个月计算）</w:t>
      </w:r>
      <w:bookmarkStart w:id="0" w:name="_GoBack"/>
      <w:bookmarkEnd w:id="0"/>
    </w:p>
    <w:tbl>
      <w:tblPr>
        <w:tblStyle w:val="4"/>
        <w:tblW w:w="8522" w:type="dxa"/>
        <w:jc w:val="center"/>
        <w:tblLayout w:type="fixed"/>
        <w:tblCellMar>
          <w:top w:w="0" w:type="dxa"/>
          <w:left w:w="108" w:type="dxa"/>
          <w:bottom w:w="0" w:type="dxa"/>
          <w:right w:w="108" w:type="dxa"/>
        </w:tblCellMar>
      </w:tblPr>
      <w:tblGrid>
        <w:gridCol w:w="1205"/>
        <w:gridCol w:w="601"/>
        <w:gridCol w:w="601"/>
        <w:gridCol w:w="601"/>
        <w:gridCol w:w="601"/>
        <w:gridCol w:w="601"/>
        <w:gridCol w:w="601"/>
        <w:gridCol w:w="601"/>
        <w:gridCol w:w="601"/>
        <w:gridCol w:w="601"/>
        <w:gridCol w:w="601"/>
        <w:gridCol w:w="601"/>
        <w:gridCol w:w="706"/>
      </w:tblGrid>
      <w:tr>
        <w:tblPrEx>
          <w:tblCellMar>
            <w:top w:w="0" w:type="dxa"/>
            <w:left w:w="108" w:type="dxa"/>
            <w:bottom w:w="0" w:type="dxa"/>
            <w:right w:w="108" w:type="dxa"/>
          </w:tblCellMar>
        </w:tblPrEx>
        <w:trPr>
          <w:trHeight w:val="731" w:hRule="atLeast"/>
          <w:jc w:val="center"/>
        </w:trPr>
        <w:tc>
          <w:tcPr>
            <w:tcW w:w="1205" w:type="dxa"/>
            <w:tcBorders>
              <w:top w:val="single" w:color="000000" w:sz="4" w:space="0"/>
              <w:left w:val="single" w:color="000000" w:sz="4" w:space="0"/>
              <w:bottom w:val="single" w:color="000000" w:sz="4" w:space="0"/>
              <w:right w:val="single" w:color="000000" w:sz="4" w:space="0"/>
            </w:tcBorders>
            <w:vAlign w:val="center"/>
          </w:tcPr>
          <w:p>
            <w:pPr>
              <w:widowControl/>
              <w:spacing w:after="120"/>
              <w:jc w:val="center"/>
              <w:rPr>
                <w:rFonts w:hAnsi="宋体"/>
                <w:sz w:val="21"/>
                <w:szCs w:val="21"/>
              </w:rPr>
            </w:pPr>
            <w:r>
              <w:rPr>
                <w:rFonts w:hint="eastAsia" w:hAnsi="宋体"/>
                <w:sz w:val="21"/>
                <w:szCs w:val="21"/>
              </w:rPr>
              <w:t>保险期间</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int="eastAsia" w:hAnsi="宋体"/>
                <w:sz w:val="21"/>
                <w:szCs w:val="21"/>
              </w:rPr>
              <w:t>一个月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int="eastAsia" w:hAnsi="宋体"/>
                <w:sz w:val="21"/>
                <w:szCs w:val="21"/>
              </w:rPr>
              <w:t>二个月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int="eastAsia" w:hAnsi="宋体"/>
                <w:sz w:val="21"/>
                <w:szCs w:val="21"/>
              </w:rPr>
              <w:t>三个月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int="eastAsia" w:hAnsi="宋体"/>
                <w:sz w:val="21"/>
                <w:szCs w:val="21"/>
              </w:rPr>
              <w:t>四个月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int="eastAsia" w:hAnsi="宋体"/>
                <w:sz w:val="21"/>
                <w:szCs w:val="21"/>
              </w:rPr>
              <w:t>五个月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int="eastAsia" w:hAnsi="宋体"/>
                <w:sz w:val="21"/>
                <w:szCs w:val="21"/>
              </w:rPr>
              <w:t>六个月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int="eastAsia" w:hAnsi="宋体"/>
                <w:sz w:val="21"/>
                <w:szCs w:val="21"/>
              </w:rPr>
              <w:t>七个月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int="eastAsia" w:hAnsi="宋体"/>
                <w:sz w:val="21"/>
                <w:szCs w:val="21"/>
              </w:rPr>
              <w:t>八个月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int="eastAsia" w:hAnsi="宋体"/>
                <w:sz w:val="21"/>
                <w:szCs w:val="21"/>
              </w:rPr>
              <w:t>九个月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int="eastAsia" w:hAnsi="宋体"/>
                <w:sz w:val="21"/>
                <w:szCs w:val="21"/>
              </w:rPr>
              <w:t>十个月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int="eastAsia" w:hAnsi="宋体"/>
                <w:sz w:val="21"/>
                <w:szCs w:val="21"/>
              </w:rPr>
              <w:t>十一个月</w:t>
            </w:r>
          </w:p>
        </w:tc>
        <w:tc>
          <w:tcPr>
            <w:tcW w:w="706" w:type="dxa"/>
            <w:tcBorders>
              <w:top w:val="single" w:color="000000" w:sz="4" w:space="0"/>
              <w:left w:val="nil"/>
              <w:bottom w:val="single" w:color="000000" w:sz="4" w:space="0"/>
              <w:right w:val="single" w:color="000000" w:sz="4" w:space="0"/>
            </w:tcBorders>
            <w:vAlign w:val="center"/>
          </w:tcPr>
          <w:p>
            <w:pPr>
              <w:widowControl/>
              <w:jc w:val="center"/>
              <w:rPr>
                <w:rFonts w:hAnsi="宋体"/>
                <w:sz w:val="21"/>
                <w:szCs w:val="21"/>
              </w:rPr>
            </w:pPr>
            <w:r>
              <w:rPr>
                <w:rFonts w:hint="eastAsia" w:hAnsi="宋体"/>
                <w:sz w:val="21"/>
                <w:szCs w:val="21"/>
              </w:rPr>
              <w:t>十</w:t>
            </w:r>
          </w:p>
          <w:p>
            <w:pPr>
              <w:widowControl/>
              <w:jc w:val="center"/>
              <w:rPr>
                <w:rFonts w:hAnsi="宋体"/>
                <w:sz w:val="21"/>
                <w:szCs w:val="21"/>
              </w:rPr>
            </w:pPr>
            <w:r>
              <w:rPr>
                <w:rFonts w:hint="eastAsia" w:hAnsi="宋体"/>
                <w:sz w:val="21"/>
                <w:szCs w:val="21"/>
              </w:rPr>
              <w:t>二</w:t>
            </w:r>
          </w:p>
          <w:p>
            <w:pPr>
              <w:widowControl/>
              <w:jc w:val="center"/>
              <w:rPr>
                <w:rFonts w:hAnsi="宋体"/>
                <w:sz w:val="21"/>
                <w:szCs w:val="21"/>
              </w:rPr>
            </w:pPr>
            <w:r>
              <w:rPr>
                <w:rFonts w:hint="eastAsia" w:hAnsi="宋体"/>
                <w:sz w:val="21"/>
                <w:szCs w:val="21"/>
              </w:rPr>
              <w:t>个</w:t>
            </w:r>
          </w:p>
          <w:p>
            <w:pPr>
              <w:widowControl/>
              <w:jc w:val="center"/>
              <w:rPr>
                <w:rFonts w:hAnsi="宋体"/>
                <w:sz w:val="21"/>
                <w:szCs w:val="21"/>
              </w:rPr>
            </w:pPr>
            <w:r>
              <w:rPr>
                <w:rFonts w:hint="eastAsia" w:hAnsi="宋体"/>
                <w:sz w:val="21"/>
                <w:szCs w:val="21"/>
              </w:rPr>
              <w:t>月</w:t>
            </w:r>
          </w:p>
        </w:tc>
      </w:tr>
      <w:tr>
        <w:tblPrEx>
          <w:tblCellMar>
            <w:top w:w="0" w:type="dxa"/>
            <w:left w:w="108" w:type="dxa"/>
            <w:bottom w:w="0" w:type="dxa"/>
            <w:right w:w="108" w:type="dxa"/>
          </w:tblCellMar>
        </w:tblPrEx>
        <w:trPr>
          <w:trHeight w:val="397" w:hRule="atLeast"/>
          <w:jc w:val="center"/>
        </w:trPr>
        <w:tc>
          <w:tcPr>
            <w:tcW w:w="1205" w:type="dxa"/>
            <w:tcBorders>
              <w:top w:val="single" w:color="000000" w:sz="4" w:space="0"/>
              <w:left w:val="single" w:color="000000" w:sz="4" w:space="0"/>
              <w:bottom w:val="single" w:color="000000" w:sz="4" w:space="0"/>
              <w:right w:val="single" w:color="000000" w:sz="4" w:space="0"/>
            </w:tcBorders>
            <w:vAlign w:val="center"/>
          </w:tcPr>
          <w:p>
            <w:pPr>
              <w:widowControl/>
              <w:spacing w:after="120"/>
              <w:jc w:val="center"/>
              <w:rPr>
                <w:rFonts w:hAnsi="宋体"/>
                <w:sz w:val="21"/>
                <w:szCs w:val="21"/>
              </w:rPr>
            </w:pPr>
            <w:r>
              <w:rPr>
                <w:rFonts w:hint="eastAsia" w:hAnsi="宋体"/>
                <w:sz w:val="21"/>
                <w:szCs w:val="21"/>
              </w:rPr>
              <w:t>年保险费的百分比</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Ansi="宋体"/>
                <w:sz w:val="21"/>
                <w:szCs w:val="21"/>
              </w:rPr>
              <w:t>10%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Ansi="宋体"/>
                <w:sz w:val="21"/>
                <w:szCs w:val="21"/>
              </w:rPr>
              <w:t>20%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Ansi="宋体"/>
                <w:sz w:val="21"/>
                <w:szCs w:val="21"/>
              </w:rPr>
              <w:t>30%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Ansi="宋体"/>
                <w:sz w:val="21"/>
                <w:szCs w:val="21"/>
              </w:rPr>
              <w:t>40%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Ansi="宋体"/>
                <w:sz w:val="21"/>
                <w:szCs w:val="21"/>
              </w:rPr>
              <w:t>50%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Ansi="宋体"/>
                <w:sz w:val="21"/>
                <w:szCs w:val="21"/>
              </w:rPr>
              <w:t>60%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Ansi="宋体"/>
                <w:sz w:val="21"/>
                <w:szCs w:val="21"/>
              </w:rPr>
              <w:t>70%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Ansi="宋体"/>
                <w:sz w:val="21"/>
                <w:szCs w:val="21"/>
              </w:rPr>
              <w:t>80%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Ansi="宋体"/>
                <w:sz w:val="21"/>
                <w:szCs w:val="21"/>
              </w:rPr>
              <w:t>85%</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Ansi="宋体"/>
                <w:sz w:val="21"/>
                <w:szCs w:val="21"/>
              </w:rPr>
              <w:t>90%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Ansi="宋体"/>
                <w:sz w:val="21"/>
                <w:szCs w:val="21"/>
              </w:rPr>
              <w:t>95%</w:t>
            </w:r>
          </w:p>
        </w:tc>
        <w:tc>
          <w:tcPr>
            <w:tcW w:w="706" w:type="dxa"/>
            <w:tcBorders>
              <w:top w:val="single" w:color="000000" w:sz="4" w:space="0"/>
              <w:left w:val="nil"/>
              <w:bottom w:val="single" w:color="000000" w:sz="4" w:space="0"/>
              <w:right w:val="single" w:color="000000" w:sz="4" w:space="0"/>
            </w:tcBorders>
            <w:vAlign w:val="center"/>
          </w:tcPr>
          <w:p>
            <w:pPr>
              <w:widowControl/>
              <w:spacing w:after="120"/>
              <w:jc w:val="center"/>
              <w:rPr>
                <w:rFonts w:hAnsi="宋体"/>
                <w:sz w:val="21"/>
                <w:szCs w:val="21"/>
              </w:rPr>
            </w:pPr>
            <w:r>
              <w:rPr>
                <w:rFonts w:hAnsi="宋体"/>
                <w:sz w:val="21"/>
                <w:szCs w:val="21"/>
              </w:rPr>
              <w:t>100%</w:t>
            </w:r>
          </w:p>
        </w:tc>
      </w:tr>
    </w:tbl>
    <w:p>
      <w:pPr>
        <w:pStyle w:val="9"/>
        <w:ind w:left="450" w:firstLine="0" w:firstLineChars="0"/>
        <w:rPr>
          <w:sz w:val="28"/>
          <w:szCs w:val="28"/>
        </w:rPr>
      </w:pPr>
    </w:p>
    <w:p>
      <w:pPr>
        <w:rPr>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C6B9B"/>
    <w:multiLevelType w:val="multilevel"/>
    <w:tmpl w:val="328C6B9B"/>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0287DE1"/>
    <w:multiLevelType w:val="multilevel"/>
    <w:tmpl w:val="40287DE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063"/>
    <w:rsid w:val="00041D37"/>
    <w:rsid w:val="0017703A"/>
    <w:rsid w:val="001B11E8"/>
    <w:rsid w:val="002B6530"/>
    <w:rsid w:val="002E4D87"/>
    <w:rsid w:val="00463122"/>
    <w:rsid w:val="00516063"/>
    <w:rsid w:val="00601EAD"/>
    <w:rsid w:val="007837E6"/>
    <w:rsid w:val="007D719E"/>
    <w:rsid w:val="00816EC4"/>
    <w:rsid w:val="00821713"/>
    <w:rsid w:val="00872D76"/>
    <w:rsid w:val="008B071C"/>
    <w:rsid w:val="00931FF2"/>
    <w:rsid w:val="00967E45"/>
    <w:rsid w:val="00986CC0"/>
    <w:rsid w:val="009B15F7"/>
    <w:rsid w:val="00A05E6E"/>
    <w:rsid w:val="00A269F3"/>
    <w:rsid w:val="00AB1298"/>
    <w:rsid w:val="00B420B4"/>
    <w:rsid w:val="00B72160"/>
    <w:rsid w:val="00C35332"/>
    <w:rsid w:val="00C8627B"/>
    <w:rsid w:val="00CA738F"/>
    <w:rsid w:val="00E44001"/>
    <w:rsid w:val="00E45CF7"/>
    <w:rsid w:val="00E67DBA"/>
    <w:rsid w:val="11B16D8A"/>
    <w:rsid w:val="27DD0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 w:type="paragraph" w:customStyle="1" w:styleId="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380</Words>
  <Characters>419</Characters>
  <Lines>52</Lines>
  <Paragraphs>24</Paragraphs>
  <TotalTime>22</TotalTime>
  <ScaleCrop>false</ScaleCrop>
  <LinksUpToDate>false</LinksUpToDate>
  <CharactersWithSpaces>775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2019-11-15T08:49:00Z</dcterms:created>
  <dc:creator>wang xiaoyang</dc:creator>
  <cp:lastModifiedBy>应艳萱</cp:lastModifiedBy>
  <dcterms:modified xsi:type="dcterms:W3CDTF">2020-11-19T02:16:33Z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