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E2B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华农财产保险股份有限公司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非机动车第三者</w:t>
      </w:r>
      <w:r>
        <w:rPr>
          <w:rFonts w:hint="eastAsia"/>
          <w:b/>
          <w:sz w:val="28"/>
          <w:szCs w:val="28"/>
          <w:lang w:val="en-US" w:eastAsia="zh-CN"/>
        </w:rPr>
        <w:t>责任保险</w:t>
      </w:r>
      <w:r>
        <w:rPr>
          <w:rFonts w:hint="eastAsia"/>
          <w:b/>
          <w:sz w:val="28"/>
          <w:szCs w:val="28"/>
        </w:rPr>
        <w:t>附加</w:t>
      </w:r>
      <w:r>
        <w:rPr>
          <w:rFonts w:hint="eastAsia"/>
          <w:b/>
          <w:sz w:val="28"/>
          <w:szCs w:val="28"/>
          <w:lang w:val="en-US" w:eastAsia="zh-CN"/>
        </w:rPr>
        <w:t>家庭成员</w:t>
      </w:r>
      <w:r>
        <w:rPr>
          <w:rFonts w:hint="eastAsia"/>
          <w:b/>
          <w:sz w:val="28"/>
          <w:szCs w:val="28"/>
        </w:rPr>
        <w:t>救护车</w:t>
      </w:r>
      <w:r>
        <w:rPr>
          <w:rFonts w:hint="eastAsia"/>
          <w:b/>
          <w:sz w:val="28"/>
          <w:szCs w:val="28"/>
          <w:lang w:val="en-US" w:eastAsia="zh-CN"/>
        </w:rPr>
        <w:t>费用医疗</w:t>
      </w:r>
      <w:r>
        <w:rPr>
          <w:rFonts w:hint="eastAsia"/>
          <w:b/>
          <w:sz w:val="28"/>
          <w:szCs w:val="28"/>
        </w:rPr>
        <w:t>保险（互联网专属）费率表</w:t>
      </w:r>
    </w:p>
    <w:p w14:paraId="7CED47A1">
      <w:pPr>
        <w:jc w:val="center"/>
        <w:rPr>
          <w:b/>
          <w:sz w:val="28"/>
          <w:szCs w:val="28"/>
        </w:rPr>
      </w:pPr>
    </w:p>
    <w:p w14:paraId="536B2DDB">
      <w:pPr>
        <w:pStyle w:val="9"/>
        <w:numPr>
          <w:ilvl w:val="0"/>
          <w:numId w:val="1"/>
        </w:numPr>
        <w:ind w:firstLineChars="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基准费率</w:t>
      </w:r>
    </w:p>
    <w:p w14:paraId="78A55B4A">
      <w:pPr>
        <w:pStyle w:val="9"/>
        <w:numPr>
          <w:ilvl w:val="-1"/>
          <w:numId w:val="0"/>
        </w:numPr>
        <w:ind w:left="0" w:firstLine="0" w:firstLineChars="0"/>
        <w:jc w:val="right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>单位：元</w:t>
      </w:r>
    </w:p>
    <w:p w14:paraId="34B3076E">
      <w:pPr>
        <w:pStyle w:val="9"/>
        <w:numPr>
          <w:ilvl w:val="0"/>
          <w:numId w:val="2"/>
        </w:numPr>
        <w:ind w:left="0" w:firstLine="0" w:firstLineChars="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>基准免赔额 (率)：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0</w:t>
      </w:r>
    </w:p>
    <w:p w14:paraId="5F619094">
      <w:pPr>
        <w:pStyle w:val="9"/>
        <w:numPr>
          <w:ilvl w:val="0"/>
          <w:numId w:val="2"/>
        </w:numPr>
        <w:ind w:left="0" w:firstLine="0" w:firstLineChars="0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>基准赔付比例：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若被保险人以参加基本医疗保险或公费医疗身份就诊并结算的，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赔付比例为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100%；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若被保险人未以参加基本医疗保险或公费医疗身份就诊并结算的，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赔付比例为60%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；</w:t>
      </w:r>
    </w:p>
    <w:p w14:paraId="21C6A4E6">
      <w:pPr>
        <w:pStyle w:val="9"/>
        <w:numPr>
          <w:ilvl w:val="-1"/>
          <w:numId w:val="0"/>
        </w:numPr>
        <w:ind w:left="0" w:firstLine="0" w:firstLineChars="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基准费率：</w:t>
      </w:r>
      <w:r>
        <w:rPr>
          <w:rFonts w:hint="eastAsia" w:ascii="宋体" w:hAnsi="宋体" w:eastAsia="宋体" w:cs="宋体"/>
          <w:b w:val="0"/>
          <w:bCs/>
          <w:szCs w:val="21"/>
        </w:rPr>
        <w:t>2‰</w:t>
      </w:r>
    </w:p>
    <w:p w14:paraId="1A645E61">
      <w:pPr>
        <w:pStyle w:val="9"/>
        <w:numPr>
          <w:ilvl w:val="-1"/>
          <w:numId w:val="0"/>
        </w:numPr>
        <w:ind w:left="0" w:firstLine="0" w:firstLineChars="0"/>
        <w:rPr>
          <w:rFonts w:hint="eastAsia" w:ascii="宋体" w:hAnsi="宋体" w:eastAsia="宋体" w:cs="宋体"/>
          <w:b/>
          <w:szCs w:val="21"/>
        </w:rPr>
      </w:pPr>
    </w:p>
    <w:p w14:paraId="349E0358">
      <w:pPr>
        <w:pStyle w:val="9"/>
        <w:numPr>
          <w:ilvl w:val="0"/>
          <w:numId w:val="1"/>
        </w:numPr>
        <w:ind w:firstLineChars="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>费率调整系数</w:t>
      </w:r>
    </w:p>
    <w:p w14:paraId="4982ECB3">
      <w:pPr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、免赔</w:t>
      </w:r>
      <w:r>
        <w:rPr>
          <w:rFonts w:hint="eastAsia" w:ascii="宋体" w:hAnsi="宋体" w:eastAsia="宋体" w:cs="宋体"/>
          <w:szCs w:val="21"/>
          <w:lang w:val="en-US" w:eastAsia="zh-CN"/>
        </w:rPr>
        <w:t>额 (率)</w:t>
      </w:r>
      <w:r>
        <w:rPr>
          <w:rFonts w:hint="eastAsia" w:ascii="宋体" w:hAnsi="宋体" w:eastAsia="宋体" w:cs="宋体"/>
          <w:szCs w:val="21"/>
        </w:rPr>
        <w:t>调整系数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F1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tbl>
      <w:tblPr>
        <w:tblStyle w:val="4"/>
        <w:tblW w:w="852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2"/>
        <w:gridCol w:w="2779"/>
      </w:tblGrid>
      <w:tr w14:paraId="42A8A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205A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免赔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额 (率)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104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调整系数</w:t>
            </w:r>
          </w:p>
        </w:tc>
      </w:tr>
      <w:tr w14:paraId="3DF2F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271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2167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1.0</w:t>
            </w:r>
          </w:p>
        </w:tc>
      </w:tr>
      <w:tr w14:paraId="1FBDF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40BA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200元或核定赔偿金额的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％，两者以高者为准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F3E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0.9</w:t>
            </w:r>
          </w:p>
        </w:tc>
      </w:tr>
      <w:tr w14:paraId="4DBDE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CAA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400元或核定赔偿金额的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％，两者以高者为准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39E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0.8</w:t>
            </w:r>
          </w:p>
        </w:tc>
      </w:tr>
      <w:tr w14:paraId="68363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B37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500元或核定赔偿金额的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％，两者以高者为准</w:t>
            </w:r>
          </w:p>
        </w:tc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E99D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0.7</w:t>
            </w:r>
          </w:p>
        </w:tc>
      </w:tr>
    </w:tbl>
    <w:p w14:paraId="6F510C58">
      <w:pPr>
        <w:rPr>
          <w:rFonts w:hint="eastAsia" w:ascii="宋体" w:hAnsi="宋体" w:eastAsia="宋体" w:cs="宋体"/>
          <w:szCs w:val="21"/>
        </w:rPr>
      </w:pPr>
    </w:p>
    <w:p w14:paraId="146AC528"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赔付比例调整系数（F2）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907"/>
        <w:gridCol w:w="2780"/>
      </w:tblGrid>
      <w:tr w14:paraId="27A44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0A325F54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被保险人以参加基本医疗保险或公费医疗身份就诊并结算的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赔付比例</w:t>
            </w:r>
          </w:p>
        </w:tc>
        <w:tc>
          <w:tcPr>
            <w:tcW w:w="2907" w:type="dxa"/>
            <w:vAlign w:val="center"/>
          </w:tcPr>
          <w:p w14:paraId="11C7D7A2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被保险人未以参加基本医疗保险或公费医疗身份就诊并结算的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赔付比例</w:t>
            </w:r>
          </w:p>
        </w:tc>
        <w:tc>
          <w:tcPr>
            <w:tcW w:w="2780" w:type="dxa"/>
            <w:vAlign w:val="center"/>
          </w:tcPr>
          <w:p w14:paraId="59310D43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调整系数</w:t>
            </w:r>
          </w:p>
        </w:tc>
      </w:tr>
      <w:tr w14:paraId="56186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2EC028AD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  <w:tc>
          <w:tcPr>
            <w:tcW w:w="2907" w:type="dxa"/>
            <w:vAlign w:val="center"/>
          </w:tcPr>
          <w:p w14:paraId="0DD1DEF7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2780" w:type="dxa"/>
            <w:vAlign w:val="center"/>
          </w:tcPr>
          <w:p w14:paraId="39052E11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1.0</w:t>
            </w:r>
          </w:p>
        </w:tc>
      </w:tr>
      <w:tr w14:paraId="7C39B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300FA0E4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90%</w:t>
            </w:r>
          </w:p>
        </w:tc>
        <w:tc>
          <w:tcPr>
            <w:tcW w:w="2907" w:type="dxa"/>
            <w:vAlign w:val="center"/>
          </w:tcPr>
          <w:p w14:paraId="7B17B170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54%</w:t>
            </w:r>
          </w:p>
        </w:tc>
        <w:tc>
          <w:tcPr>
            <w:tcW w:w="2780" w:type="dxa"/>
            <w:vAlign w:val="center"/>
          </w:tcPr>
          <w:p w14:paraId="1A0082C0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0.9</w:t>
            </w:r>
          </w:p>
        </w:tc>
      </w:tr>
      <w:tr w14:paraId="2E3D0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191BC370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80%</w:t>
            </w:r>
          </w:p>
        </w:tc>
        <w:tc>
          <w:tcPr>
            <w:tcW w:w="2907" w:type="dxa"/>
            <w:vAlign w:val="center"/>
          </w:tcPr>
          <w:p w14:paraId="13630B56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48%</w:t>
            </w:r>
          </w:p>
        </w:tc>
        <w:tc>
          <w:tcPr>
            <w:tcW w:w="2780" w:type="dxa"/>
            <w:vAlign w:val="center"/>
          </w:tcPr>
          <w:p w14:paraId="23DB88B3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0.8</w:t>
            </w:r>
          </w:p>
        </w:tc>
      </w:tr>
      <w:tr w14:paraId="1951C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32A7867C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70%</w:t>
            </w:r>
          </w:p>
        </w:tc>
        <w:tc>
          <w:tcPr>
            <w:tcW w:w="2907" w:type="dxa"/>
            <w:vAlign w:val="center"/>
          </w:tcPr>
          <w:p w14:paraId="5137302D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42%</w:t>
            </w:r>
          </w:p>
        </w:tc>
        <w:tc>
          <w:tcPr>
            <w:tcW w:w="2780" w:type="dxa"/>
            <w:vAlign w:val="center"/>
          </w:tcPr>
          <w:p w14:paraId="0D9C82C6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0.7</w:t>
            </w:r>
          </w:p>
        </w:tc>
      </w:tr>
      <w:tr w14:paraId="15C8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7A3776CC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60%</w:t>
            </w:r>
          </w:p>
        </w:tc>
        <w:tc>
          <w:tcPr>
            <w:tcW w:w="2907" w:type="dxa"/>
            <w:vAlign w:val="center"/>
          </w:tcPr>
          <w:p w14:paraId="6418DF2D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36%</w:t>
            </w:r>
          </w:p>
        </w:tc>
        <w:tc>
          <w:tcPr>
            <w:tcW w:w="2780" w:type="dxa"/>
            <w:vAlign w:val="center"/>
          </w:tcPr>
          <w:p w14:paraId="7B808C03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0.6</w:t>
            </w:r>
          </w:p>
        </w:tc>
      </w:tr>
      <w:tr w14:paraId="63EC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7BC182FC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50%</w:t>
            </w:r>
          </w:p>
        </w:tc>
        <w:tc>
          <w:tcPr>
            <w:tcW w:w="2907" w:type="dxa"/>
            <w:vAlign w:val="center"/>
          </w:tcPr>
          <w:p w14:paraId="7C920C95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30%</w:t>
            </w:r>
          </w:p>
        </w:tc>
        <w:tc>
          <w:tcPr>
            <w:tcW w:w="2780" w:type="dxa"/>
            <w:vAlign w:val="center"/>
          </w:tcPr>
          <w:p w14:paraId="7BBD7AB3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</w:tr>
      <w:tr w14:paraId="4BDD4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vAlign w:val="center"/>
          </w:tcPr>
          <w:p w14:paraId="683875BF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40%</w:t>
            </w:r>
          </w:p>
        </w:tc>
        <w:tc>
          <w:tcPr>
            <w:tcW w:w="2907" w:type="dxa"/>
            <w:vAlign w:val="center"/>
          </w:tcPr>
          <w:p w14:paraId="60D51339">
            <w:pPr>
              <w:adjustRightInd w:val="0"/>
              <w:snapToGrid w:val="0"/>
              <w:spacing w:after="0" w:afterLine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24%</w:t>
            </w:r>
          </w:p>
        </w:tc>
        <w:tc>
          <w:tcPr>
            <w:tcW w:w="2780" w:type="dxa"/>
            <w:vAlign w:val="center"/>
          </w:tcPr>
          <w:p w14:paraId="1FF75915">
            <w:pPr>
              <w:adjustRightInd w:val="0"/>
              <w:snapToGrid w:val="0"/>
              <w:spacing w:after="0" w:afterLine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/>
              </w:rPr>
              <w:t>0.4</w:t>
            </w:r>
          </w:p>
        </w:tc>
      </w:tr>
    </w:tbl>
    <w:p w14:paraId="1FE34F3A">
      <w:pPr>
        <w:rPr>
          <w:rFonts w:hint="eastAsia" w:ascii="宋体" w:hAnsi="宋体" w:eastAsia="宋体" w:cs="宋体"/>
          <w:szCs w:val="21"/>
        </w:rPr>
      </w:pPr>
    </w:p>
    <w:p w14:paraId="0987D545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、家庭保险金额分配方式调整系数（F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4"/>
        <w:tblW w:w="852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0"/>
        <w:gridCol w:w="2771"/>
      </w:tblGrid>
      <w:tr w14:paraId="6F26A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D082B">
            <w:pPr>
              <w:pStyle w:val="1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家庭保险金额分配方式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30095">
            <w:pPr>
              <w:pStyle w:val="1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 w14:paraId="4D261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7CADD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均分家庭保险金额</w:t>
            </w:r>
          </w:p>
        </w:tc>
        <w:tc>
          <w:tcPr>
            <w:tcW w:w="2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73D68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 w14:paraId="4F42D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5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0F562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共享家庭保险金额</w:t>
            </w:r>
          </w:p>
        </w:tc>
        <w:tc>
          <w:tcPr>
            <w:tcW w:w="2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B5787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</w:tr>
    </w:tbl>
    <w:p w14:paraId="263CB86C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、被保险家庭成员人数调整系数（F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5"/>
        <w:tblW w:w="85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0"/>
        <w:gridCol w:w="2769"/>
      </w:tblGrid>
      <w:tr w14:paraId="5BE30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750" w:type="dxa"/>
          </w:tcPr>
          <w:p w14:paraId="07B30C2B">
            <w:pPr>
              <w:pStyle w:val="1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被保险家庭成员人数（人）</w:t>
            </w:r>
          </w:p>
        </w:tc>
        <w:tc>
          <w:tcPr>
            <w:tcW w:w="2769" w:type="dxa"/>
          </w:tcPr>
          <w:p w14:paraId="51517019">
            <w:pPr>
              <w:pStyle w:val="1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 w14:paraId="73FC2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750" w:type="dxa"/>
          </w:tcPr>
          <w:p w14:paraId="70830C0C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769" w:type="dxa"/>
          </w:tcPr>
          <w:p w14:paraId="56F40D96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</w:tr>
      <w:tr w14:paraId="55556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750" w:type="dxa"/>
          </w:tcPr>
          <w:p w14:paraId="172AC8F3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769" w:type="dxa"/>
          </w:tcPr>
          <w:p w14:paraId="4E364DE6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 w14:paraId="62D79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750" w:type="dxa"/>
          </w:tcPr>
          <w:p w14:paraId="5224A1C5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[3,6]</w:t>
            </w:r>
          </w:p>
        </w:tc>
        <w:tc>
          <w:tcPr>
            <w:tcW w:w="2769" w:type="dxa"/>
          </w:tcPr>
          <w:p w14:paraId="059F768A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[1.2,2.0]</w:t>
            </w:r>
          </w:p>
        </w:tc>
      </w:tr>
      <w:tr w14:paraId="7CA28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750" w:type="dxa"/>
          </w:tcPr>
          <w:p w14:paraId="6A5438AE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＞6</w:t>
            </w:r>
          </w:p>
        </w:tc>
        <w:tc>
          <w:tcPr>
            <w:tcW w:w="2769" w:type="dxa"/>
          </w:tcPr>
          <w:p w14:paraId="711824AC">
            <w:pPr>
              <w:pStyle w:val="1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（2.0,3.0]</w:t>
            </w:r>
          </w:p>
        </w:tc>
      </w:tr>
    </w:tbl>
    <w:p w14:paraId="03458CA9">
      <w:pPr>
        <w:rPr>
          <w:rFonts w:hint="default" w:ascii="宋体" w:hAnsi="宋体" w:eastAsia="宋体" w:cs="宋体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Cs w:val="21"/>
          <w:lang w:val="en-US" w:eastAsia="zh-CN"/>
        </w:rPr>
        <w:t>注：仅适用于共享家庭保险金额分配方式。</w:t>
      </w:r>
    </w:p>
    <w:bookmarkEnd w:id="0"/>
    <w:p w14:paraId="51A94CD9">
      <w:pPr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Cs w:val="21"/>
        </w:rPr>
        <w:t>不同销售区域调整系数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F5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tbl>
      <w:tblPr>
        <w:tblStyle w:val="4"/>
        <w:tblW w:w="85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2"/>
        <w:gridCol w:w="2799"/>
      </w:tblGrid>
      <w:tr w14:paraId="2ACA8A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</w:tcBorders>
            <w:shd w:val="clear" w:color="auto" w:fill="FFFFFF"/>
            <w:vAlign w:val="top"/>
          </w:tcPr>
          <w:p w14:paraId="789DBFA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销售区域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BB5A602">
            <w:pPr>
              <w:ind w:firstLine="413" w:firstLineChars="196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调整系数</w:t>
            </w:r>
          </w:p>
        </w:tc>
      </w:tr>
      <w:tr w14:paraId="751FFC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442816E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华东地区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B3D5983">
            <w:pPr>
              <w:ind w:firstLine="411" w:firstLineChars="19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(0.7,1.0]</w:t>
            </w:r>
          </w:p>
        </w:tc>
      </w:tr>
      <w:tr w14:paraId="40A82B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CE52E37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华北地区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FE65685">
            <w:pPr>
              <w:ind w:firstLine="411" w:firstLineChars="19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(0.8,1.0]</w:t>
            </w:r>
          </w:p>
        </w:tc>
      </w:tr>
      <w:tr w14:paraId="3C6344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265A00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西南地区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D31D6D9">
            <w:pPr>
              <w:ind w:firstLine="411" w:firstLineChars="19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,1.2]</w:t>
            </w:r>
          </w:p>
        </w:tc>
      </w:tr>
      <w:tr w14:paraId="3D591E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EEE20D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其他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10C8A08">
            <w:pPr>
              <w:ind w:firstLine="411" w:firstLineChars="19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(1.0,1.2]</w:t>
            </w:r>
          </w:p>
        </w:tc>
      </w:tr>
    </w:tbl>
    <w:p w14:paraId="26DBEF11">
      <w:pPr>
        <w:pStyle w:val="9"/>
        <w:numPr>
          <w:ilvl w:val="-1"/>
          <w:numId w:val="0"/>
        </w:numPr>
        <w:ind w:left="0" w:firstLine="0" w:firstLineChars="0"/>
        <w:jc w:val="center"/>
        <w:rPr>
          <w:rFonts w:hint="eastAsia" w:ascii="宋体" w:hAnsi="宋体" w:eastAsia="宋体" w:cs="宋体"/>
          <w:b/>
          <w:szCs w:val="21"/>
        </w:rPr>
      </w:pPr>
    </w:p>
    <w:p w14:paraId="34AD7B74">
      <w:pPr>
        <w:pStyle w:val="9"/>
        <w:numPr>
          <w:ilvl w:val="0"/>
          <w:numId w:val="1"/>
        </w:numPr>
        <w:ind w:firstLineChars="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保险费计算</w:t>
      </w:r>
    </w:p>
    <w:p w14:paraId="0CC256E5">
      <w:pPr>
        <w:spacing w:after="156" w:afterLines="50"/>
        <w:rPr>
          <w:rFonts w:hint="eastAsia"/>
          <w:b/>
          <w:sz w:val="28"/>
          <w:szCs w:val="28"/>
        </w:rPr>
      </w:pPr>
      <w:r>
        <w:rPr>
          <w:rFonts w:hint="eastAsia" w:ascii="宋体" w:hAnsi="宋体" w:eastAsia="宋体" w:cs="宋体"/>
          <w:bCs/>
          <w:szCs w:val="21"/>
        </w:rPr>
        <w:t>保险费=保险金额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Cs/>
          <w:szCs w:val="21"/>
        </w:rPr>
        <w:t>基准费率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F3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F4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F5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7255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93C1E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993C1E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242D8"/>
    <w:multiLevelType w:val="singleLevel"/>
    <w:tmpl w:val="C10242D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7AE7955"/>
    <w:multiLevelType w:val="multilevel"/>
    <w:tmpl w:val="27AE7955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A8769C"/>
    <w:rsid w:val="00034CFC"/>
    <w:rsid w:val="002630FA"/>
    <w:rsid w:val="002B7773"/>
    <w:rsid w:val="00334ADC"/>
    <w:rsid w:val="00344037"/>
    <w:rsid w:val="00385B89"/>
    <w:rsid w:val="00435874"/>
    <w:rsid w:val="004D3D26"/>
    <w:rsid w:val="00511CD2"/>
    <w:rsid w:val="005B3D59"/>
    <w:rsid w:val="005C50B2"/>
    <w:rsid w:val="00652472"/>
    <w:rsid w:val="006A7A31"/>
    <w:rsid w:val="00721FC1"/>
    <w:rsid w:val="007C5AE0"/>
    <w:rsid w:val="008345BC"/>
    <w:rsid w:val="0090447E"/>
    <w:rsid w:val="00927E8C"/>
    <w:rsid w:val="009C4B3B"/>
    <w:rsid w:val="009D4897"/>
    <w:rsid w:val="00A8769C"/>
    <w:rsid w:val="00B24C7B"/>
    <w:rsid w:val="00B83375"/>
    <w:rsid w:val="00C51B22"/>
    <w:rsid w:val="00C825C4"/>
    <w:rsid w:val="00CB376A"/>
    <w:rsid w:val="00D25692"/>
    <w:rsid w:val="00D51A97"/>
    <w:rsid w:val="00FC152E"/>
    <w:rsid w:val="00FD1E7B"/>
    <w:rsid w:val="0318371D"/>
    <w:rsid w:val="057359F7"/>
    <w:rsid w:val="090C5026"/>
    <w:rsid w:val="1198523B"/>
    <w:rsid w:val="21001939"/>
    <w:rsid w:val="22B44E6A"/>
    <w:rsid w:val="23613D52"/>
    <w:rsid w:val="53652064"/>
    <w:rsid w:val="7271444E"/>
    <w:rsid w:val="733F0A3F"/>
    <w:rsid w:val="7B2462F6"/>
    <w:rsid w:val="7B9C1B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515</Words>
  <Characters>649</Characters>
  <Lines>1</Lines>
  <Paragraphs>1</Paragraphs>
  <TotalTime>0</TotalTime>
  <ScaleCrop>false</ScaleCrop>
  <LinksUpToDate>false</LinksUpToDate>
  <CharactersWithSpaces>652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2018-04-04T02:23:00Z</dcterms:created>
  <dc:creator>刘倩</dc:creator>
  <cp:lastModifiedBy>流萤</cp:lastModifiedBy>
  <dcterms:modified xsi:type="dcterms:W3CDTF">2024-06-24T03:07:51Z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74B5E85455C74EA6B642E563E01E7408_13</vt:lpwstr>
  </property>
</Properties>
</file>