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Ansi="宋体" w:cs="Arial"/>
          <w:b/>
          <w:color w:val="000000"/>
          <w:kern w:val="2"/>
          <w:sz w:val="28"/>
          <w:szCs w:val="28"/>
        </w:rPr>
      </w:pPr>
      <w:r>
        <w:rPr>
          <w:rFonts w:hint="eastAsia" w:hAnsi="宋体" w:cs="宋体"/>
          <w:b/>
          <w:color w:val="000000"/>
          <w:kern w:val="2"/>
          <w:sz w:val="28"/>
          <w:szCs w:val="28"/>
        </w:rPr>
        <w:t>华农财产保险股份有限公司</w:t>
      </w:r>
    </w:p>
    <w:p>
      <w:pPr>
        <w:pStyle w:val="6"/>
        <w:adjustRightInd w:val="0"/>
        <w:snapToGrid w:val="0"/>
        <w:spacing w:after="0" w:afterAutospacing="0"/>
        <w:jc w:val="center"/>
        <w:outlineLvl w:val="1"/>
        <w:rPr>
          <w:rFonts w:cs="Arial"/>
          <w:b/>
          <w:color w:val="000000"/>
          <w:kern w:val="2"/>
          <w:sz w:val="28"/>
          <w:szCs w:val="28"/>
        </w:rPr>
      </w:pPr>
      <w:r>
        <w:rPr>
          <w:rFonts w:hint="eastAsia" w:cs="Arial"/>
          <w:b/>
          <w:color w:val="000000"/>
          <w:kern w:val="2"/>
          <w:sz w:val="28"/>
          <w:szCs w:val="28"/>
        </w:rPr>
        <w:t>个人特定疾病</w:t>
      </w:r>
      <w:r>
        <w:rPr>
          <w:rFonts w:hint="eastAsia"/>
          <w:b/>
          <w:color w:val="000000"/>
          <w:kern w:val="2"/>
          <w:sz w:val="28"/>
          <w:szCs w:val="28"/>
        </w:rPr>
        <w:t>保险C款</w:t>
      </w:r>
      <w:r>
        <w:rPr>
          <w:rFonts w:hint="eastAsia" w:cs="Arial"/>
          <w:b/>
          <w:color w:val="000000"/>
          <w:kern w:val="2"/>
          <w:sz w:val="28"/>
          <w:szCs w:val="28"/>
        </w:rPr>
        <w:t>费率表（互联网专属）</w:t>
      </w:r>
    </w:p>
    <w:p>
      <w:pPr>
        <w:pStyle w:val="6"/>
        <w:adjustRightInd w:val="0"/>
        <w:snapToGrid w:val="0"/>
        <w:spacing w:after="156" w:afterLines="50" w:afterAutospacing="0"/>
        <w:jc w:val="center"/>
        <w:rPr>
          <w:rFonts w:cs="Arial"/>
          <w:b/>
          <w:color w:val="000000"/>
          <w:kern w:val="2"/>
          <w:sz w:val="21"/>
          <w:szCs w:val="21"/>
        </w:rPr>
      </w:pPr>
      <w:r>
        <w:rPr>
          <w:rFonts w:hint="eastAsia" w:cs="Arial"/>
          <w:b/>
          <w:color w:val="000000"/>
          <w:kern w:val="2"/>
          <w:sz w:val="21"/>
          <w:szCs w:val="21"/>
        </w:rPr>
        <w:t xml:space="preserve"> </w:t>
      </w:r>
    </w:p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>一、基准给付标准</w:t>
      </w:r>
    </w:p>
    <w:p>
      <w:pPr>
        <w:numPr>
          <w:ilvl w:val="255"/>
          <w:numId w:val="0"/>
        </w:num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>1、计划一</w:t>
      </w:r>
    </w:p>
    <w:p>
      <w:pPr>
        <w:numPr>
          <w:ilvl w:val="255"/>
          <w:numId w:val="0"/>
        </w:numPr>
        <w:spacing w:line="312" w:lineRule="auto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（1）等待期：90天</w:t>
      </w:r>
    </w:p>
    <w:p>
      <w:pPr>
        <w:numPr>
          <w:ilvl w:val="255"/>
          <w:numId w:val="0"/>
        </w:numPr>
        <w:spacing w:line="312" w:lineRule="auto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（2）保险责任及保险金额</w:t>
      </w:r>
    </w:p>
    <w:p>
      <w:pPr>
        <w:numPr>
          <w:ilvl w:val="255"/>
          <w:numId w:val="0"/>
        </w:numPr>
        <w:spacing w:line="312" w:lineRule="auto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1）特定疾病保险责任</w:t>
      </w:r>
    </w:p>
    <w:tbl>
      <w:tblPr>
        <w:tblStyle w:val="9"/>
        <w:tblW w:w="85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2"/>
        <w:gridCol w:w="3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2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年龄段（周岁）</w:t>
            </w:r>
          </w:p>
        </w:tc>
        <w:tc>
          <w:tcPr>
            <w:tcW w:w="3800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保险金额（单位：元）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2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0-60</w:t>
            </w:r>
          </w:p>
        </w:tc>
        <w:tc>
          <w:tcPr>
            <w:tcW w:w="3800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10万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2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61-100</w:t>
            </w:r>
          </w:p>
        </w:tc>
        <w:tc>
          <w:tcPr>
            <w:tcW w:w="3800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5万</w:t>
            </w:r>
          </w:p>
        </w:tc>
      </w:tr>
    </w:tbl>
    <w:p>
      <w:pPr>
        <w:spacing w:line="312" w:lineRule="auto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注：0周岁指出生满28天且健康出院。</w:t>
      </w:r>
    </w:p>
    <w:p>
      <w:pPr>
        <w:numPr>
          <w:ilvl w:val="255"/>
          <w:numId w:val="0"/>
        </w:numPr>
        <w:spacing w:line="312" w:lineRule="auto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2）重大疾病保险责任</w:t>
      </w:r>
    </w:p>
    <w:tbl>
      <w:tblPr>
        <w:tblStyle w:val="9"/>
        <w:tblW w:w="85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2"/>
        <w:gridCol w:w="3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2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年龄段（周岁）</w:t>
            </w:r>
          </w:p>
        </w:tc>
        <w:tc>
          <w:tcPr>
            <w:tcW w:w="3800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保险金额（单位：元）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2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0-35</w:t>
            </w:r>
          </w:p>
        </w:tc>
        <w:tc>
          <w:tcPr>
            <w:tcW w:w="3800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20万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2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36-45</w:t>
            </w:r>
          </w:p>
        </w:tc>
        <w:tc>
          <w:tcPr>
            <w:tcW w:w="3800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15万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2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46-100</w:t>
            </w:r>
          </w:p>
        </w:tc>
        <w:tc>
          <w:tcPr>
            <w:tcW w:w="3800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10万</w:t>
            </w:r>
          </w:p>
        </w:tc>
      </w:tr>
    </w:tbl>
    <w:p>
      <w:pPr>
        <w:spacing w:line="312" w:lineRule="auto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注：0周岁指出生满28天且健康出院。</w:t>
      </w:r>
    </w:p>
    <w:p>
      <w:pPr>
        <w:numPr>
          <w:ilvl w:val="255"/>
          <w:numId w:val="0"/>
        </w:numPr>
        <w:spacing w:line="312" w:lineRule="auto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3）轻度疾病保险责任</w:t>
      </w:r>
    </w:p>
    <w:tbl>
      <w:tblPr>
        <w:tblStyle w:val="9"/>
        <w:tblW w:w="85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2"/>
        <w:gridCol w:w="3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2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年龄段（周岁）</w:t>
            </w:r>
          </w:p>
        </w:tc>
        <w:tc>
          <w:tcPr>
            <w:tcW w:w="3800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保险金额（单位：元）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2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0-35</w:t>
            </w:r>
          </w:p>
        </w:tc>
        <w:tc>
          <w:tcPr>
            <w:tcW w:w="3800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6万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2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36-45</w:t>
            </w:r>
          </w:p>
        </w:tc>
        <w:tc>
          <w:tcPr>
            <w:tcW w:w="3800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4.5万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2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46-100</w:t>
            </w:r>
          </w:p>
        </w:tc>
        <w:tc>
          <w:tcPr>
            <w:tcW w:w="3800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3万</w:t>
            </w:r>
          </w:p>
        </w:tc>
      </w:tr>
    </w:tbl>
    <w:p>
      <w:pPr>
        <w:numPr>
          <w:ilvl w:val="255"/>
          <w:numId w:val="0"/>
        </w:num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注：0周岁指出生满28天且健康出院。</w:t>
      </w:r>
    </w:p>
    <w:p>
      <w:pPr>
        <w:numPr>
          <w:ilvl w:val="255"/>
          <w:numId w:val="0"/>
        </w:num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>2、计划二</w:t>
      </w:r>
    </w:p>
    <w:p>
      <w:pPr>
        <w:numPr>
          <w:ilvl w:val="255"/>
          <w:numId w:val="0"/>
        </w:numPr>
        <w:spacing w:line="312" w:lineRule="auto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（1）等待期：90天</w:t>
      </w:r>
    </w:p>
    <w:p>
      <w:pPr>
        <w:numPr>
          <w:ilvl w:val="255"/>
          <w:numId w:val="0"/>
        </w:numPr>
        <w:spacing w:line="312" w:lineRule="auto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（2）保险责任及保险金额</w:t>
      </w:r>
    </w:p>
    <w:p>
      <w:pPr>
        <w:numPr>
          <w:ilvl w:val="255"/>
          <w:numId w:val="0"/>
        </w:numPr>
        <w:spacing w:line="312" w:lineRule="auto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1）特定疾病保险责任</w:t>
      </w:r>
    </w:p>
    <w:tbl>
      <w:tblPr>
        <w:tblStyle w:val="9"/>
        <w:tblW w:w="85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2"/>
        <w:gridCol w:w="3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2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年龄段（周岁）</w:t>
            </w:r>
          </w:p>
        </w:tc>
        <w:tc>
          <w:tcPr>
            <w:tcW w:w="3800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保险金额（单位：元）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2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0-60</w:t>
            </w:r>
          </w:p>
        </w:tc>
        <w:tc>
          <w:tcPr>
            <w:tcW w:w="3800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10万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2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61-100</w:t>
            </w:r>
          </w:p>
        </w:tc>
        <w:tc>
          <w:tcPr>
            <w:tcW w:w="3800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5万</w:t>
            </w:r>
          </w:p>
        </w:tc>
      </w:tr>
    </w:tbl>
    <w:p>
      <w:pPr>
        <w:numPr>
          <w:ilvl w:val="255"/>
          <w:numId w:val="0"/>
        </w:numPr>
        <w:spacing w:line="312" w:lineRule="auto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注：0周岁指出生满28天且健康出院。</w:t>
      </w:r>
    </w:p>
    <w:p>
      <w:pPr>
        <w:numPr>
          <w:ilvl w:val="255"/>
          <w:numId w:val="0"/>
        </w:numPr>
        <w:spacing w:line="312" w:lineRule="auto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2）重大疾病保险责任：10万元</w:t>
      </w:r>
    </w:p>
    <w:p>
      <w:pPr>
        <w:numPr>
          <w:ilvl w:val="255"/>
          <w:numId w:val="0"/>
        </w:numPr>
        <w:spacing w:line="312" w:lineRule="auto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3）轻度疾病保险责任：3万元</w:t>
      </w:r>
    </w:p>
    <w:p>
      <w:pPr>
        <w:adjustRightInd w:val="0"/>
        <w:snapToGrid w:val="0"/>
        <w:spacing w:line="360" w:lineRule="auto"/>
        <w:rPr>
          <w:rFonts w:hAnsi="宋体" w:cs="宋体"/>
          <w:b/>
          <w:bCs/>
          <w:sz w:val="21"/>
          <w:szCs w:val="21"/>
        </w:rPr>
      </w:pPr>
      <w:r>
        <w:rPr>
          <w:rFonts w:hint="eastAsia" w:hAnsi="宋体" w:cs="宋体"/>
          <w:b/>
          <w:bCs/>
          <w:sz w:val="21"/>
          <w:szCs w:val="21"/>
        </w:rPr>
        <w:t>3、计划三</w:t>
      </w:r>
    </w:p>
    <w:p>
      <w:pPr>
        <w:numPr>
          <w:ilvl w:val="255"/>
          <w:numId w:val="0"/>
        </w:numPr>
        <w:spacing w:line="312" w:lineRule="auto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（1）等待期：90天</w:t>
      </w:r>
    </w:p>
    <w:p>
      <w:pPr>
        <w:numPr>
          <w:ilvl w:val="255"/>
          <w:numId w:val="0"/>
        </w:numPr>
        <w:spacing w:line="312" w:lineRule="auto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（2）保险责任及保险金额</w:t>
      </w:r>
    </w:p>
    <w:p>
      <w:pPr>
        <w:spacing w:line="312" w:lineRule="auto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1）特定疾病保险责任：</w:t>
      </w:r>
    </w:p>
    <w:tbl>
      <w:tblPr>
        <w:tblStyle w:val="9"/>
        <w:tblW w:w="85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2"/>
        <w:gridCol w:w="3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2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年龄段（周岁）</w:t>
            </w:r>
          </w:p>
        </w:tc>
        <w:tc>
          <w:tcPr>
            <w:tcW w:w="3800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保险金额（单位：元）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2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0-30</w:t>
            </w:r>
          </w:p>
        </w:tc>
        <w:tc>
          <w:tcPr>
            <w:tcW w:w="3800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10万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2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31-60</w:t>
            </w:r>
          </w:p>
        </w:tc>
        <w:tc>
          <w:tcPr>
            <w:tcW w:w="3800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5万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2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61-100</w:t>
            </w:r>
          </w:p>
        </w:tc>
        <w:tc>
          <w:tcPr>
            <w:tcW w:w="3800" w:type="dxa"/>
          </w:tcPr>
          <w:p>
            <w:pPr>
              <w:spacing w:line="312" w:lineRule="auto"/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2万</w:t>
            </w:r>
          </w:p>
        </w:tc>
      </w:tr>
    </w:tbl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注：0周岁指出生满28天且健康出院。</w:t>
      </w:r>
    </w:p>
    <w:p>
      <w:pPr>
        <w:adjustRightInd w:val="0"/>
        <w:snapToGrid w:val="0"/>
        <w:spacing w:line="360" w:lineRule="auto"/>
        <w:rPr>
          <w:rFonts w:hAnsi="宋体" w:cs="宋体"/>
          <w:b/>
          <w:bCs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Ansi="宋体" w:cs="宋体"/>
          <w:b/>
          <w:bCs/>
          <w:sz w:val="21"/>
          <w:szCs w:val="21"/>
        </w:rPr>
      </w:pPr>
      <w:r>
        <w:rPr>
          <w:rFonts w:hint="eastAsia" w:hAnsi="宋体" w:cs="宋体"/>
          <w:b/>
          <w:bCs/>
          <w:sz w:val="21"/>
          <w:szCs w:val="21"/>
        </w:rPr>
        <w:t>二、年基准保险费（单位：元）</w:t>
      </w:r>
    </w:p>
    <w:p>
      <w:pPr>
        <w:spacing w:line="312" w:lineRule="auto"/>
        <w:rPr>
          <w:rFonts w:hAnsi="宋体" w:cs="宋体"/>
          <w:b/>
          <w:bCs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>（一）计划一</w:t>
      </w:r>
    </w:p>
    <w:tbl>
      <w:tblPr>
        <w:tblStyle w:val="9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311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年龄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男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0-4周岁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237.3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207.2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5-10周岁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170.8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146.3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11-15周岁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161.3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136.3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16-20周岁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206.2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191.2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21-25周岁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299.2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310.1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26-30周岁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442.1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512.3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31-35周岁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709.3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892.5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36-40周岁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744.1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961.1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41-45周岁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946.8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1,210.6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46-50周岁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1,086.4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1,154.4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51-55周岁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1,442.6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1,208.4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56-60周岁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2,021.1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1,457.8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61-65周岁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2,972.0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2,007.4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66-70周岁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4,308.8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2,778.7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71-75</w:t>
            </w:r>
            <w:r>
              <w:rPr>
                <w:rFonts w:hint="eastAsia" w:hAnsi="宋体" w:cs="宋体"/>
                <w:sz w:val="21"/>
                <w:szCs w:val="21"/>
              </w:rPr>
              <w:t>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6,641.6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4,321.7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76-80</w:t>
            </w:r>
            <w:r>
              <w:rPr>
                <w:rFonts w:hint="eastAsia" w:hAnsi="宋体" w:cs="宋体"/>
                <w:sz w:val="21"/>
                <w:szCs w:val="21"/>
              </w:rPr>
              <w:t>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9,092.8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6,219.2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81-85</w:t>
            </w:r>
            <w:r>
              <w:rPr>
                <w:rFonts w:hint="eastAsia" w:hAnsi="宋体" w:cs="宋体"/>
                <w:sz w:val="21"/>
                <w:szCs w:val="21"/>
              </w:rPr>
              <w:t>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12,307.7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8,726.7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86-90</w:t>
            </w:r>
            <w:r>
              <w:rPr>
                <w:rFonts w:hint="eastAsia" w:hAnsi="宋体" w:cs="宋体"/>
                <w:sz w:val="21"/>
                <w:szCs w:val="21"/>
              </w:rPr>
              <w:t>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16,420.6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11,870.1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91-95</w:t>
            </w:r>
            <w:r>
              <w:rPr>
                <w:rFonts w:hint="eastAsia" w:hAnsi="宋体" w:cs="宋体"/>
                <w:sz w:val="21"/>
                <w:szCs w:val="21"/>
              </w:rPr>
              <w:t>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25,190.1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18,133.5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96-100周岁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31,608.4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22,318.5 </w:t>
            </w:r>
          </w:p>
        </w:tc>
      </w:tr>
    </w:tbl>
    <w:p>
      <w:pPr>
        <w:spacing w:line="312" w:lineRule="auto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注：0周岁指出生满28天且健康出院。</w:t>
      </w:r>
    </w:p>
    <w:p>
      <w:pPr>
        <w:spacing w:line="312" w:lineRule="auto"/>
        <w:rPr>
          <w:rFonts w:hAnsi="宋体" w:cs="宋体"/>
          <w:b/>
          <w:bCs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>（二）计划二</w:t>
      </w:r>
    </w:p>
    <w:tbl>
      <w:tblPr>
        <w:tblStyle w:val="9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311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年龄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男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0-4周岁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122.7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107.3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5-10周岁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88.8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76.2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11-15周岁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84.4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71.6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16-20周岁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107.2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99.3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21-25周岁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154.7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159.8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26-30周岁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226.8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261.9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31-35周岁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367.6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461.8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36-40周岁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505.6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652.5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41-45周岁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641.6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819.1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46-50周岁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1,086.4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1,154.4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51-55周岁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1,442.6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1,208.4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56-60周岁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2,021.1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1,457.8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61-65周岁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2,972.0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2,007.4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66-70周岁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4,308.8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2,778.7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71-75</w:t>
            </w:r>
            <w:r>
              <w:rPr>
                <w:rFonts w:hint="eastAsia" w:hAnsi="宋体" w:cs="宋体"/>
                <w:sz w:val="21"/>
                <w:szCs w:val="21"/>
              </w:rPr>
              <w:t>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6,641.6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4,321.7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76-80</w:t>
            </w:r>
            <w:r>
              <w:rPr>
                <w:rFonts w:hint="eastAsia" w:hAnsi="宋体" w:cs="宋体"/>
                <w:sz w:val="21"/>
                <w:szCs w:val="21"/>
              </w:rPr>
              <w:t>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9,092.8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6,219.2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81-85</w:t>
            </w:r>
            <w:r>
              <w:rPr>
                <w:rFonts w:hint="eastAsia" w:hAnsi="宋体" w:cs="宋体"/>
                <w:sz w:val="21"/>
                <w:szCs w:val="21"/>
              </w:rPr>
              <w:t>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12,307.7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8,726.7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86-90</w:t>
            </w:r>
            <w:r>
              <w:rPr>
                <w:rFonts w:hint="eastAsia" w:hAnsi="宋体" w:cs="宋体"/>
                <w:sz w:val="21"/>
                <w:szCs w:val="21"/>
              </w:rPr>
              <w:t>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16,420.6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11,870.1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91-95</w:t>
            </w:r>
            <w:r>
              <w:rPr>
                <w:rFonts w:hint="eastAsia" w:hAnsi="宋体" w:cs="宋体"/>
                <w:sz w:val="21"/>
                <w:szCs w:val="21"/>
              </w:rPr>
              <w:t>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25,190.1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18,133.5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96-100周岁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31,608.4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22,318.5 </w:t>
            </w:r>
          </w:p>
        </w:tc>
      </w:tr>
    </w:tbl>
    <w:p>
      <w:pPr>
        <w:spacing w:line="312" w:lineRule="auto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注：0周岁指出生满28天且健康出院。</w:t>
      </w:r>
    </w:p>
    <w:p>
      <w:pPr>
        <w:spacing w:line="312" w:lineRule="auto"/>
        <w:rPr>
          <w:rFonts w:hAnsi="宋体" w:cs="宋体"/>
          <w:b/>
          <w:bCs/>
          <w:sz w:val="21"/>
          <w:szCs w:val="21"/>
        </w:rPr>
      </w:pPr>
      <w:r>
        <w:rPr>
          <w:rFonts w:hAnsi="宋体" w:cs="Arial"/>
          <w:b/>
          <w:color w:val="000000"/>
          <w:kern w:val="2"/>
          <w:sz w:val="21"/>
          <w:szCs w:val="21"/>
        </w:rPr>
        <w:t>（</w:t>
      </w:r>
      <w:r>
        <w:rPr>
          <w:rFonts w:hint="eastAsia" w:hAnsi="宋体" w:cs="Arial"/>
          <w:b/>
          <w:color w:val="000000"/>
          <w:kern w:val="2"/>
          <w:sz w:val="21"/>
          <w:szCs w:val="21"/>
        </w:rPr>
        <w:t>三</w:t>
      </w:r>
      <w:r>
        <w:rPr>
          <w:rFonts w:hAnsi="宋体" w:cs="Arial"/>
          <w:b/>
          <w:color w:val="000000"/>
          <w:kern w:val="2"/>
          <w:sz w:val="21"/>
          <w:szCs w:val="21"/>
        </w:rPr>
        <w:t>）计划</w:t>
      </w:r>
      <w:r>
        <w:rPr>
          <w:rFonts w:hint="eastAsia" w:hAnsi="宋体" w:cs="Arial"/>
          <w:b/>
          <w:color w:val="000000"/>
          <w:kern w:val="2"/>
          <w:sz w:val="21"/>
          <w:szCs w:val="21"/>
        </w:rPr>
        <w:t>三</w:t>
      </w:r>
    </w:p>
    <w:tbl>
      <w:tblPr>
        <w:tblStyle w:val="9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311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年龄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男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0-4周岁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8.2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7.5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5-10周岁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6.8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6.1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11-15周岁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7.5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6.8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16-20周岁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8.2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7.5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21-25周岁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10.2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9.5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26-30周岁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11.5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11.5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31-35周岁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12.9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15.6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36-40周岁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14.3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17.6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41-45周岁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15.6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18.1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46-50周岁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18.4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19.0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51-55周岁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18.9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19.4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56-60周岁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19.3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19.8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61-65周岁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18.1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16.7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66-70周岁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22.0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19.6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  <w:lang w:bidi="ar"/>
              </w:rPr>
              <w:t>71-75</w:t>
            </w:r>
            <w:r>
              <w:rPr>
                <w:rFonts w:hAnsi="宋体" w:cs="宋体"/>
                <w:sz w:val="21"/>
                <w:szCs w:val="21"/>
              </w:rPr>
              <w:t>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25.0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21.3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  <w:lang w:bidi="ar"/>
              </w:rPr>
              <w:t>76-80</w:t>
            </w:r>
            <w:r>
              <w:rPr>
                <w:rFonts w:hAnsi="宋体" w:cs="宋体"/>
                <w:sz w:val="21"/>
                <w:szCs w:val="21"/>
              </w:rPr>
              <w:t>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32.1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32.7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  <w:lang w:bidi="ar"/>
              </w:rPr>
              <w:t>81-85</w:t>
            </w:r>
            <w:r>
              <w:rPr>
                <w:rFonts w:hAnsi="宋体" w:cs="宋体"/>
                <w:sz w:val="21"/>
                <w:szCs w:val="21"/>
              </w:rPr>
              <w:t>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39.2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36.0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  <w:lang w:bidi="ar"/>
              </w:rPr>
              <w:t>86-90</w:t>
            </w:r>
            <w:r>
              <w:rPr>
                <w:rFonts w:hAnsi="宋体" w:cs="宋体"/>
                <w:sz w:val="21"/>
                <w:szCs w:val="21"/>
              </w:rPr>
              <w:t>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51.7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47.7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  <w:lang w:bidi="ar"/>
              </w:rPr>
              <w:t>91-95</w:t>
            </w:r>
            <w:r>
              <w:rPr>
                <w:rFonts w:hAnsi="宋体" w:cs="宋体"/>
                <w:sz w:val="21"/>
                <w:szCs w:val="21"/>
              </w:rPr>
              <w:t>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64.2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59.3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Ansi="宋体" w:cs="宋体"/>
                <w:sz w:val="21"/>
                <w:szCs w:val="21"/>
                <w:lang w:bidi="ar"/>
              </w:rPr>
              <w:t>96-100周岁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76.7 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 xml:space="preserve">71.0 </w:t>
            </w:r>
          </w:p>
        </w:tc>
      </w:tr>
    </w:tbl>
    <w:p>
      <w:pPr>
        <w:spacing w:line="312" w:lineRule="auto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Ansi="宋体" w:cs="Arial"/>
          <w:bCs/>
          <w:color w:val="000000"/>
          <w:kern w:val="2"/>
          <w:sz w:val="21"/>
          <w:szCs w:val="21"/>
        </w:rPr>
        <w:t>注：0周岁指出生满28天且健康出院。</w:t>
      </w:r>
    </w:p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 xml:space="preserve"> 三、费率调整系数</w:t>
      </w:r>
    </w:p>
    <w:p>
      <w:pPr>
        <w:ind w:firstLine="210" w:firstLineChars="100"/>
        <w:rPr>
          <w:rFonts w:hAnsi="宋体" w:cs="Arial"/>
          <w:bCs/>
          <w:color w:val="000000"/>
          <w:kern w:val="2"/>
          <w:sz w:val="21"/>
          <w:szCs w:val="21"/>
        </w:rPr>
      </w:pPr>
      <w:bookmarkStart w:id="0" w:name="_Hlk40970434"/>
      <w:bookmarkStart w:id="1" w:name="_Hlk79658135"/>
      <w:r>
        <w:rPr>
          <w:rFonts w:hint="eastAsia" w:hAnsi="宋体" w:cs="Arial"/>
          <w:bCs/>
          <w:color w:val="000000"/>
          <w:kern w:val="2"/>
          <w:sz w:val="21"/>
          <w:szCs w:val="21"/>
          <w:lang w:val="en-US" w:eastAsia="zh-CN"/>
        </w:rPr>
        <w:t>1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、等待期调整系数：按保单约定的等待期天数，进行划分。</w:t>
      </w:r>
    </w:p>
    <w:tbl>
      <w:tblPr>
        <w:tblStyle w:val="9"/>
        <w:tblW w:w="56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等待期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30天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60天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90天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120天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150天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80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.7</w:t>
            </w:r>
          </w:p>
        </w:tc>
      </w:tr>
    </w:tbl>
    <w:p>
      <w:pPr>
        <w:spacing w:line="312" w:lineRule="auto"/>
        <w:ind w:firstLine="210" w:firstLineChars="100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2</w:t>
      </w:r>
      <w:r>
        <w:rPr>
          <w:rFonts w:hint="eastAsia" w:hAnsi="宋体" w:cs="宋体"/>
          <w:sz w:val="21"/>
          <w:szCs w:val="21"/>
        </w:rPr>
        <w:t>、被保险人风险状况调整系数</w:t>
      </w:r>
    </w:p>
    <w:tbl>
      <w:tblPr>
        <w:tblStyle w:val="8"/>
        <w:tblW w:w="56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28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被保险人风险状况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A类水平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  <w:szCs w:val="21"/>
              </w:rPr>
              <w:t>0.6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0.8]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B类水平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0.8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/>
                <w:sz w:val="21"/>
                <w:szCs w:val="21"/>
              </w:rPr>
              <w:t>1.0</w:t>
            </w:r>
            <w:r>
              <w:rPr>
                <w:rFonts w:hint="eastAsia" w:hAnsi="宋体" w:cs="宋体"/>
                <w:sz w:val="21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C类水平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1.0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1.</w:t>
            </w:r>
            <w:r>
              <w:rPr>
                <w:rFonts w:hAnsi="宋体" w:cs="宋体"/>
                <w:sz w:val="21"/>
                <w:szCs w:val="21"/>
              </w:rPr>
              <w:t>3</w:t>
            </w:r>
            <w:r>
              <w:rPr>
                <w:rFonts w:hint="eastAsia" w:hAnsi="宋体" w:cs="宋体"/>
                <w:sz w:val="21"/>
                <w:szCs w:val="21"/>
              </w:rPr>
              <w:t>]</w:t>
            </w:r>
          </w:p>
        </w:tc>
      </w:tr>
    </w:tbl>
    <w:p>
      <w:pPr>
        <w:spacing w:line="312" w:lineRule="auto"/>
        <w:ind w:firstLine="420" w:firstLineChars="200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注：A类水平：指被保险人健康状况很好，生活方式健康，风险意识较强。</w:t>
      </w:r>
    </w:p>
    <w:p>
      <w:pPr>
        <w:spacing w:line="312" w:lineRule="auto"/>
        <w:ind w:firstLine="420" w:firstLineChars="200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B类水平：指被保险人健康状况中等，生活方式中等，风险意识中等。</w:t>
      </w:r>
    </w:p>
    <w:p>
      <w:pPr>
        <w:spacing w:line="312" w:lineRule="auto"/>
        <w:ind w:firstLine="420" w:firstLineChars="200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C类水平：指被保险人健康状况较差，生活方式不健康，风险意识较差。</w:t>
      </w:r>
    </w:p>
    <w:p>
      <w:pPr>
        <w:spacing w:line="312" w:lineRule="auto"/>
        <w:ind w:firstLine="210" w:firstLineChars="100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3</w:t>
      </w:r>
      <w:r>
        <w:rPr>
          <w:rFonts w:hint="eastAsia" w:hAnsi="宋体" w:cs="宋体"/>
          <w:sz w:val="21"/>
          <w:szCs w:val="21"/>
        </w:rPr>
        <w:t>、当地卫生医疗状况调整系数</w:t>
      </w:r>
    </w:p>
    <w:tbl>
      <w:tblPr>
        <w:tblStyle w:val="8"/>
        <w:tblW w:w="57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17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当地卫生医疗状况</w:t>
            </w:r>
          </w:p>
        </w:tc>
        <w:tc>
          <w:tcPr>
            <w:tcW w:w="1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卫生健康水平、医疗资源状况较完善</w:t>
            </w:r>
          </w:p>
        </w:tc>
        <w:tc>
          <w:tcPr>
            <w:tcW w:w="1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  <w:szCs w:val="21"/>
              </w:rPr>
              <w:t>0.6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0.8]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卫生健康水平、医疗资源状况一般</w:t>
            </w:r>
          </w:p>
        </w:tc>
        <w:tc>
          <w:tcPr>
            <w:tcW w:w="1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0.8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/>
                <w:sz w:val="21"/>
                <w:szCs w:val="21"/>
              </w:rPr>
              <w:t>1.0</w:t>
            </w:r>
            <w:r>
              <w:rPr>
                <w:rFonts w:hint="eastAsia" w:hAnsi="宋体" w:cs="宋体"/>
                <w:sz w:val="21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卫生健康水平、医疗资源状况较差</w:t>
            </w:r>
          </w:p>
        </w:tc>
        <w:tc>
          <w:tcPr>
            <w:tcW w:w="1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1.0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1.</w:t>
            </w:r>
            <w:r>
              <w:rPr>
                <w:rFonts w:hAnsi="宋体" w:cs="宋体"/>
                <w:sz w:val="21"/>
                <w:szCs w:val="21"/>
              </w:rPr>
              <w:t>3</w:t>
            </w:r>
            <w:r>
              <w:rPr>
                <w:rFonts w:hint="eastAsia" w:hAnsi="宋体" w:cs="宋体"/>
                <w:sz w:val="21"/>
                <w:szCs w:val="21"/>
              </w:rPr>
              <w:t>]</w:t>
            </w:r>
          </w:p>
        </w:tc>
      </w:tr>
    </w:tbl>
    <w:p>
      <w:pPr>
        <w:spacing w:line="312" w:lineRule="auto"/>
        <w:ind w:firstLine="210" w:firstLineChars="100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4</w:t>
      </w:r>
      <w:r>
        <w:rPr>
          <w:rFonts w:hint="eastAsia" w:hAnsi="宋体" w:cs="宋体"/>
          <w:sz w:val="21"/>
          <w:szCs w:val="21"/>
        </w:rPr>
        <w:t>、专业平台渠道风险管理能力调整系数</w:t>
      </w:r>
    </w:p>
    <w:tbl>
      <w:tblPr>
        <w:tblStyle w:val="8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1"/>
        <w:gridCol w:w="16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1" w:type="dxa"/>
            <w:vAlign w:val="center"/>
          </w:tcPr>
          <w:p>
            <w:pPr>
              <w:pStyle w:val="22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hint="eastAsia" w:hAnsi="宋体" w:cs="宋体"/>
                <w:sz w:val="21"/>
                <w:szCs w:val="21"/>
              </w:rPr>
              <w:t>专业平台渠道</w:t>
            </w:r>
            <w:r>
              <w:rPr>
                <w:rFonts w:hint="eastAsia" w:ascii="宋体" w:hAnsi="宋体"/>
              </w:rPr>
              <w:t>风险管理能力</w:t>
            </w:r>
          </w:p>
        </w:tc>
        <w:tc>
          <w:tcPr>
            <w:tcW w:w="1696" w:type="dxa"/>
            <w:vAlign w:val="center"/>
          </w:tcPr>
          <w:p>
            <w:pPr>
              <w:pStyle w:val="22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调整系数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1" w:type="dxa"/>
            <w:vAlign w:val="center"/>
          </w:tcPr>
          <w:p>
            <w:pPr>
              <w:pStyle w:val="24"/>
              <w:adjustRightInd w:val="0"/>
              <w:snapToGrid w:val="0"/>
              <w:ind w:firstLine="0" w:firstLineChars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cs="宋体"/>
              </w:rPr>
              <w:t>通过专业平台统筹投保的，平台配有合理数量的专家人员、配置专业运营系统、数据信息记录详实等，平台风险管控能力良好</w:t>
            </w:r>
          </w:p>
        </w:tc>
        <w:tc>
          <w:tcPr>
            <w:tcW w:w="1696" w:type="dxa"/>
            <w:vAlign w:val="center"/>
          </w:tcPr>
          <w:p>
            <w:pPr>
              <w:widowControl/>
              <w:adjustRightInd/>
              <w:snapToGrid/>
              <w:spacing w:line="312" w:lineRule="auto"/>
              <w:jc w:val="center"/>
              <w:rPr>
                <w:rFonts w:hint="eastAsia" w:hAnsi="宋体" w:cs="宋体"/>
                <w:sz w:val="21"/>
                <w:szCs w:val="21"/>
                <w:lang w:eastAsia="zh-CN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0.8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/>
                <w:sz w:val="21"/>
                <w:szCs w:val="21"/>
              </w:rPr>
              <w:t>1.0</w:t>
            </w:r>
            <w:r>
              <w:rPr>
                <w:rFonts w:hint="eastAsia" w:hAnsi="宋体" w:cs="宋体"/>
                <w:sz w:val="21"/>
                <w:szCs w:val="21"/>
              </w:rPr>
              <w:t>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1" w:type="dxa"/>
            <w:vAlign w:val="center"/>
          </w:tcPr>
          <w:p>
            <w:pPr>
              <w:pStyle w:val="24"/>
              <w:adjustRightInd w:val="0"/>
              <w:snapToGrid w:val="0"/>
              <w:ind w:firstLine="0" w:firstLineChars="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通过专业平台统筹投保的，但平台风险管控能力一般或通过非专业平台统筹投保的</w:t>
            </w:r>
          </w:p>
        </w:tc>
        <w:tc>
          <w:tcPr>
            <w:tcW w:w="1696" w:type="dxa"/>
            <w:vAlign w:val="center"/>
          </w:tcPr>
          <w:p>
            <w:pPr>
              <w:widowControl/>
              <w:adjustRightInd/>
              <w:snapToGrid/>
              <w:spacing w:line="312" w:lineRule="auto"/>
              <w:jc w:val="center"/>
              <w:rPr>
                <w:rFonts w:hint="eastAsia" w:hAnsi="宋体" w:cs="宋体"/>
                <w:sz w:val="21"/>
                <w:szCs w:val="21"/>
                <w:lang w:eastAsia="zh-CN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1.0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1.2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hAnsi="宋体" w:cs="宋体"/>
                <w:sz w:val="21"/>
                <w:szCs w:val="21"/>
              </w:rPr>
              <w:t>]</w:t>
            </w:r>
          </w:p>
        </w:tc>
      </w:tr>
    </w:tbl>
    <w:p>
      <w:pPr>
        <w:spacing w:line="312" w:lineRule="auto"/>
        <w:ind w:firstLine="210" w:firstLineChars="100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注：</w:t>
      </w:r>
      <w:r>
        <w:rPr>
          <w:rFonts w:hint="eastAsia" w:ascii="宋体" w:hAnsi="宋体" w:cs="宋体"/>
          <w:sz w:val="21"/>
          <w:szCs w:val="21"/>
        </w:rPr>
        <w:t>专业平台指该平台与人身医疗健康相关产业的运营相关</w:t>
      </w:r>
      <w:r>
        <w:rPr>
          <w:rFonts w:hint="eastAsia" w:hAnsi="宋体" w:cs="宋体"/>
          <w:sz w:val="21"/>
          <w:szCs w:val="21"/>
          <w:lang w:eastAsia="zh-CN"/>
        </w:rPr>
        <w:t>。</w:t>
      </w:r>
    </w:p>
    <w:p>
      <w:pPr>
        <w:spacing w:after="0" w:afterLines="-2147483648" w:line="240" w:lineRule="auto"/>
        <w:ind w:firstLine="210" w:firstLineChars="10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int="eastAsia" w:hAnsi="宋体" w:cs="Arial"/>
          <w:color w:val="000000"/>
          <w:kern w:val="2"/>
          <w:sz w:val="21"/>
          <w:szCs w:val="21"/>
          <w:lang w:val="en-US" w:eastAsia="zh-CN"/>
        </w:rPr>
        <w:t>5</w:t>
      </w:r>
      <w:r>
        <w:rPr>
          <w:rFonts w:hint="eastAsia" w:hAnsi="宋体" w:cs="Arial"/>
          <w:color w:val="000000"/>
          <w:kern w:val="2"/>
          <w:sz w:val="21"/>
          <w:szCs w:val="21"/>
        </w:rPr>
        <w:t>、规模调整系数：根据渠道年度投保人数规模，进行划分。</w:t>
      </w:r>
    </w:p>
    <w:tbl>
      <w:tblPr>
        <w:tblStyle w:val="8"/>
        <w:tblW w:w="56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28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年度投保人数N（人）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N&gt;5000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  <w:szCs w:val="21"/>
              </w:rPr>
              <w:t>0.</w:t>
            </w:r>
            <w:r>
              <w:rPr>
                <w:rFonts w:hAnsi="宋体" w:cs="宋体"/>
                <w:sz w:val="21"/>
                <w:szCs w:val="21"/>
              </w:rPr>
              <w:t>7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0.</w:t>
            </w:r>
            <w:r>
              <w:rPr>
                <w:rFonts w:hAnsi="宋体" w:cs="宋体"/>
                <w:sz w:val="21"/>
                <w:szCs w:val="21"/>
              </w:rPr>
              <w:t>8）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3000&lt;N≤5000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  <w:szCs w:val="21"/>
              </w:rPr>
              <w:t>0.</w:t>
            </w:r>
            <w:r>
              <w:rPr>
                <w:rFonts w:hAnsi="宋体" w:cs="宋体"/>
                <w:sz w:val="21"/>
                <w:szCs w:val="21"/>
              </w:rPr>
              <w:t>8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0.</w:t>
            </w:r>
            <w:r>
              <w:rPr>
                <w:rFonts w:hAnsi="宋体" w:cs="宋体"/>
                <w:sz w:val="21"/>
                <w:szCs w:val="21"/>
              </w:rPr>
              <w:t>9）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1000&lt;N≤3000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[</w:t>
            </w:r>
            <w:r>
              <w:rPr>
                <w:rFonts w:hAnsi="宋体" w:cs="宋体"/>
                <w:sz w:val="21"/>
                <w:szCs w:val="21"/>
              </w:rPr>
              <w:t>0.9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Ansi="宋体" w:cs="宋体"/>
                <w:sz w:val="21"/>
                <w:szCs w:val="21"/>
              </w:rPr>
              <w:t>1.0）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N≤1000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Arial"/>
                <w:color w:val="000000"/>
                <w:kern w:val="2"/>
                <w:sz w:val="21"/>
                <w:szCs w:val="21"/>
              </w:rPr>
              <w:t>1.0</w:t>
            </w:r>
          </w:p>
        </w:tc>
      </w:tr>
    </w:tbl>
    <w:p>
      <w:pPr>
        <w:spacing w:line="312" w:lineRule="auto"/>
        <w:ind w:firstLine="210" w:firstLineChars="100"/>
        <w:rPr>
          <w:rFonts w:hAnsi="宋体" w:cs="宋体"/>
          <w:sz w:val="21"/>
          <w:szCs w:val="21"/>
        </w:rPr>
      </w:pPr>
      <w:r>
        <w:rPr>
          <w:rFonts w:hint="eastAsia" w:hAnsi="宋体" w:eastAsia="PMingLiU" w:cs="宋体"/>
          <w:sz w:val="21"/>
          <w:szCs w:val="21"/>
        </w:rPr>
        <w:t>6</w:t>
      </w:r>
      <w:r>
        <w:rPr>
          <w:rFonts w:hint="eastAsia" w:hAnsi="宋体" w:cs="宋体"/>
          <w:sz w:val="21"/>
          <w:szCs w:val="21"/>
        </w:rPr>
        <w:t>、预期（经验）</w:t>
      </w:r>
      <w:r>
        <w:rPr>
          <w:rFonts w:hAnsi="宋体" w:cs="宋体"/>
          <w:sz w:val="21"/>
          <w:szCs w:val="21"/>
        </w:rPr>
        <w:t>赔付率调整系数</w:t>
      </w:r>
    </w:p>
    <w:tbl>
      <w:tblPr>
        <w:tblStyle w:val="8"/>
        <w:tblW w:w="58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6"/>
        <w:gridCol w:w="17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预期（经验）</w:t>
            </w:r>
            <w:r>
              <w:rPr>
                <w:rFonts w:hint="eastAsia" w:hAnsi="宋体" w:cs="宋体"/>
                <w:bCs/>
                <w:sz w:val="21"/>
                <w:szCs w:val="21"/>
              </w:rPr>
              <w:t>赔付率</w:t>
            </w: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0%-</w:t>
            </w:r>
            <w:r>
              <w:rPr>
                <w:rFonts w:hAnsi="宋体" w:cs="宋体"/>
                <w:sz w:val="21"/>
                <w:szCs w:val="21"/>
              </w:rPr>
              <w:t>4</w:t>
            </w:r>
            <w:r>
              <w:rPr>
                <w:rFonts w:hint="eastAsia" w:hAnsi="宋体" w:cs="宋体"/>
                <w:sz w:val="21"/>
                <w:szCs w:val="21"/>
              </w:rPr>
              <w:t>0%（含）</w:t>
            </w: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  <w:szCs w:val="21"/>
              </w:rPr>
              <w:t>0.</w:t>
            </w:r>
            <w:r>
              <w:rPr>
                <w:rFonts w:hAnsi="宋体" w:cs="宋体"/>
                <w:sz w:val="21"/>
                <w:szCs w:val="21"/>
              </w:rPr>
              <w:t>5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0.</w:t>
            </w:r>
            <w:r>
              <w:rPr>
                <w:rFonts w:hAnsi="宋体" w:cs="宋体"/>
                <w:sz w:val="21"/>
                <w:szCs w:val="21"/>
              </w:rPr>
              <w:t>7</w:t>
            </w:r>
            <w:r>
              <w:rPr>
                <w:rFonts w:hint="eastAsia" w:hAnsi="宋体" w:cs="宋体"/>
                <w:sz w:val="21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4</w:t>
            </w:r>
            <w:r>
              <w:rPr>
                <w:rFonts w:hint="eastAsia" w:hAnsi="宋体" w:cs="宋体"/>
                <w:sz w:val="21"/>
                <w:szCs w:val="21"/>
              </w:rPr>
              <w:t>0%-</w:t>
            </w:r>
            <w:r>
              <w:rPr>
                <w:rFonts w:hAnsi="宋体" w:cs="宋体"/>
                <w:sz w:val="21"/>
                <w:szCs w:val="21"/>
              </w:rPr>
              <w:t>6</w:t>
            </w:r>
            <w:r>
              <w:rPr>
                <w:rFonts w:hint="eastAsia" w:hAnsi="宋体" w:cs="宋体"/>
                <w:sz w:val="21"/>
                <w:szCs w:val="21"/>
              </w:rPr>
              <w:t>0%（含）</w:t>
            </w: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0.</w:t>
            </w:r>
            <w:r>
              <w:rPr>
                <w:rFonts w:hAnsi="宋体" w:cs="宋体"/>
                <w:sz w:val="21"/>
                <w:szCs w:val="21"/>
              </w:rPr>
              <w:t>7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Ansi="宋体" w:cs="宋体"/>
                <w:sz w:val="21"/>
                <w:szCs w:val="21"/>
              </w:rPr>
              <w:t>1.0</w:t>
            </w:r>
            <w:r>
              <w:rPr>
                <w:rFonts w:hint="eastAsia" w:hAnsi="宋体" w:cs="宋体"/>
                <w:sz w:val="21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6</w:t>
            </w:r>
            <w:r>
              <w:rPr>
                <w:rFonts w:hint="eastAsia" w:hAnsi="宋体" w:cs="宋体"/>
                <w:sz w:val="21"/>
                <w:szCs w:val="21"/>
              </w:rPr>
              <w:t>0%-80%（含）</w:t>
            </w: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(1.0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1.</w:t>
            </w:r>
            <w:r>
              <w:rPr>
                <w:rFonts w:hAnsi="宋体" w:cs="宋体"/>
                <w:sz w:val="21"/>
                <w:szCs w:val="21"/>
              </w:rPr>
              <w:t>2</w:t>
            </w:r>
            <w:r>
              <w:rPr>
                <w:rFonts w:hint="eastAsia" w:hAnsi="宋体" w:cs="宋体"/>
                <w:sz w:val="21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80%以上</w:t>
            </w: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1.</w:t>
            </w:r>
            <w:r>
              <w:rPr>
                <w:rFonts w:hAnsi="宋体" w:cs="宋体"/>
                <w:sz w:val="21"/>
                <w:szCs w:val="21"/>
              </w:rPr>
              <w:t>2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1.5]</w:t>
            </w:r>
          </w:p>
        </w:tc>
      </w:tr>
      <w:bookmarkEnd w:id="0"/>
    </w:tbl>
    <w:p>
      <w:pPr>
        <w:spacing w:line="312" w:lineRule="auto"/>
        <w:ind w:firstLine="210" w:firstLineChars="100"/>
        <w:rPr>
          <w:rFonts w:hAnsi="宋体" w:cs="宋体"/>
          <w:color w:val="000000"/>
          <w:kern w:val="2"/>
          <w:sz w:val="21"/>
          <w:szCs w:val="21"/>
        </w:rPr>
      </w:pPr>
      <w:r>
        <w:rPr>
          <w:rFonts w:hAnsi="宋体" w:cs="宋体"/>
          <w:color w:val="000000"/>
          <w:kern w:val="2"/>
          <w:sz w:val="21"/>
          <w:szCs w:val="21"/>
        </w:rPr>
        <w:t>7、</w:t>
      </w:r>
      <w:r>
        <w:rPr>
          <w:rFonts w:hint="eastAsia" w:hAnsi="宋体" w:cs="宋体"/>
          <w:color w:val="000000"/>
          <w:kern w:val="2"/>
          <w:sz w:val="21"/>
          <w:szCs w:val="21"/>
        </w:rPr>
        <w:t>缴费方式调整系数：按投保人缴费方式，进行划分。</w:t>
      </w:r>
    </w:p>
    <w:tbl>
      <w:tblPr>
        <w:tblStyle w:val="8"/>
        <w:tblW w:w="578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28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2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2"/>
                <w:sz w:val="21"/>
                <w:szCs w:val="21"/>
              </w:rPr>
              <w:t>缴费方式</w:t>
            </w:r>
          </w:p>
        </w:tc>
        <w:tc>
          <w:tcPr>
            <w:tcW w:w="2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2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2"/>
                <w:sz w:val="21"/>
                <w:szCs w:val="21"/>
              </w:rPr>
              <w:t>按年缴费</w:t>
            </w:r>
          </w:p>
        </w:tc>
        <w:tc>
          <w:tcPr>
            <w:tcW w:w="2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宋体"/>
                <w:color w:val="000000"/>
                <w:kern w:val="2"/>
                <w:sz w:val="21"/>
                <w:szCs w:val="21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2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2"/>
                <w:sz w:val="21"/>
                <w:szCs w:val="21"/>
              </w:rPr>
              <w:t>按季缴费</w:t>
            </w:r>
          </w:p>
        </w:tc>
        <w:tc>
          <w:tcPr>
            <w:tcW w:w="2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宋体"/>
                <w:color w:val="000000"/>
                <w:kern w:val="2"/>
                <w:sz w:val="21"/>
                <w:szCs w:val="21"/>
              </w:rPr>
              <w:t>[1.0,1.1]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2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2"/>
                <w:sz w:val="21"/>
                <w:szCs w:val="21"/>
              </w:rPr>
              <w:t>按月缴费</w:t>
            </w:r>
          </w:p>
        </w:tc>
        <w:tc>
          <w:tcPr>
            <w:tcW w:w="2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宋体"/>
                <w:color w:val="000000"/>
                <w:kern w:val="2"/>
                <w:sz w:val="21"/>
                <w:szCs w:val="21"/>
              </w:rPr>
              <w:t>[1.1,1.2]</w:t>
            </w:r>
          </w:p>
        </w:tc>
      </w:tr>
    </w:tbl>
    <w:p>
      <w:pPr>
        <w:spacing w:line="360" w:lineRule="auto"/>
        <w:ind w:firstLine="210" w:firstLineChars="100"/>
        <w:rPr>
          <w:rFonts w:hAnsi="宋体" w:cs="Arial"/>
          <w:bCs/>
          <w:color w:val="000000"/>
          <w:sz w:val="21"/>
          <w:szCs w:val="21"/>
        </w:rPr>
      </w:pPr>
      <w:r>
        <w:rPr>
          <w:rFonts w:hAnsi="宋体" w:cs="Arial"/>
          <w:bCs/>
          <w:color w:val="000000"/>
          <w:sz w:val="21"/>
          <w:szCs w:val="21"/>
        </w:rPr>
        <w:t>8</w:t>
      </w:r>
      <w:r>
        <w:rPr>
          <w:rFonts w:hint="eastAsia" w:hAnsi="宋体" w:cs="Arial"/>
          <w:bCs/>
          <w:color w:val="000000"/>
          <w:sz w:val="21"/>
          <w:szCs w:val="21"/>
        </w:rPr>
        <w:t>、</w:t>
      </w:r>
      <w:r>
        <w:rPr>
          <w:rFonts w:hint="eastAsia" w:hAnsi="宋体"/>
          <w:sz w:val="21"/>
          <w:szCs w:val="21"/>
        </w:rPr>
        <w:t>销售</w:t>
      </w:r>
      <w:r>
        <w:rPr>
          <w:rFonts w:hint="eastAsia" w:hAnsi="宋体" w:cs="Arial"/>
          <w:bCs/>
          <w:color w:val="000000"/>
          <w:sz w:val="21"/>
          <w:szCs w:val="21"/>
        </w:rPr>
        <w:t>渠道调整系数：按保单的销售方式，进行划分。</w:t>
      </w:r>
    </w:p>
    <w:tbl>
      <w:tblPr>
        <w:tblStyle w:val="8"/>
        <w:tblW w:w="58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5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5" w:type="dxa"/>
          </w:tcPr>
          <w:p>
            <w:pPr>
              <w:jc w:val="center"/>
              <w:rPr>
                <w:rFonts w:hAnsi="宋体" w:cs="Arial"/>
                <w:bCs/>
                <w:color w:val="000000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sz w:val="21"/>
                <w:szCs w:val="21"/>
              </w:rPr>
              <w:t>销售方式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5" w:type="dxa"/>
          </w:tcPr>
          <w:p>
            <w:pPr>
              <w:jc w:val="center"/>
              <w:rPr>
                <w:rFonts w:hAnsi="宋体" w:cs="Arial"/>
                <w:bCs/>
                <w:color w:val="000000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sz w:val="21"/>
                <w:szCs w:val="21"/>
              </w:rPr>
              <w:t>网络直销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sz w:val="21"/>
                <w:szCs w:val="21"/>
              </w:rPr>
              <w:t>[0.7,1.</w:t>
            </w:r>
            <w:r>
              <w:rPr>
                <w:rFonts w:hAnsi="宋体" w:cs="Arial"/>
                <w:bCs/>
                <w:color w:val="000000"/>
                <w:sz w:val="21"/>
                <w:szCs w:val="21"/>
              </w:rPr>
              <w:t>0</w:t>
            </w:r>
            <w:r>
              <w:rPr>
                <w:rFonts w:hint="eastAsia" w:hAnsi="宋体" w:cs="Arial"/>
                <w:bCs/>
                <w:color w:val="000000"/>
                <w:sz w:val="21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5" w:type="dxa"/>
          </w:tcPr>
          <w:p>
            <w:pPr>
              <w:jc w:val="center"/>
              <w:rPr>
                <w:rFonts w:hAnsi="宋体" w:cs="Arial"/>
                <w:bCs/>
                <w:color w:val="000000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sz w:val="21"/>
                <w:szCs w:val="21"/>
              </w:rPr>
              <w:t>网络中介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sz w:val="21"/>
                <w:szCs w:val="21"/>
              </w:rPr>
              <w:t>[0.</w:t>
            </w:r>
            <w:r>
              <w:rPr>
                <w:rFonts w:hAnsi="宋体" w:cs="Arial"/>
                <w:bCs/>
                <w:color w:val="000000"/>
                <w:sz w:val="21"/>
                <w:szCs w:val="21"/>
              </w:rPr>
              <w:t>8</w:t>
            </w:r>
            <w:r>
              <w:rPr>
                <w:rFonts w:hint="eastAsia" w:hAnsi="宋体" w:cs="Arial"/>
                <w:bCs/>
                <w:color w:val="000000"/>
                <w:sz w:val="21"/>
                <w:szCs w:val="21"/>
              </w:rPr>
              <w:t>,1.2]</w:t>
            </w:r>
          </w:p>
        </w:tc>
      </w:tr>
      <w:bookmarkEnd w:id="1"/>
    </w:tbl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</w:p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>四、保险费计算</w:t>
      </w:r>
    </w:p>
    <w:p>
      <w:pPr>
        <w:spacing w:line="312" w:lineRule="auto"/>
        <w:ind w:firstLine="420" w:firstLineChars="200"/>
        <w:rPr>
          <w:rFonts w:hAnsi="宋体" w:cs="Arial"/>
          <w:color w:val="000000"/>
          <w:kern w:val="2"/>
          <w:sz w:val="21"/>
          <w:szCs w:val="21"/>
        </w:rPr>
      </w:pPr>
      <w:bookmarkStart w:id="2" w:name="_Hlk40970459"/>
      <w:r>
        <w:rPr>
          <w:rFonts w:hint="eastAsia" w:hAnsi="宋体" w:cs="Arial"/>
          <w:color w:val="000000"/>
          <w:kern w:val="2"/>
          <w:sz w:val="21"/>
          <w:szCs w:val="21"/>
        </w:rPr>
        <w:t>1、年保险费=年基准保险费×等待期调整系数×</w:t>
      </w:r>
      <w:r>
        <w:rPr>
          <w:rFonts w:hint="eastAsia" w:hAnsi="宋体" w:cs="宋体"/>
          <w:sz w:val="21"/>
          <w:szCs w:val="21"/>
        </w:rPr>
        <w:t>被保险人风险状况调整系数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宋体"/>
          <w:sz w:val="21"/>
          <w:szCs w:val="21"/>
        </w:rPr>
        <w:t>当地卫生医疗状况调整系数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宋体"/>
          <w:sz w:val="21"/>
          <w:szCs w:val="21"/>
        </w:rPr>
        <w:t>专业平台渠道风险管理能力调整系数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×规模调整系数×</w:t>
      </w:r>
      <w:r>
        <w:rPr>
          <w:rFonts w:hint="eastAsia" w:hAnsi="宋体" w:cs="宋体"/>
          <w:sz w:val="21"/>
          <w:szCs w:val="21"/>
        </w:rPr>
        <w:t>预期（经验）</w:t>
      </w:r>
      <w:r>
        <w:rPr>
          <w:rFonts w:hAnsi="宋体" w:cs="宋体"/>
          <w:sz w:val="21"/>
          <w:szCs w:val="21"/>
        </w:rPr>
        <w:t>赔付率调整系数</w:t>
      </w:r>
      <w:bookmarkEnd w:id="2"/>
      <w:r>
        <w:rPr>
          <w:rFonts w:hint="eastAsia" w:hAnsi="宋体" w:cs="Arial"/>
          <w:color w:val="000000"/>
          <w:kern w:val="2"/>
          <w:sz w:val="21"/>
          <w:szCs w:val="21"/>
        </w:rPr>
        <w:t>×缴费方式调整系数×</w:t>
      </w:r>
      <w:r>
        <w:rPr>
          <w:rFonts w:hint="eastAsia" w:hAnsi="宋体"/>
          <w:sz w:val="21"/>
          <w:szCs w:val="21"/>
        </w:rPr>
        <w:t>销售</w:t>
      </w:r>
      <w:r>
        <w:rPr>
          <w:rFonts w:hint="eastAsia" w:hAnsi="宋体" w:cs="Arial"/>
          <w:bCs/>
          <w:color w:val="000000"/>
          <w:sz w:val="21"/>
          <w:szCs w:val="21"/>
        </w:rPr>
        <w:t>渠道调整系数</w:t>
      </w:r>
    </w:p>
    <w:p>
      <w:pPr>
        <w:spacing w:line="312" w:lineRule="auto"/>
        <w:ind w:firstLine="420" w:firstLineChars="20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/>
          <w:color w:val="000000"/>
          <w:kern w:val="2"/>
          <w:sz w:val="21"/>
          <w:szCs w:val="21"/>
        </w:rPr>
        <w:t>2</w:t>
      </w:r>
      <w:r>
        <w:rPr>
          <w:rFonts w:hint="eastAsia" w:hAnsi="宋体" w:cs="Arial"/>
          <w:color w:val="000000"/>
          <w:kern w:val="2"/>
          <w:sz w:val="21"/>
          <w:szCs w:val="21"/>
        </w:rPr>
        <w:t>、</w:t>
      </w:r>
      <w:bookmarkStart w:id="3" w:name="_Hlk89186123"/>
      <w:r>
        <w:rPr>
          <w:rFonts w:hint="eastAsia" w:hAnsi="宋体" w:cs="Arial"/>
          <w:color w:val="000000"/>
          <w:kern w:val="2"/>
          <w:sz w:val="21"/>
          <w:szCs w:val="21"/>
        </w:rPr>
        <w:t>保险合同按分期缴付保险费</w:t>
      </w:r>
      <w:bookmarkEnd w:id="3"/>
      <w:r>
        <w:rPr>
          <w:rFonts w:hint="eastAsia" w:hAnsi="宋体" w:cs="Arial"/>
          <w:color w:val="000000"/>
          <w:kern w:val="2"/>
          <w:sz w:val="21"/>
          <w:szCs w:val="21"/>
        </w:rPr>
        <w:t>，根据保险合同保险费分期支付期数，使用如下公式计收每期保险费：</w:t>
      </w:r>
    </w:p>
    <w:p>
      <w:pPr>
        <w:spacing w:line="312" w:lineRule="auto"/>
        <w:ind w:firstLine="420" w:firstLineChars="20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int="eastAsia" w:hAnsi="宋体" w:cs="Arial"/>
          <w:color w:val="000000"/>
          <w:kern w:val="2"/>
          <w:sz w:val="21"/>
          <w:szCs w:val="21"/>
        </w:rPr>
        <w:t>每期保险费（按四舍五</w:t>
      </w:r>
      <w:bookmarkStart w:id="5" w:name="_GoBack"/>
      <w:bookmarkEnd w:id="5"/>
      <w:r>
        <w:rPr>
          <w:rFonts w:hint="eastAsia" w:hAnsi="宋体" w:cs="Arial"/>
          <w:color w:val="000000"/>
          <w:kern w:val="2"/>
          <w:sz w:val="21"/>
          <w:szCs w:val="21"/>
        </w:rPr>
        <w:t>入计算）</w:t>
      </w:r>
      <w:r>
        <w:rPr>
          <w:rFonts w:hAnsi="宋体" w:cs="Arial"/>
          <w:color w:val="000000"/>
          <w:kern w:val="2"/>
          <w:sz w:val="21"/>
          <w:szCs w:val="21"/>
        </w:rPr>
        <w:t>=年保险费÷分期缴费期数</w:t>
      </w:r>
    </w:p>
    <w:p>
      <w:pPr>
        <w:spacing w:line="312" w:lineRule="auto"/>
        <w:ind w:firstLine="420" w:firstLineChars="20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int="eastAsia" w:hAnsi="宋体" w:cs="Arial"/>
          <w:color w:val="000000"/>
          <w:kern w:val="2"/>
          <w:sz w:val="21"/>
          <w:szCs w:val="21"/>
        </w:rPr>
        <w:t>注：本产品涉及分期缴费，每期缴费金额一致。</w:t>
      </w:r>
    </w:p>
    <w:p>
      <w:pPr>
        <w:spacing w:after="156" w:afterLines="50"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bookmarkStart w:id="4" w:name="_Hlk40869430"/>
      <w:r>
        <w:rPr>
          <w:rFonts w:hint="eastAsia" w:hAnsi="宋体" w:cs="Arial"/>
          <w:b/>
          <w:color w:val="000000"/>
          <w:kern w:val="2"/>
          <w:sz w:val="21"/>
          <w:szCs w:val="21"/>
        </w:rPr>
        <w:t>五、短期费率表</w:t>
      </w:r>
    </w:p>
    <w:p>
      <w:pPr>
        <w:spacing w:after="156" w:afterLines="50" w:line="312" w:lineRule="auto"/>
        <w:ind w:firstLine="470" w:firstLineChars="224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int="eastAsia" w:hAnsi="宋体" w:cs="Arial"/>
          <w:color w:val="000000"/>
          <w:kern w:val="2"/>
          <w:sz w:val="21"/>
          <w:szCs w:val="21"/>
        </w:rPr>
        <w:t>保险期间不足一年的，按以下标准计算短期保险费（按年保险费的百分比计算，不足一个月的按一个月计算）：</w:t>
      </w:r>
    </w:p>
    <w:tbl>
      <w:tblPr>
        <w:tblStyle w:val="8"/>
        <w:tblW w:w="94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保险期间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一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二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三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四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五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六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七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八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九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十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十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一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十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二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100%</w:t>
            </w:r>
          </w:p>
        </w:tc>
      </w:tr>
      <w:bookmarkEnd w:id="4"/>
    </w:tbl>
    <w:p>
      <w:pPr>
        <w:spacing w:line="312" w:lineRule="auto"/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panose1 w:val="02020500000000000000"/>
    <w:charset w:val="88"/>
    <w:family w:val="roman"/>
    <w:pitch w:val="default"/>
    <w:sig w:usb0="A00002FF" w:usb1="2A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QxOTg0ZTg2NjA3ZGU0MTY2MmU0Yjk5YzMyNzRlOGMifQ=="/>
  </w:docVars>
  <w:rsids>
    <w:rsidRoot w:val="009D2EA9"/>
    <w:rsid w:val="0009245F"/>
    <w:rsid w:val="001466F8"/>
    <w:rsid w:val="00181006"/>
    <w:rsid w:val="0019188E"/>
    <w:rsid w:val="001B15A1"/>
    <w:rsid w:val="001C17A2"/>
    <w:rsid w:val="001E19CC"/>
    <w:rsid w:val="00253A8C"/>
    <w:rsid w:val="002C3D26"/>
    <w:rsid w:val="00360EB9"/>
    <w:rsid w:val="00381C97"/>
    <w:rsid w:val="003C791D"/>
    <w:rsid w:val="004838C8"/>
    <w:rsid w:val="004B606B"/>
    <w:rsid w:val="00522009"/>
    <w:rsid w:val="00522921"/>
    <w:rsid w:val="0053057D"/>
    <w:rsid w:val="005A1F73"/>
    <w:rsid w:val="005B5F60"/>
    <w:rsid w:val="006D7A85"/>
    <w:rsid w:val="006E7D5B"/>
    <w:rsid w:val="00733E8B"/>
    <w:rsid w:val="007536D2"/>
    <w:rsid w:val="00777986"/>
    <w:rsid w:val="007A3080"/>
    <w:rsid w:val="007D2AAD"/>
    <w:rsid w:val="007D3AF9"/>
    <w:rsid w:val="00811165"/>
    <w:rsid w:val="00845553"/>
    <w:rsid w:val="00866CD3"/>
    <w:rsid w:val="008A0AE9"/>
    <w:rsid w:val="00973BB4"/>
    <w:rsid w:val="00982721"/>
    <w:rsid w:val="009D2EA9"/>
    <w:rsid w:val="00A039A2"/>
    <w:rsid w:val="00A7423B"/>
    <w:rsid w:val="00AA7928"/>
    <w:rsid w:val="00AB5E61"/>
    <w:rsid w:val="00B220A3"/>
    <w:rsid w:val="00B874F8"/>
    <w:rsid w:val="00BA4DEF"/>
    <w:rsid w:val="00C351FC"/>
    <w:rsid w:val="00CC1D23"/>
    <w:rsid w:val="00CD1D0F"/>
    <w:rsid w:val="00CD4A1F"/>
    <w:rsid w:val="00E24A7C"/>
    <w:rsid w:val="00E54053"/>
    <w:rsid w:val="00EB7D65"/>
    <w:rsid w:val="00F05702"/>
    <w:rsid w:val="00F22A05"/>
    <w:rsid w:val="00FA248F"/>
    <w:rsid w:val="00FA528B"/>
    <w:rsid w:val="00FE1113"/>
    <w:rsid w:val="01062EEC"/>
    <w:rsid w:val="01195218"/>
    <w:rsid w:val="01FD25DC"/>
    <w:rsid w:val="04060867"/>
    <w:rsid w:val="04203ED0"/>
    <w:rsid w:val="04541BCF"/>
    <w:rsid w:val="04B406E8"/>
    <w:rsid w:val="05F0689E"/>
    <w:rsid w:val="05F57FD9"/>
    <w:rsid w:val="06382356"/>
    <w:rsid w:val="088911EE"/>
    <w:rsid w:val="0A521DC1"/>
    <w:rsid w:val="0B140DDB"/>
    <w:rsid w:val="0B7117B3"/>
    <w:rsid w:val="0BCD25F3"/>
    <w:rsid w:val="0C77239D"/>
    <w:rsid w:val="0D1D3A97"/>
    <w:rsid w:val="0E5C239D"/>
    <w:rsid w:val="11AD4902"/>
    <w:rsid w:val="120070FD"/>
    <w:rsid w:val="136116F1"/>
    <w:rsid w:val="13D11138"/>
    <w:rsid w:val="159D7AC9"/>
    <w:rsid w:val="17493F8E"/>
    <w:rsid w:val="1864257A"/>
    <w:rsid w:val="18F1390A"/>
    <w:rsid w:val="1A475D75"/>
    <w:rsid w:val="1A9B58C2"/>
    <w:rsid w:val="1B437F15"/>
    <w:rsid w:val="1C9A1088"/>
    <w:rsid w:val="1CCB706C"/>
    <w:rsid w:val="1ECD748C"/>
    <w:rsid w:val="1F10211D"/>
    <w:rsid w:val="210E4263"/>
    <w:rsid w:val="22786352"/>
    <w:rsid w:val="23205F9F"/>
    <w:rsid w:val="23CF018A"/>
    <w:rsid w:val="253942E5"/>
    <w:rsid w:val="25CE3EFB"/>
    <w:rsid w:val="26B13D60"/>
    <w:rsid w:val="26D80604"/>
    <w:rsid w:val="279F35CF"/>
    <w:rsid w:val="2943145A"/>
    <w:rsid w:val="297214C3"/>
    <w:rsid w:val="2A281FC1"/>
    <w:rsid w:val="2A36189D"/>
    <w:rsid w:val="2B815923"/>
    <w:rsid w:val="2B9E0B63"/>
    <w:rsid w:val="2D407C42"/>
    <w:rsid w:val="2EE15772"/>
    <w:rsid w:val="2F193CD6"/>
    <w:rsid w:val="2F3F6B2C"/>
    <w:rsid w:val="31C816F8"/>
    <w:rsid w:val="34594409"/>
    <w:rsid w:val="34EC597A"/>
    <w:rsid w:val="37180CA8"/>
    <w:rsid w:val="3DF72D50"/>
    <w:rsid w:val="3F5F4C9C"/>
    <w:rsid w:val="3FEE25A6"/>
    <w:rsid w:val="40C1222A"/>
    <w:rsid w:val="420E72C6"/>
    <w:rsid w:val="42FE6FA4"/>
    <w:rsid w:val="433108D4"/>
    <w:rsid w:val="456C38BC"/>
    <w:rsid w:val="46003033"/>
    <w:rsid w:val="487F0AA8"/>
    <w:rsid w:val="48A40177"/>
    <w:rsid w:val="49AF08FD"/>
    <w:rsid w:val="4AE44EBC"/>
    <w:rsid w:val="4CB35BD4"/>
    <w:rsid w:val="4DDB68D1"/>
    <w:rsid w:val="505333CA"/>
    <w:rsid w:val="52D73ACE"/>
    <w:rsid w:val="53FA0010"/>
    <w:rsid w:val="55641513"/>
    <w:rsid w:val="572E11A9"/>
    <w:rsid w:val="57D44438"/>
    <w:rsid w:val="581B493B"/>
    <w:rsid w:val="589F036F"/>
    <w:rsid w:val="58AA41D8"/>
    <w:rsid w:val="59E7326D"/>
    <w:rsid w:val="59F172C5"/>
    <w:rsid w:val="5AAB11D8"/>
    <w:rsid w:val="5DB666BD"/>
    <w:rsid w:val="5DDB0D9E"/>
    <w:rsid w:val="605D000F"/>
    <w:rsid w:val="6128695F"/>
    <w:rsid w:val="61D6330C"/>
    <w:rsid w:val="633F7E95"/>
    <w:rsid w:val="66C51A03"/>
    <w:rsid w:val="67C12C67"/>
    <w:rsid w:val="67C972D1"/>
    <w:rsid w:val="687E03FC"/>
    <w:rsid w:val="6990501C"/>
    <w:rsid w:val="6A6F2B1C"/>
    <w:rsid w:val="6B2B1782"/>
    <w:rsid w:val="6BB134DA"/>
    <w:rsid w:val="6BC8789F"/>
    <w:rsid w:val="6C3C6C42"/>
    <w:rsid w:val="6CA67DDA"/>
    <w:rsid w:val="6F820641"/>
    <w:rsid w:val="7033639E"/>
    <w:rsid w:val="720A1136"/>
    <w:rsid w:val="74891F0C"/>
    <w:rsid w:val="74A03E02"/>
    <w:rsid w:val="76DB0DCF"/>
    <w:rsid w:val="78C06523"/>
    <w:rsid w:val="799D4BAC"/>
    <w:rsid w:val="79B77147"/>
    <w:rsid w:val="7B6A7170"/>
    <w:rsid w:val="7EA54F88"/>
    <w:rsid w:val="7EEF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autoRedefine/>
    <w:qFormat/>
    <w:uiPriority w:val="0"/>
    <w:pPr>
      <w:jc w:val="left"/>
    </w:pPr>
  </w:style>
  <w:style w:type="paragraph" w:styleId="3">
    <w:name w:val="Balloon Text"/>
    <w:basedOn w:val="1"/>
    <w:link w:val="12"/>
    <w:autoRedefine/>
    <w:qFormat/>
    <w:uiPriority w:val="0"/>
    <w:rPr>
      <w:sz w:val="18"/>
      <w:szCs w:val="18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paragraph" w:styleId="7">
    <w:name w:val="annotation subject"/>
    <w:basedOn w:val="2"/>
    <w:next w:val="2"/>
    <w:link w:val="15"/>
    <w:autoRedefine/>
    <w:qFormat/>
    <w:uiPriority w:val="0"/>
    <w:rPr>
      <w:b/>
      <w:bCs/>
    </w:rPr>
  </w:style>
  <w:style w:type="table" w:styleId="9">
    <w:name w:val="Table Grid"/>
    <w:basedOn w:val="8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autoRedefine/>
    <w:qFormat/>
    <w:uiPriority w:val="0"/>
    <w:rPr>
      <w:sz w:val="21"/>
      <w:szCs w:val="21"/>
    </w:rPr>
  </w:style>
  <w:style w:type="character" w:customStyle="1" w:styleId="12">
    <w:name w:val="批注框文本 字符"/>
    <w:basedOn w:val="10"/>
    <w:link w:val="3"/>
    <w:autoRedefine/>
    <w:qFormat/>
    <w:uiPriority w:val="0"/>
    <w:rPr>
      <w:rFonts w:ascii="宋体"/>
      <w:sz w:val="18"/>
      <w:szCs w:val="18"/>
    </w:rPr>
  </w:style>
  <w:style w:type="character" w:customStyle="1" w:styleId="13">
    <w:name w:val="页眉 字符"/>
    <w:basedOn w:val="10"/>
    <w:link w:val="5"/>
    <w:autoRedefine/>
    <w:qFormat/>
    <w:uiPriority w:val="0"/>
    <w:rPr>
      <w:rFonts w:ascii="宋体"/>
      <w:sz w:val="18"/>
      <w:szCs w:val="18"/>
    </w:rPr>
  </w:style>
  <w:style w:type="character" w:customStyle="1" w:styleId="14">
    <w:name w:val="批注文字 字符"/>
    <w:basedOn w:val="10"/>
    <w:link w:val="2"/>
    <w:autoRedefine/>
    <w:qFormat/>
    <w:uiPriority w:val="0"/>
    <w:rPr>
      <w:rFonts w:ascii="宋体"/>
      <w:sz w:val="34"/>
      <w:szCs w:val="22"/>
    </w:rPr>
  </w:style>
  <w:style w:type="character" w:customStyle="1" w:styleId="15">
    <w:name w:val="批注主题 字符"/>
    <w:basedOn w:val="14"/>
    <w:link w:val="7"/>
    <w:autoRedefine/>
    <w:qFormat/>
    <w:uiPriority w:val="0"/>
    <w:rPr>
      <w:rFonts w:ascii="宋体"/>
      <w:b/>
      <w:bCs/>
      <w:sz w:val="34"/>
      <w:szCs w:val="22"/>
    </w:rPr>
  </w:style>
  <w:style w:type="paragraph" w:customStyle="1" w:styleId="16">
    <w:name w:val="修订1"/>
    <w:autoRedefine/>
    <w:hidden/>
    <w:semiHidden/>
    <w:qFormat/>
    <w:uiPriority w:val="99"/>
    <w:rPr>
      <w:rFonts w:ascii="宋体" w:hAnsi="Times New Roman" w:eastAsia="宋体" w:cs="Times New Roman"/>
      <w:sz w:val="34"/>
      <w:szCs w:val="22"/>
      <w:lang w:val="en-US" w:eastAsia="zh-CN" w:bidi="ar-SA"/>
    </w:rPr>
  </w:style>
  <w:style w:type="paragraph" w:customStyle="1" w:styleId="17">
    <w:name w:val="修订2"/>
    <w:autoRedefine/>
    <w:hidden/>
    <w:semiHidden/>
    <w:qFormat/>
    <w:uiPriority w:val="99"/>
    <w:rPr>
      <w:rFonts w:ascii="宋体" w:hAnsi="Times New Roman" w:eastAsia="宋体" w:cs="Times New Roman"/>
      <w:sz w:val="34"/>
      <w:szCs w:val="22"/>
      <w:lang w:val="en-US" w:eastAsia="zh-CN" w:bidi="ar-SA"/>
    </w:rPr>
  </w:style>
  <w:style w:type="paragraph" w:customStyle="1" w:styleId="18">
    <w:name w:val="修订3"/>
    <w:autoRedefine/>
    <w:hidden/>
    <w:semiHidden/>
    <w:qFormat/>
    <w:uiPriority w:val="99"/>
    <w:rPr>
      <w:rFonts w:ascii="宋体" w:hAnsi="Times New Roman" w:eastAsia="宋体" w:cs="Times New Roman"/>
      <w:sz w:val="34"/>
      <w:szCs w:val="22"/>
      <w:lang w:val="en-US" w:eastAsia="zh-CN" w:bidi="ar-SA"/>
    </w:rPr>
  </w:style>
  <w:style w:type="paragraph" w:customStyle="1" w:styleId="19">
    <w:name w:val="修订4"/>
    <w:autoRedefine/>
    <w:hidden/>
    <w:semiHidden/>
    <w:qFormat/>
    <w:uiPriority w:val="99"/>
    <w:rPr>
      <w:rFonts w:ascii="宋体" w:hAnsi="Times New Roman" w:eastAsia="宋体" w:cs="Times New Roman"/>
      <w:sz w:val="34"/>
      <w:szCs w:val="22"/>
      <w:lang w:val="en-US" w:eastAsia="zh-CN" w:bidi="ar-SA"/>
    </w:rPr>
  </w:style>
  <w:style w:type="paragraph" w:customStyle="1" w:styleId="20">
    <w:name w:val="修订5"/>
    <w:autoRedefine/>
    <w:hidden/>
    <w:semiHidden/>
    <w:qFormat/>
    <w:uiPriority w:val="99"/>
    <w:rPr>
      <w:rFonts w:ascii="宋体" w:hAnsi="Times New Roman" w:eastAsia="宋体" w:cs="Times New Roman"/>
      <w:sz w:val="34"/>
      <w:szCs w:val="22"/>
      <w:lang w:val="en-US" w:eastAsia="zh-CN" w:bidi="ar-SA"/>
    </w:rPr>
  </w:style>
  <w:style w:type="paragraph" w:customStyle="1" w:styleId="21">
    <w:name w:val="Revision"/>
    <w:hidden/>
    <w:unhideWhenUsed/>
    <w:uiPriority w:val="99"/>
    <w:rPr>
      <w:rFonts w:ascii="宋体" w:hAnsi="Times New Roman" w:eastAsia="宋体" w:cs="Times New Roman"/>
      <w:sz w:val="34"/>
      <w:szCs w:val="22"/>
      <w:lang w:val="en-US" w:eastAsia="zh-CN" w:bidi="ar-SA"/>
    </w:rPr>
  </w:style>
  <w:style w:type="paragraph" w:customStyle="1" w:styleId="22">
    <w:name w:val="_Style 21"/>
    <w:basedOn w:val="1"/>
    <w:next w:val="23"/>
    <w:qFormat/>
    <w:uiPriority w:val="34"/>
    <w:pPr>
      <w:ind w:firstLine="420" w:firstLineChars="200"/>
    </w:pPr>
    <w:rPr>
      <w:rFonts w:ascii="Times New Roman" w:cs="Calibri"/>
      <w:kern w:val="2"/>
      <w:sz w:val="21"/>
      <w:szCs w:val="21"/>
    </w:rPr>
  </w:style>
  <w:style w:type="paragraph" w:styleId="23">
    <w:name w:val="List Paragraph"/>
    <w:basedOn w:val="1"/>
    <w:semiHidden/>
    <w:unhideWhenUsed/>
    <w:uiPriority w:val="99"/>
    <w:pPr>
      <w:ind w:firstLine="420" w:firstLineChars="200"/>
    </w:pPr>
  </w:style>
  <w:style w:type="paragraph" w:customStyle="1" w:styleId="24">
    <w:name w:val="列出段落1"/>
    <w:basedOn w:val="1"/>
    <w:qFormat/>
    <w:uiPriority w:val="34"/>
    <w:pPr>
      <w:ind w:firstLine="420" w:firstLineChars="200"/>
    </w:pPr>
    <w:rPr>
      <w:rFonts w:ascii="Times New Roman" w:cs="Calibri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612</Words>
  <Characters>3492</Characters>
  <Lines>29</Lines>
  <Paragraphs>8</Paragraphs>
  <TotalTime>6</TotalTime>
  <ScaleCrop>false</ScaleCrop>
  <LinksUpToDate>false</LinksUpToDate>
  <CharactersWithSpaces>4096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2024-01-24T08:43:00Z</dcterms:created>
  <dc:creator>Lenovo</dc:creator>
  <cp:lastModifiedBy>Zixuan Shen</cp:lastModifiedBy>
  <dcterms:modified xsi:type="dcterms:W3CDTF">2024-01-24T10:39:17Z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8312A38165FF457AB2BC860A0023695A_13</vt:lpwstr>
  </property>
</Properties>
</file>