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bCs/>
          <w:kern w:val="0"/>
          <w:sz w:val="28"/>
          <w:szCs w:val="28"/>
        </w:rPr>
      </w:pPr>
      <w:r>
        <w:rPr>
          <w:rFonts w:hint="eastAsia" w:ascii="宋体" w:hAnsi="宋体" w:eastAsia="宋体" w:cs="宋体"/>
          <w:b/>
          <w:bCs/>
          <w:kern w:val="0"/>
          <w:sz w:val="28"/>
          <w:szCs w:val="28"/>
        </w:rPr>
        <w:t>华农财产保险股份有限公司</w:t>
      </w:r>
    </w:p>
    <w:p>
      <w:pPr>
        <w:jc w:val="center"/>
        <w:rPr>
          <w:rFonts w:ascii="宋体" w:hAnsi="宋体" w:eastAsia="宋体" w:cs="宋体"/>
          <w:b/>
          <w:bCs/>
          <w:sz w:val="28"/>
          <w:szCs w:val="28"/>
        </w:rPr>
      </w:pPr>
      <w:r>
        <w:rPr>
          <w:rFonts w:hint="eastAsia" w:ascii="宋体" w:hAnsi="宋体" w:eastAsia="宋体" w:cs="宋体"/>
          <w:b/>
          <w:bCs/>
          <w:kern w:val="0"/>
          <w:sz w:val="28"/>
          <w:szCs w:val="28"/>
        </w:rPr>
        <w:t>住院医疗费用保险R款费率表（互联网专属）</w:t>
      </w:r>
    </w:p>
    <w:p>
      <w:pPr>
        <w:jc w:val="center"/>
        <w:rPr>
          <w:rFonts w:ascii="宋体" w:hAnsi="宋体" w:eastAsia="宋体" w:cs="宋体"/>
          <w:b/>
          <w:bCs/>
          <w:sz w:val="28"/>
          <w:szCs w:val="28"/>
        </w:rPr>
      </w:pPr>
    </w:p>
    <w:p>
      <w:pPr>
        <w:spacing w:line="360" w:lineRule="auto"/>
        <w:ind w:firstLine="422" w:firstLineChars="200"/>
        <w:jc w:val="left"/>
        <w:rPr>
          <w:rFonts w:ascii="宋体" w:hAnsi="宋体" w:eastAsia="宋体" w:cs="宋体"/>
          <w:b/>
          <w:bCs/>
          <w:szCs w:val="21"/>
        </w:rPr>
      </w:pPr>
      <w:r>
        <w:rPr>
          <w:rFonts w:hint="eastAsia" w:ascii="宋体" w:hAnsi="宋体" w:eastAsia="宋体" w:cs="宋体"/>
          <w:b/>
          <w:bCs/>
          <w:szCs w:val="21"/>
        </w:rPr>
        <w:t>一、基准给付标准</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1、保险金额</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年度累计保险金额：600万元，其中：</w:t>
      </w:r>
    </w:p>
    <w:p>
      <w:pPr>
        <w:widowControl/>
        <w:numPr>
          <w:ilvl w:val="0"/>
          <w:numId w:val="1"/>
        </w:numPr>
        <w:adjustRightInd w:val="0"/>
        <w:snapToGrid w:val="0"/>
        <w:spacing w:line="360" w:lineRule="auto"/>
        <w:ind w:hanging="5"/>
        <w:jc w:val="left"/>
        <w:rPr>
          <w:rFonts w:ascii="宋体" w:hAnsi="宋体" w:eastAsia="宋体" w:cs="宋体"/>
          <w:szCs w:val="21"/>
        </w:rPr>
      </w:pPr>
      <w:r>
        <w:rPr>
          <w:rFonts w:hint="eastAsia" w:ascii="宋体" w:hAnsi="宋体" w:eastAsia="宋体" w:cs="宋体"/>
          <w:szCs w:val="21"/>
        </w:rPr>
        <w:t>一般医疗保险金：300万元</w:t>
      </w:r>
    </w:p>
    <w:p>
      <w:pPr>
        <w:widowControl/>
        <w:numPr>
          <w:ilvl w:val="0"/>
          <w:numId w:val="1"/>
        </w:numPr>
        <w:adjustRightInd w:val="0"/>
        <w:snapToGrid w:val="0"/>
        <w:spacing w:line="360" w:lineRule="auto"/>
        <w:ind w:hanging="5"/>
        <w:jc w:val="left"/>
        <w:rPr>
          <w:rFonts w:ascii="宋体" w:hAnsi="宋体" w:eastAsia="宋体" w:cs="宋体"/>
          <w:szCs w:val="21"/>
        </w:rPr>
      </w:pPr>
      <w:r>
        <w:rPr>
          <w:rFonts w:hint="eastAsia" w:ascii="宋体" w:hAnsi="宋体" w:eastAsia="宋体" w:cs="宋体"/>
          <w:szCs w:val="21"/>
        </w:rPr>
        <w:t>重大疾病医疗保险金：在一般医疗保险金基础上叠加300万元</w:t>
      </w:r>
    </w:p>
    <w:p>
      <w:pPr>
        <w:widowControl/>
        <w:numPr>
          <w:ilvl w:val="0"/>
          <w:numId w:val="1"/>
        </w:numPr>
        <w:adjustRightInd w:val="0"/>
        <w:snapToGrid w:val="0"/>
        <w:spacing w:line="360" w:lineRule="auto"/>
        <w:ind w:hanging="5"/>
        <w:jc w:val="left"/>
        <w:rPr>
          <w:rFonts w:ascii="宋体" w:hAnsi="宋体" w:eastAsia="宋体" w:cs="宋体"/>
          <w:szCs w:val="21"/>
        </w:rPr>
      </w:pPr>
      <w:r>
        <w:rPr>
          <w:rFonts w:hint="eastAsia" w:ascii="宋体" w:hAnsi="宋体" w:eastAsia="宋体" w:cs="宋体"/>
          <w:szCs w:val="21"/>
        </w:rPr>
        <w:t>质子重离子医疗保险金：与一般医疗保险金及重大疾病医疗保险金共享保险金额</w:t>
      </w:r>
    </w:p>
    <w:p>
      <w:pPr>
        <w:widowControl/>
        <w:numPr>
          <w:ilvl w:val="0"/>
          <w:numId w:val="1"/>
        </w:numPr>
        <w:adjustRightInd w:val="0"/>
        <w:snapToGrid w:val="0"/>
        <w:spacing w:line="360" w:lineRule="auto"/>
        <w:ind w:hanging="5"/>
        <w:jc w:val="left"/>
        <w:rPr>
          <w:rFonts w:ascii="宋体" w:hAnsi="宋体" w:eastAsia="宋体" w:cs="宋体"/>
          <w:szCs w:val="21"/>
        </w:rPr>
      </w:pPr>
      <w:r>
        <w:rPr>
          <w:rFonts w:hint="eastAsia" w:ascii="宋体" w:hAnsi="宋体" w:eastAsia="宋体" w:cs="宋体"/>
          <w:szCs w:val="21"/>
        </w:rPr>
        <w:t>重大疾病异地转诊保险金：5万元</w:t>
      </w:r>
    </w:p>
    <w:p>
      <w:pPr>
        <w:widowControl/>
        <w:numPr>
          <w:ilvl w:val="0"/>
          <w:numId w:val="1"/>
        </w:numPr>
        <w:adjustRightInd w:val="0"/>
        <w:snapToGrid w:val="0"/>
        <w:spacing w:line="360" w:lineRule="auto"/>
        <w:ind w:hanging="5"/>
        <w:jc w:val="left"/>
        <w:rPr>
          <w:rFonts w:ascii="宋体" w:hAnsi="宋体" w:eastAsia="宋体" w:cs="宋体"/>
          <w:szCs w:val="21"/>
        </w:rPr>
      </w:pPr>
      <w:r>
        <w:rPr>
          <w:rFonts w:hint="eastAsia" w:ascii="宋体" w:hAnsi="宋体" w:eastAsia="宋体" w:cs="宋体"/>
          <w:szCs w:val="21"/>
        </w:rPr>
        <w:t>特定药品费用保险金：600万元</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2、免赔额</w:t>
      </w:r>
    </w:p>
    <w:p>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1万元，因重大疾病导致的医疗费用免赔额为0元。</w:t>
      </w:r>
    </w:p>
    <w:p>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3、赔付比例</w:t>
      </w:r>
    </w:p>
    <w:p>
      <w:pPr>
        <w:numPr>
          <w:ilvl w:val="-1"/>
          <w:numId w:val="0"/>
        </w:num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（1）一般医疗保险金及重大疾病医疗保险金：</w:t>
      </w:r>
    </w:p>
    <w:p>
      <w:pPr>
        <w:adjustRightInd w:val="0"/>
        <w:snapToGrid w:val="0"/>
        <w:spacing w:line="360" w:lineRule="auto"/>
        <w:ind w:left="420" w:firstLine="420" w:firstLineChars="200"/>
        <w:rPr>
          <w:rFonts w:ascii="宋体" w:hAnsi="宋体" w:eastAsia="宋体" w:cs="宋体"/>
          <w:szCs w:val="21"/>
        </w:rPr>
      </w:pPr>
      <w:r>
        <w:rPr>
          <w:rFonts w:hint="eastAsia" w:ascii="宋体" w:hAnsi="宋体" w:eastAsia="宋体" w:cs="宋体"/>
          <w:szCs w:val="21"/>
        </w:rPr>
        <w:t>①若被保险人以参加基本医疗保险或公费医疗身份投保，并以基本医疗保险或公费医疗身份就诊并结算，赔付比例为100%。</w:t>
      </w:r>
    </w:p>
    <w:p>
      <w:pPr>
        <w:snapToGrid w:val="0"/>
        <w:spacing w:line="360" w:lineRule="auto"/>
        <w:ind w:left="420" w:firstLine="440"/>
        <w:rPr>
          <w:rFonts w:ascii="宋体" w:hAnsi="宋体" w:eastAsia="宋体" w:cs="宋体"/>
          <w:b/>
          <w:szCs w:val="21"/>
        </w:rPr>
      </w:pPr>
      <w:r>
        <w:rPr>
          <w:rFonts w:hint="eastAsia" w:ascii="宋体" w:hAnsi="宋体" w:eastAsia="宋体" w:cs="宋体"/>
          <w:szCs w:val="21"/>
        </w:rPr>
        <w:t>②若被保险人以参加基本医疗保险或公费医疗身份投保，但未以基本医疗保险或公费医疗身份就诊并结算，赔付比例为60%。若同时符合以下三个要件，赔付比例调整为80%：(a)跨省或自治区或直辖市（仅限中国大陆境内，不包括香港、澳门和台湾地区）在本合同约定的医院就医；(b)异地就医的医院无法使用被保险人参保所在地的基本医疗保险结算；(c)被保险人已向参保所在地的医保经办机构申请报销，但参保地医保经办机构无法给予基本医疗保险报销。</w:t>
      </w:r>
    </w:p>
    <w:p>
      <w:pPr>
        <w:snapToGrid w:val="0"/>
        <w:spacing w:line="360" w:lineRule="auto"/>
        <w:ind w:left="420" w:firstLine="420" w:firstLineChars="200"/>
        <w:rPr>
          <w:rFonts w:ascii="宋体" w:hAnsi="宋体" w:eastAsia="宋体" w:cs="宋体"/>
          <w:szCs w:val="21"/>
        </w:rPr>
      </w:pPr>
      <w:r>
        <w:rPr>
          <w:rFonts w:hint="eastAsia" w:ascii="宋体" w:hAnsi="宋体" w:eastAsia="宋体" w:cs="宋体"/>
          <w:szCs w:val="21"/>
        </w:rPr>
        <w:t>③若被保险人未以参加基本医疗保险或公费医疗身份投保，赔付比例为100%。</w:t>
      </w:r>
    </w:p>
    <w:p>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（2）质子重离子医疗保险金：赔付比例为100%。</w:t>
      </w:r>
    </w:p>
    <w:p>
      <w:pPr>
        <w:adjustRightInd w:val="0"/>
        <w:snapToGrid w:val="0"/>
        <w:spacing w:line="360" w:lineRule="auto"/>
        <w:rPr>
          <w:rFonts w:ascii="宋体" w:hAnsi="宋体" w:eastAsia="宋体" w:cs="宋体"/>
          <w:szCs w:val="21"/>
        </w:rPr>
      </w:pPr>
      <w:r>
        <w:rPr>
          <w:rFonts w:hint="eastAsia" w:ascii="宋体" w:hAnsi="宋体" w:eastAsia="宋体" w:cs="宋体"/>
          <w:szCs w:val="21"/>
        </w:rPr>
        <w:t xml:space="preserve">    （3）特定药品费用保险金：</w:t>
      </w:r>
    </w:p>
    <w:p>
      <w:pPr>
        <w:adjustRightInd w:val="0"/>
        <w:snapToGrid w:val="0"/>
        <w:spacing w:line="360" w:lineRule="auto"/>
        <w:ind w:left="420" w:firstLine="420" w:firstLineChars="200"/>
        <w:rPr>
          <w:rFonts w:hint="eastAsia" w:ascii="宋体" w:hAnsi="宋体" w:eastAsia="宋体" w:cs="宋体"/>
          <w:szCs w:val="21"/>
        </w:rPr>
      </w:pPr>
      <w:r>
        <w:rPr>
          <w:rFonts w:hint="eastAsia" w:ascii="宋体" w:hAnsi="宋体" w:eastAsia="宋体" w:cs="宋体"/>
          <w:szCs w:val="21"/>
        </w:rPr>
        <w:t>①若被保险人以参加基本医疗保险或公费医疗身份投保：</w:t>
      </w:r>
    </w:p>
    <w:p>
      <w:pPr>
        <w:adjustRightInd w:val="0"/>
        <w:snapToGrid w:val="0"/>
        <w:spacing w:line="360" w:lineRule="auto"/>
        <w:ind w:left="420" w:firstLine="420" w:firstLineChars="200"/>
        <w:rPr>
          <w:rFonts w:hint="eastAsia" w:ascii="宋体" w:hAnsi="宋体" w:eastAsia="宋体" w:cs="宋体"/>
          <w:szCs w:val="21"/>
        </w:rPr>
      </w:pPr>
      <w:r>
        <w:rPr>
          <w:rFonts w:hint="eastAsia" w:ascii="宋体" w:hAnsi="宋体" w:eastAsia="宋体" w:cs="宋体"/>
          <w:szCs w:val="21"/>
        </w:rPr>
        <w:t>a.如药品为基本医疗保险药品目录内且已经过基本医疗保险报销，赔付比例为100%；</w:t>
      </w:r>
    </w:p>
    <w:p>
      <w:pPr>
        <w:adjustRightInd w:val="0"/>
        <w:snapToGrid w:val="0"/>
        <w:spacing w:line="360" w:lineRule="auto"/>
        <w:ind w:left="420" w:firstLine="420" w:firstLineChars="200"/>
        <w:rPr>
          <w:rFonts w:hint="eastAsia" w:ascii="宋体" w:hAnsi="宋体" w:eastAsia="宋体" w:cs="宋体"/>
          <w:szCs w:val="21"/>
        </w:rPr>
      </w:pPr>
      <w:r>
        <w:rPr>
          <w:rFonts w:hint="eastAsia" w:ascii="宋体" w:hAnsi="宋体" w:eastAsia="宋体" w:cs="宋体"/>
          <w:szCs w:val="21"/>
        </w:rPr>
        <w:t>b.如药品为基本医疗保险药品目录内但未经过基本医疗保险报销，赔付比例为60%；</w:t>
      </w:r>
    </w:p>
    <w:p>
      <w:pPr>
        <w:adjustRightInd w:val="0"/>
        <w:snapToGrid w:val="0"/>
        <w:spacing w:line="360" w:lineRule="auto"/>
        <w:ind w:left="420" w:firstLine="420" w:firstLineChars="200"/>
        <w:rPr>
          <w:rFonts w:hint="eastAsia" w:ascii="宋体" w:hAnsi="宋体" w:eastAsia="宋体" w:cs="宋体"/>
          <w:szCs w:val="21"/>
        </w:rPr>
      </w:pPr>
      <w:r>
        <w:rPr>
          <w:rFonts w:hint="eastAsia" w:ascii="宋体" w:hAnsi="宋体" w:eastAsia="宋体" w:cs="宋体"/>
          <w:szCs w:val="21"/>
        </w:rPr>
        <w:t>c.如药品为基本医疗保险药品目录外，赔付比例为100%。</w:t>
      </w:r>
    </w:p>
    <w:p>
      <w:pPr>
        <w:adjustRightInd w:val="0"/>
        <w:snapToGrid w:val="0"/>
        <w:spacing w:line="360" w:lineRule="auto"/>
        <w:ind w:left="420" w:firstLine="420" w:firstLineChars="200"/>
        <w:rPr>
          <w:rFonts w:ascii="宋体" w:hAnsi="宋体" w:eastAsia="宋体" w:cs="宋体"/>
          <w:szCs w:val="21"/>
        </w:rPr>
      </w:pPr>
      <w:r>
        <w:rPr>
          <w:rFonts w:hint="eastAsia" w:ascii="宋体" w:hAnsi="宋体" w:eastAsia="宋体" w:cs="宋体"/>
          <w:szCs w:val="21"/>
        </w:rPr>
        <w:t>②若被保险人未以参加基本医疗保险或公费医疗身份投保，则基本医疗保险药品目录内药品和基本医疗保险药品目录外药品赔付比例均为100%。</w:t>
      </w:r>
    </w:p>
    <w:p>
      <w:pPr>
        <w:adjustRightInd w:val="0"/>
        <w:snapToGrid w:val="0"/>
        <w:spacing w:line="360" w:lineRule="auto"/>
        <w:ind w:left="420" w:firstLine="420" w:firstLineChars="200"/>
        <w:rPr>
          <w:rFonts w:ascii="宋体" w:hAnsi="宋体" w:eastAsia="宋体" w:cs="宋体"/>
          <w:szCs w:val="21"/>
        </w:rPr>
      </w:pPr>
    </w:p>
    <w:p>
      <w:pPr>
        <w:adjustRightInd w:val="0"/>
        <w:snapToGrid w:val="0"/>
        <w:spacing w:line="360" w:lineRule="auto"/>
        <w:ind w:firstLine="422" w:firstLineChars="200"/>
        <w:rPr>
          <w:rFonts w:ascii="宋体" w:hAnsi="宋体" w:eastAsia="宋体" w:cs="宋体"/>
          <w:szCs w:val="21"/>
        </w:rPr>
      </w:pPr>
      <w:r>
        <w:rPr>
          <w:rFonts w:hint="eastAsia" w:ascii="宋体" w:hAnsi="宋体" w:eastAsia="宋体" w:cs="宋体"/>
          <w:b/>
          <w:bCs/>
          <w:szCs w:val="21"/>
        </w:rPr>
        <w:t>二、年基准保险费</w:t>
      </w:r>
      <w:r>
        <w:rPr>
          <w:rFonts w:hint="eastAsia" w:ascii="宋体" w:hAnsi="宋体" w:eastAsia="宋体" w:cs="宋体"/>
          <w:szCs w:val="21"/>
        </w:rPr>
        <w:t>（单位：元）</w:t>
      </w:r>
    </w:p>
    <w:tbl>
      <w:tblPr>
        <w:tblStyle w:val="7"/>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3118"/>
        <w:gridCol w:w="3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2122"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eastAsia="宋体" w:cs="宋体"/>
                <w:szCs w:val="21"/>
              </w:rPr>
            </w:pPr>
            <w:r>
              <w:rPr>
                <w:rFonts w:hint="eastAsia" w:ascii="宋体" w:hAnsi="宋体" w:eastAsia="宋体" w:cs="宋体"/>
                <w:szCs w:val="21"/>
              </w:rPr>
              <w:t>年龄</w:t>
            </w:r>
          </w:p>
        </w:tc>
        <w:tc>
          <w:tcPr>
            <w:tcW w:w="3118"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eastAsia="宋体" w:cs="宋体"/>
                <w:szCs w:val="21"/>
              </w:rPr>
            </w:pPr>
            <w:r>
              <w:rPr>
                <w:rFonts w:hint="eastAsia" w:ascii="宋体" w:hAnsi="宋体" w:eastAsia="宋体" w:cs="宋体"/>
                <w:szCs w:val="21"/>
              </w:rPr>
              <w:t>有社保</w:t>
            </w:r>
          </w:p>
        </w:tc>
        <w:tc>
          <w:tcPr>
            <w:tcW w:w="3119"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eastAsia="宋体" w:cs="宋体"/>
                <w:szCs w:val="21"/>
              </w:rPr>
            </w:pPr>
            <w:r>
              <w:rPr>
                <w:rFonts w:hint="eastAsia" w:ascii="宋体" w:hAnsi="宋体" w:eastAsia="宋体" w:cs="宋体"/>
                <w:szCs w:val="21"/>
              </w:rPr>
              <w:t>无社保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eastAsia="宋体" w:cs="宋体"/>
                <w:szCs w:val="21"/>
              </w:rPr>
            </w:pPr>
            <w:r>
              <w:rPr>
                <w:rFonts w:hint="eastAsia" w:ascii="宋体" w:hAnsi="宋体" w:eastAsia="宋体" w:cs="宋体"/>
                <w:szCs w:val="21"/>
              </w:rPr>
              <w:t>0-4周岁</w:t>
            </w:r>
          </w:p>
        </w:tc>
        <w:tc>
          <w:tcPr>
            <w:tcW w:w="3118" w:type="dxa"/>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cs="宋体"/>
                <w:szCs w:val="21"/>
              </w:rPr>
            </w:pPr>
            <w:r>
              <w:rPr>
                <w:rFonts w:hint="eastAsia" w:ascii="宋体" w:hAnsi="宋体" w:cs="宋体"/>
                <w:szCs w:val="21"/>
              </w:rPr>
              <w:t>936</w:t>
            </w:r>
          </w:p>
        </w:tc>
        <w:tc>
          <w:tcPr>
            <w:tcW w:w="3119" w:type="dxa"/>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cs="宋体"/>
                <w:szCs w:val="21"/>
              </w:rPr>
            </w:pPr>
            <w:r>
              <w:rPr>
                <w:rFonts w:hint="eastAsia" w:ascii="宋体" w:hAnsi="宋体" w:cs="宋体"/>
                <w:szCs w:val="21"/>
              </w:rPr>
              <w:t>1848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eastAsia="宋体" w:cs="宋体"/>
                <w:szCs w:val="21"/>
              </w:rPr>
            </w:pPr>
            <w:r>
              <w:rPr>
                <w:rFonts w:hint="eastAsia" w:ascii="宋体" w:hAnsi="宋体" w:eastAsia="宋体" w:cs="宋体"/>
                <w:szCs w:val="21"/>
              </w:rPr>
              <w:t>5-10周岁</w:t>
            </w:r>
          </w:p>
        </w:tc>
        <w:tc>
          <w:tcPr>
            <w:tcW w:w="3118" w:type="dxa"/>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cs="宋体"/>
                <w:szCs w:val="21"/>
              </w:rPr>
            </w:pPr>
            <w:r>
              <w:rPr>
                <w:rFonts w:hint="eastAsia" w:ascii="宋体" w:hAnsi="宋体" w:cs="宋体"/>
                <w:szCs w:val="21"/>
              </w:rPr>
              <w:t>420</w:t>
            </w:r>
          </w:p>
        </w:tc>
        <w:tc>
          <w:tcPr>
            <w:tcW w:w="3119" w:type="dxa"/>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cs="宋体"/>
                <w:szCs w:val="21"/>
              </w:rPr>
            </w:pPr>
            <w:r>
              <w:rPr>
                <w:rFonts w:hint="eastAsia" w:ascii="宋体" w:hAnsi="宋体" w:cs="宋体"/>
                <w:szCs w:val="21"/>
              </w:rPr>
              <w:t>792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eastAsia="宋体" w:cs="宋体"/>
                <w:szCs w:val="21"/>
              </w:rPr>
            </w:pPr>
            <w:r>
              <w:rPr>
                <w:rFonts w:hint="eastAsia" w:ascii="宋体" w:hAnsi="宋体" w:eastAsia="宋体" w:cs="宋体"/>
                <w:szCs w:val="21"/>
              </w:rPr>
              <w:t>11-15周岁</w:t>
            </w:r>
          </w:p>
        </w:tc>
        <w:tc>
          <w:tcPr>
            <w:tcW w:w="3118" w:type="dxa"/>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cs="宋体"/>
                <w:szCs w:val="21"/>
              </w:rPr>
            </w:pPr>
            <w:r>
              <w:rPr>
                <w:rFonts w:hint="eastAsia" w:ascii="宋体" w:hAnsi="宋体" w:cs="宋体"/>
                <w:szCs w:val="21"/>
              </w:rPr>
              <w:t>180</w:t>
            </w:r>
          </w:p>
        </w:tc>
        <w:tc>
          <w:tcPr>
            <w:tcW w:w="3119" w:type="dxa"/>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cs="宋体"/>
                <w:szCs w:val="21"/>
              </w:rPr>
            </w:pPr>
            <w:r>
              <w:rPr>
                <w:rFonts w:hint="eastAsia" w:ascii="宋体" w:hAnsi="宋体" w:cs="宋体"/>
                <w:szCs w:val="21"/>
              </w:rPr>
              <w:t>348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eastAsia="宋体" w:cs="宋体"/>
                <w:szCs w:val="21"/>
              </w:rPr>
            </w:pPr>
            <w:r>
              <w:rPr>
                <w:rFonts w:hint="eastAsia" w:ascii="宋体" w:hAnsi="宋体" w:eastAsia="宋体" w:cs="宋体"/>
                <w:szCs w:val="21"/>
              </w:rPr>
              <w:t>16-20周岁</w:t>
            </w:r>
          </w:p>
        </w:tc>
        <w:tc>
          <w:tcPr>
            <w:tcW w:w="3118" w:type="dxa"/>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cs="宋体"/>
                <w:szCs w:val="21"/>
              </w:rPr>
            </w:pPr>
            <w:r>
              <w:rPr>
                <w:rFonts w:hint="eastAsia" w:ascii="宋体" w:hAnsi="宋体" w:cs="宋体"/>
                <w:szCs w:val="21"/>
              </w:rPr>
              <w:t>216</w:t>
            </w:r>
          </w:p>
        </w:tc>
        <w:tc>
          <w:tcPr>
            <w:tcW w:w="3119" w:type="dxa"/>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cs="宋体"/>
                <w:szCs w:val="21"/>
              </w:rPr>
            </w:pPr>
            <w:r>
              <w:rPr>
                <w:rFonts w:hint="eastAsia" w:ascii="宋体" w:hAnsi="宋体" w:cs="宋体"/>
                <w:szCs w:val="21"/>
              </w:rPr>
              <w:t>396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eastAsia="宋体" w:cs="宋体"/>
                <w:szCs w:val="21"/>
              </w:rPr>
            </w:pPr>
            <w:r>
              <w:rPr>
                <w:rFonts w:hint="eastAsia" w:ascii="宋体" w:hAnsi="宋体" w:eastAsia="宋体" w:cs="宋体"/>
                <w:szCs w:val="21"/>
              </w:rPr>
              <w:t>21-25周岁</w:t>
            </w:r>
          </w:p>
        </w:tc>
        <w:tc>
          <w:tcPr>
            <w:tcW w:w="3118" w:type="dxa"/>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cs="宋体"/>
                <w:szCs w:val="21"/>
              </w:rPr>
            </w:pPr>
            <w:r>
              <w:rPr>
                <w:rFonts w:hint="eastAsia" w:ascii="宋体" w:hAnsi="宋体" w:cs="宋体"/>
                <w:szCs w:val="21"/>
              </w:rPr>
              <w:t>288</w:t>
            </w:r>
          </w:p>
        </w:tc>
        <w:tc>
          <w:tcPr>
            <w:tcW w:w="3119" w:type="dxa"/>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cs="宋体"/>
                <w:szCs w:val="21"/>
              </w:rPr>
            </w:pPr>
            <w:r>
              <w:rPr>
                <w:rFonts w:hint="eastAsia" w:ascii="宋体" w:hAnsi="宋体" w:cs="宋体"/>
                <w:szCs w:val="21"/>
              </w:rPr>
              <w:t>564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eastAsia="宋体" w:cs="宋体"/>
                <w:szCs w:val="21"/>
              </w:rPr>
            </w:pPr>
            <w:r>
              <w:rPr>
                <w:rFonts w:hint="eastAsia" w:ascii="宋体" w:hAnsi="宋体" w:eastAsia="宋体" w:cs="宋体"/>
                <w:szCs w:val="21"/>
              </w:rPr>
              <w:t>26-30周岁</w:t>
            </w:r>
          </w:p>
        </w:tc>
        <w:tc>
          <w:tcPr>
            <w:tcW w:w="3118" w:type="dxa"/>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cs="宋体"/>
                <w:szCs w:val="21"/>
              </w:rPr>
            </w:pPr>
            <w:r>
              <w:rPr>
                <w:rFonts w:hint="eastAsia" w:ascii="宋体" w:hAnsi="宋体" w:cs="宋体"/>
                <w:szCs w:val="21"/>
              </w:rPr>
              <w:t>360</w:t>
            </w:r>
          </w:p>
        </w:tc>
        <w:tc>
          <w:tcPr>
            <w:tcW w:w="3119" w:type="dxa"/>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cs="宋体"/>
                <w:szCs w:val="21"/>
              </w:rPr>
            </w:pPr>
            <w:r>
              <w:rPr>
                <w:rFonts w:hint="eastAsia" w:ascii="宋体" w:hAnsi="宋体" w:cs="宋体"/>
                <w:szCs w:val="21"/>
              </w:rPr>
              <w:t>732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eastAsia="宋体" w:cs="宋体"/>
                <w:szCs w:val="21"/>
              </w:rPr>
            </w:pPr>
            <w:r>
              <w:rPr>
                <w:rFonts w:hint="eastAsia" w:ascii="宋体" w:hAnsi="宋体" w:eastAsia="宋体" w:cs="宋体"/>
                <w:szCs w:val="21"/>
              </w:rPr>
              <w:t>31-35周岁</w:t>
            </w:r>
          </w:p>
        </w:tc>
        <w:tc>
          <w:tcPr>
            <w:tcW w:w="3118" w:type="dxa"/>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cs="宋体"/>
                <w:szCs w:val="21"/>
              </w:rPr>
            </w:pPr>
            <w:r>
              <w:rPr>
                <w:rFonts w:hint="eastAsia" w:ascii="宋体" w:hAnsi="宋体" w:cs="宋体"/>
                <w:szCs w:val="21"/>
              </w:rPr>
              <w:t>468</w:t>
            </w:r>
          </w:p>
        </w:tc>
        <w:tc>
          <w:tcPr>
            <w:tcW w:w="3119" w:type="dxa"/>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cs="宋体"/>
                <w:szCs w:val="21"/>
              </w:rPr>
            </w:pPr>
            <w:r>
              <w:rPr>
                <w:rFonts w:hint="eastAsia" w:ascii="宋体" w:hAnsi="宋体" w:cs="宋体"/>
                <w:szCs w:val="21"/>
              </w:rPr>
              <w:t>1020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eastAsia="宋体" w:cs="宋体"/>
                <w:szCs w:val="21"/>
              </w:rPr>
            </w:pPr>
            <w:r>
              <w:rPr>
                <w:rFonts w:hint="eastAsia" w:ascii="宋体" w:hAnsi="宋体" w:eastAsia="宋体" w:cs="宋体"/>
                <w:szCs w:val="21"/>
              </w:rPr>
              <w:t>36-40周岁</w:t>
            </w:r>
          </w:p>
        </w:tc>
        <w:tc>
          <w:tcPr>
            <w:tcW w:w="3118" w:type="dxa"/>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cs="宋体"/>
                <w:szCs w:val="21"/>
              </w:rPr>
            </w:pPr>
            <w:r>
              <w:rPr>
                <w:rFonts w:hint="eastAsia" w:ascii="宋体" w:hAnsi="宋体" w:cs="宋体"/>
                <w:szCs w:val="21"/>
              </w:rPr>
              <w:t>576</w:t>
            </w:r>
          </w:p>
        </w:tc>
        <w:tc>
          <w:tcPr>
            <w:tcW w:w="3119" w:type="dxa"/>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cs="宋体"/>
                <w:szCs w:val="21"/>
              </w:rPr>
            </w:pPr>
            <w:r>
              <w:rPr>
                <w:rFonts w:hint="eastAsia" w:ascii="宋体" w:hAnsi="宋体" w:cs="宋体"/>
                <w:szCs w:val="21"/>
              </w:rPr>
              <w:t>1428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eastAsia="宋体" w:cs="宋体"/>
                <w:szCs w:val="21"/>
              </w:rPr>
            </w:pPr>
            <w:r>
              <w:rPr>
                <w:rFonts w:hint="eastAsia" w:ascii="宋体" w:hAnsi="宋体" w:eastAsia="宋体" w:cs="宋体"/>
                <w:szCs w:val="21"/>
              </w:rPr>
              <w:t>41-45周岁</w:t>
            </w:r>
          </w:p>
        </w:tc>
        <w:tc>
          <w:tcPr>
            <w:tcW w:w="3118" w:type="dxa"/>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cs="宋体"/>
                <w:szCs w:val="21"/>
              </w:rPr>
            </w:pPr>
            <w:r>
              <w:rPr>
                <w:rFonts w:hint="eastAsia" w:ascii="宋体" w:hAnsi="宋体" w:cs="宋体"/>
                <w:szCs w:val="21"/>
              </w:rPr>
              <w:t>696</w:t>
            </w:r>
          </w:p>
        </w:tc>
        <w:tc>
          <w:tcPr>
            <w:tcW w:w="3119" w:type="dxa"/>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cs="宋体"/>
                <w:szCs w:val="21"/>
              </w:rPr>
            </w:pPr>
            <w:r>
              <w:rPr>
                <w:rFonts w:hint="eastAsia" w:ascii="宋体" w:hAnsi="宋体" w:cs="宋体"/>
                <w:szCs w:val="21"/>
              </w:rPr>
              <w:t>1968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eastAsia="宋体" w:cs="宋体"/>
                <w:szCs w:val="21"/>
              </w:rPr>
            </w:pPr>
            <w:r>
              <w:rPr>
                <w:rFonts w:hint="eastAsia" w:ascii="宋体" w:hAnsi="宋体" w:eastAsia="宋体" w:cs="宋体"/>
                <w:szCs w:val="21"/>
              </w:rPr>
              <w:t>46-50周岁</w:t>
            </w:r>
          </w:p>
        </w:tc>
        <w:tc>
          <w:tcPr>
            <w:tcW w:w="3118" w:type="dxa"/>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cs="宋体"/>
                <w:szCs w:val="21"/>
              </w:rPr>
            </w:pPr>
            <w:r>
              <w:rPr>
                <w:rFonts w:hint="eastAsia" w:ascii="宋体" w:hAnsi="宋体" w:cs="宋体"/>
                <w:szCs w:val="21"/>
              </w:rPr>
              <w:t>1068</w:t>
            </w:r>
          </w:p>
        </w:tc>
        <w:tc>
          <w:tcPr>
            <w:tcW w:w="3119" w:type="dxa"/>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cs="宋体"/>
                <w:szCs w:val="21"/>
              </w:rPr>
            </w:pPr>
            <w:r>
              <w:rPr>
                <w:rFonts w:hint="eastAsia" w:ascii="宋体" w:hAnsi="宋体" w:cs="宋体"/>
                <w:szCs w:val="21"/>
              </w:rPr>
              <w:t>3084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eastAsia="宋体" w:cs="宋体"/>
                <w:szCs w:val="21"/>
              </w:rPr>
            </w:pPr>
            <w:r>
              <w:rPr>
                <w:rFonts w:hint="eastAsia" w:ascii="宋体" w:hAnsi="宋体" w:eastAsia="宋体" w:cs="宋体"/>
                <w:szCs w:val="21"/>
              </w:rPr>
              <w:t>51-55周岁</w:t>
            </w:r>
          </w:p>
        </w:tc>
        <w:tc>
          <w:tcPr>
            <w:tcW w:w="3118" w:type="dxa"/>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cs="宋体"/>
                <w:szCs w:val="21"/>
              </w:rPr>
            </w:pPr>
            <w:r>
              <w:rPr>
                <w:rFonts w:hint="eastAsia" w:ascii="宋体" w:hAnsi="宋体" w:cs="宋体"/>
                <w:szCs w:val="21"/>
              </w:rPr>
              <w:t>1308</w:t>
            </w:r>
          </w:p>
        </w:tc>
        <w:tc>
          <w:tcPr>
            <w:tcW w:w="3119" w:type="dxa"/>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cs="宋体"/>
                <w:szCs w:val="21"/>
              </w:rPr>
            </w:pPr>
            <w:r>
              <w:rPr>
                <w:rFonts w:hint="eastAsia" w:ascii="宋体" w:hAnsi="宋体" w:cs="宋体"/>
                <w:szCs w:val="21"/>
              </w:rPr>
              <w:t>4128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eastAsia="宋体" w:cs="宋体"/>
                <w:szCs w:val="21"/>
              </w:rPr>
            </w:pPr>
            <w:r>
              <w:rPr>
                <w:rFonts w:hint="eastAsia" w:ascii="宋体" w:hAnsi="宋体" w:eastAsia="宋体" w:cs="宋体"/>
                <w:szCs w:val="21"/>
              </w:rPr>
              <w:t>56-60周岁</w:t>
            </w:r>
          </w:p>
        </w:tc>
        <w:tc>
          <w:tcPr>
            <w:tcW w:w="3118" w:type="dxa"/>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cs="宋体"/>
                <w:szCs w:val="21"/>
              </w:rPr>
            </w:pPr>
            <w:r>
              <w:rPr>
                <w:rFonts w:hint="eastAsia" w:ascii="宋体" w:hAnsi="宋体" w:cs="宋体"/>
                <w:szCs w:val="21"/>
              </w:rPr>
              <w:t>1752</w:t>
            </w:r>
          </w:p>
        </w:tc>
        <w:tc>
          <w:tcPr>
            <w:tcW w:w="3119" w:type="dxa"/>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cs="宋体"/>
                <w:szCs w:val="21"/>
              </w:rPr>
            </w:pPr>
            <w:r>
              <w:rPr>
                <w:rFonts w:hint="eastAsia" w:ascii="宋体" w:hAnsi="宋体" w:cs="宋体"/>
                <w:szCs w:val="21"/>
              </w:rPr>
              <w:t>5160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eastAsia="宋体" w:cs="宋体"/>
                <w:szCs w:val="21"/>
              </w:rPr>
            </w:pPr>
            <w:r>
              <w:rPr>
                <w:rFonts w:hint="eastAsia" w:ascii="宋体" w:hAnsi="宋体" w:eastAsia="宋体" w:cs="宋体"/>
                <w:szCs w:val="21"/>
              </w:rPr>
              <w:t>61-65周岁</w:t>
            </w:r>
          </w:p>
        </w:tc>
        <w:tc>
          <w:tcPr>
            <w:tcW w:w="3118" w:type="dxa"/>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cs="宋体"/>
                <w:szCs w:val="21"/>
              </w:rPr>
            </w:pPr>
            <w:r>
              <w:rPr>
                <w:rFonts w:hint="eastAsia" w:ascii="宋体" w:hAnsi="宋体" w:cs="宋体"/>
                <w:szCs w:val="21"/>
              </w:rPr>
              <w:t>2256</w:t>
            </w:r>
          </w:p>
        </w:tc>
        <w:tc>
          <w:tcPr>
            <w:tcW w:w="3119" w:type="dxa"/>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cs="宋体"/>
                <w:szCs w:val="21"/>
              </w:rPr>
            </w:pPr>
            <w:r>
              <w:rPr>
                <w:rFonts w:hint="eastAsia" w:ascii="宋体" w:hAnsi="宋体" w:cs="宋体"/>
                <w:szCs w:val="21"/>
              </w:rPr>
              <w:t>6708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0"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eastAsia="宋体" w:cs="宋体"/>
                <w:szCs w:val="21"/>
              </w:rPr>
            </w:pPr>
            <w:r>
              <w:rPr>
                <w:rFonts w:hint="eastAsia" w:ascii="宋体" w:hAnsi="宋体" w:eastAsia="宋体" w:cs="宋体"/>
                <w:szCs w:val="21"/>
              </w:rPr>
              <w:t>66-70周岁</w:t>
            </w:r>
          </w:p>
        </w:tc>
        <w:tc>
          <w:tcPr>
            <w:tcW w:w="3118" w:type="dxa"/>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cs="宋体"/>
                <w:szCs w:val="21"/>
              </w:rPr>
            </w:pPr>
            <w:r>
              <w:rPr>
                <w:rFonts w:hint="eastAsia" w:ascii="宋体" w:hAnsi="宋体" w:cs="宋体"/>
                <w:szCs w:val="21"/>
              </w:rPr>
              <w:t>3324</w:t>
            </w:r>
          </w:p>
        </w:tc>
        <w:tc>
          <w:tcPr>
            <w:tcW w:w="3119" w:type="dxa"/>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cs="宋体"/>
                <w:szCs w:val="21"/>
              </w:rPr>
            </w:pPr>
            <w:r>
              <w:rPr>
                <w:rFonts w:hint="eastAsia" w:ascii="宋体" w:hAnsi="宋体" w:cs="宋体"/>
                <w:szCs w:val="21"/>
              </w:rPr>
              <w:t>9564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eastAsia="宋体" w:cs="宋体"/>
                <w:szCs w:val="21"/>
              </w:rPr>
            </w:pPr>
            <w:r>
              <w:rPr>
                <w:rFonts w:hint="eastAsia" w:ascii="宋体" w:hAnsi="宋体" w:eastAsia="宋体" w:cs="宋体"/>
                <w:szCs w:val="21"/>
              </w:rPr>
              <w:t>71-75周岁</w:t>
            </w:r>
          </w:p>
        </w:tc>
        <w:tc>
          <w:tcPr>
            <w:tcW w:w="3118" w:type="dxa"/>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cs="宋体"/>
                <w:szCs w:val="21"/>
              </w:rPr>
            </w:pPr>
            <w:r>
              <w:rPr>
                <w:rFonts w:hint="eastAsia" w:ascii="宋体" w:hAnsi="宋体" w:cs="宋体"/>
                <w:szCs w:val="21"/>
              </w:rPr>
              <w:t>4200</w:t>
            </w:r>
          </w:p>
        </w:tc>
        <w:tc>
          <w:tcPr>
            <w:tcW w:w="3119" w:type="dxa"/>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cs="宋体"/>
                <w:szCs w:val="21"/>
              </w:rPr>
            </w:pPr>
            <w:r>
              <w:rPr>
                <w:rFonts w:hint="eastAsia" w:ascii="宋体" w:hAnsi="宋体" w:cs="宋体"/>
                <w:szCs w:val="21"/>
              </w:rPr>
              <w:t>12096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eastAsia="宋体" w:cs="宋体"/>
                <w:szCs w:val="21"/>
              </w:rPr>
            </w:pPr>
            <w:r>
              <w:rPr>
                <w:rFonts w:hint="eastAsia" w:ascii="宋体" w:hAnsi="宋体" w:eastAsia="宋体" w:cs="宋体"/>
                <w:szCs w:val="21"/>
              </w:rPr>
              <w:t>76-80周岁</w:t>
            </w:r>
          </w:p>
        </w:tc>
        <w:tc>
          <w:tcPr>
            <w:tcW w:w="3118" w:type="dxa"/>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cs="宋体"/>
                <w:szCs w:val="21"/>
              </w:rPr>
            </w:pPr>
            <w:r>
              <w:rPr>
                <w:rFonts w:hint="eastAsia" w:ascii="宋体" w:hAnsi="宋体" w:cs="宋体"/>
                <w:szCs w:val="21"/>
              </w:rPr>
              <w:t>5100</w:t>
            </w:r>
          </w:p>
        </w:tc>
        <w:tc>
          <w:tcPr>
            <w:tcW w:w="3119" w:type="dxa"/>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cs="宋体"/>
                <w:szCs w:val="21"/>
              </w:rPr>
            </w:pPr>
            <w:r>
              <w:rPr>
                <w:rFonts w:hint="eastAsia" w:ascii="宋体" w:hAnsi="宋体" w:cs="宋体"/>
                <w:szCs w:val="21"/>
              </w:rPr>
              <w:t>15000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eastAsia="宋体" w:cs="宋体"/>
                <w:szCs w:val="21"/>
              </w:rPr>
            </w:pPr>
            <w:r>
              <w:rPr>
                <w:rFonts w:hint="eastAsia" w:ascii="宋体" w:hAnsi="宋体" w:eastAsia="宋体" w:cs="宋体"/>
                <w:szCs w:val="21"/>
              </w:rPr>
              <w:t>81-85周岁</w:t>
            </w:r>
          </w:p>
        </w:tc>
        <w:tc>
          <w:tcPr>
            <w:tcW w:w="3118" w:type="dxa"/>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cs="宋体"/>
                <w:szCs w:val="21"/>
              </w:rPr>
            </w:pPr>
            <w:r>
              <w:rPr>
                <w:rFonts w:hint="eastAsia" w:ascii="宋体" w:hAnsi="宋体" w:cs="宋体"/>
                <w:szCs w:val="21"/>
              </w:rPr>
              <w:t>7920</w:t>
            </w:r>
          </w:p>
        </w:tc>
        <w:tc>
          <w:tcPr>
            <w:tcW w:w="3119" w:type="dxa"/>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cs="宋体"/>
                <w:szCs w:val="21"/>
              </w:rPr>
            </w:pPr>
            <w:r>
              <w:rPr>
                <w:rFonts w:hint="eastAsia" w:ascii="宋体" w:hAnsi="宋体" w:cs="宋体"/>
                <w:szCs w:val="21"/>
              </w:rPr>
              <w:t>22980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eastAsia="宋体" w:cs="宋体"/>
                <w:szCs w:val="21"/>
              </w:rPr>
            </w:pPr>
            <w:r>
              <w:rPr>
                <w:rFonts w:hint="eastAsia" w:ascii="宋体" w:hAnsi="宋体" w:eastAsia="宋体" w:cs="宋体"/>
                <w:szCs w:val="21"/>
              </w:rPr>
              <w:t>86-90周岁</w:t>
            </w:r>
          </w:p>
        </w:tc>
        <w:tc>
          <w:tcPr>
            <w:tcW w:w="3118" w:type="dxa"/>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cs="宋体"/>
                <w:szCs w:val="21"/>
              </w:rPr>
            </w:pPr>
            <w:r>
              <w:rPr>
                <w:rFonts w:hint="eastAsia" w:ascii="宋体" w:hAnsi="宋体" w:cs="宋体"/>
                <w:szCs w:val="21"/>
              </w:rPr>
              <w:t>10104</w:t>
            </w:r>
          </w:p>
        </w:tc>
        <w:tc>
          <w:tcPr>
            <w:tcW w:w="3119" w:type="dxa"/>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cs="宋体"/>
                <w:szCs w:val="21"/>
              </w:rPr>
            </w:pPr>
            <w:r>
              <w:rPr>
                <w:rFonts w:hint="eastAsia" w:ascii="宋体" w:hAnsi="宋体" w:cs="宋体"/>
                <w:szCs w:val="21"/>
              </w:rPr>
              <w:t>28500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eastAsia="宋体" w:cs="宋体"/>
                <w:szCs w:val="21"/>
              </w:rPr>
            </w:pPr>
            <w:r>
              <w:rPr>
                <w:rFonts w:hint="eastAsia" w:ascii="宋体" w:hAnsi="宋体" w:eastAsia="宋体" w:cs="宋体"/>
                <w:szCs w:val="21"/>
              </w:rPr>
              <w:t>91-95周岁</w:t>
            </w:r>
          </w:p>
        </w:tc>
        <w:tc>
          <w:tcPr>
            <w:tcW w:w="3118" w:type="dxa"/>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cs="宋体"/>
                <w:szCs w:val="21"/>
              </w:rPr>
            </w:pPr>
            <w:r>
              <w:rPr>
                <w:rFonts w:hint="eastAsia" w:ascii="宋体" w:hAnsi="宋体" w:cs="宋体"/>
                <w:szCs w:val="21"/>
              </w:rPr>
              <w:t>12852</w:t>
            </w:r>
          </w:p>
        </w:tc>
        <w:tc>
          <w:tcPr>
            <w:tcW w:w="3119" w:type="dxa"/>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cs="宋体"/>
                <w:szCs w:val="21"/>
              </w:rPr>
            </w:pPr>
            <w:r>
              <w:rPr>
                <w:rFonts w:hint="eastAsia" w:ascii="宋体" w:hAnsi="宋体" w:cs="宋体"/>
                <w:szCs w:val="21"/>
              </w:rPr>
              <w:t>35328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eastAsia="宋体" w:cs="宋体"/>
                <w:szCs w:val="21"/>
              </w:rPr>
            </w:pPr>
            <w:r>
              <w:rPr>
                <w:rFonts w:hint="eastAsia" w:ascii="宋体" w:hAnsi="宋体" w:eastAsia="宋体" w:cs="宋体"/>
                <w:szCs w:val="21"/>
              </w:rPr>
              <w:t>96-100周岁</w:t>
            </w:r>
          </w:p>
        </w:tc>
        <w:tc>
          <w:tcPr>
            <w:tcW w:w="3118" w:type="dxa"/>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cs="宋体"/>
                <w:szCs w:val="21"/>
              </w:rPr>
            </w:pPr>
            <w:r>
              <w:rPr>
                <w:rFonts w:hint="eastAsia" w:ascii="宋体" w:hAnsi="宋体" w:cs="宋体"/>
                <w:szCs w:val="21"/>
              </w:rPr>
              <w:t>16344</w:t>
            </w:r>
          </w:p>
        </w:tc>
        <w:tc>
          <w:tcPr>
            <w:tcW w:w="3119" w:type="dxa"/>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cs="宋体"/>
                <w:szCs w:val="21"/>
              </w:rPr>
            </w:pPr>
            <w:r>
              <w:rPr>
                <w:rFonts w:hint="eastAsia" w:ascii="宋体" w:hAnsi="宋体" w:cs="宋体"/>
                <w:szCs w:val="21"/>
              </w:rPr>
              <w:t>43932</w:t>
            </w:r>
          </w:p>
        </w:tc>
      </w:tr>
    </w:tbl>
    <w:p>
      <w:pPr>
        <w:adjustRightInd w:val="0"/>
        <w:snapToGrid w:val="0"/>
        <w:spacing w:line="360" w:lineRule="auto"/>
        <w:rPr>
          <w:rFonts w:ascii="宋体" w:hAnsi="宋体" w:eastAsia="宋体" w:cs="宋体"/>
          <w:szCs w:val="21"/>
        </w:rPr>
      </w:pPr>
      <w:r>
        <w:rPr>
          <w:rFonts w:hint="eastAsia" w:ascii="宋体" w:hAnsi="宋体" w:eastAsia="宋体" w:cs="宋体"/>
          <w:szCs w:val="21"/>
        </w:rPr>
        <w:t>注：</w:t>
      </w:r>
      <w:r>
        <w:rPr>
          <w:rFonts w:ascii="宋体" w:hAnsi="宋体" w:eastAsia="宋体" w:cs="宋体"/>
          <w:szCs w:val="21"/>
        </w:rPr>
        <w:t>0周岁指出生满30日且已健康出院。</w:t>
      </w:r>
    </w:p>
    <w:p>
      <w:pPr>
        <w:numPr>
          <w:ilvl w:val="0"/>
          <w:numId w:val="2"/>
        </w:numPr>
        <w:adjustRightInd w:val="0"/>
        <w:snapToGrid w:val="0"/>
        <w:spacing w:line="360" w:lineRule="auto"/>
        <w:ind w:firstLine="422" w:firstLineChars="200"/>
        <w:rPr>
          <w:rFonts w:ascii="宋体" w:hAnsi="宋体" w:eastAsia="宋体" w:cs="宋体"/>
          <w:b/>
          <w:bCs/>
          <w:szCs w:val="21"/>
        </w:rPr>
      </w:pPr>
      <w:r>
        <w:rPr>
          <w:rFonts w:hint="eastAsia" w:ascii="宋体" w:hAnsi="宋体" w:eastAsia="宋体" w:cs="宋体"/>
          <w:b/>
          <w:bCs/>
          <w:szCs w:val="21"/>
        </w:rPr>
        <w:t>费率调整系数</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cs="Times New Roman"/>
          <w:kern w:val="0"/>
        </w:rPr>
      </w:pPr>
      <w:r>
        <w:rPr>
          <w:rFonts w:ascii="宋体" w:hAnsi="宋体" w:eastAsia="宋体" w:cs="Times New Roman"/>
          <w:kern w:val="0"/>
        </w:rPr>
        <w:t>1</w:t>
      </w:r>
      <w:r>
        <w:rPr>
          <w:rFonts w:hint="eastAsia" w:ascii="宋体" w:hAnsi="宋体" w:eastAsia="宋体" w:cs="Times New Roman"/>
          <w:kern w:val="0"/>
        </w:rPr>
        <w:t>、规模调整系数：按渠道年度投保人数规模，进行划分。</w:t>
      </w:r>
    </w:p>
    <w:tbl>
      <w:tblPr>
        <w:tblStyle w:val="6"/>
        <w:tblW w:w="4680" w:type="dxa"/>
        <w:jc w:val="center"/>
        <w:tblLayout w:type="fixed"/>
        <w:tblCellMar>
          <w:top w:w="0" w:type="dxa"/>
          <w:left w:w="108" w:type="dxa"/>
          <w:bottom w:w="0" w:type="dxa"/>
          <w:right w:w="108" w:type="dxa"/>
        </w:tblCellMar>
      </w:tblPr>
      <w:tblGrid>
        <w:gridCol w:w="3080"/>
        <w:gridCol w:w="1600"/>
      </w:tblGrid>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Times New Roman"/>
                <w:kern w:val="0"/>
              </w:rPr>
            </w:pPr>
            <w:r>
              <w:rPr>
                <w:rFonts w:hint="eastAsia" w:ascii="宋体" w:hAnsi="宋体" w:eastAsia="宋体" w:cs="Times New Roman"/>
                <w:kern w:val="0"/>
              </w:rPr>
              <w:t>年度投保人数（N人）</w:t>
            </w:r>
          </w:p>
        </w:tc>
        <w:tc>
          <w:tcPr>
            <w:tcW w:w="1600" w:type="dxa"/>
            <w:tcBorders>
              <w:top w:val="single" w:color="auto" w:sz="4" w:space="0"/>
              <w:left w:val="nil"/>
              <w:bottom w:val="single" w:color="auto" w:sz="4" w:space="0"/>
              <w:right w:val="single" w:color="auto" w:sz="4" w:space="0"/>
            </w:tcBorders>
            <w:vAlign w:val="center"/>
          </w:tcPr>
          <w:p>
            <w:pPr>
              <w:widowControl/>
              <w:spacing w:line="312" w:lineRule="auto"/>
              <w:jc w:val="center"/>
              <w:rPr>
                <w:rFonts w:ascii="宋体" w:hAnsi="宋体" w:eastAsia="宋体" w:cs="Times New Roman"/>
                <w:kern w:val="0"/>
              </w:rPr>
            </w:pPr>
            <w:r>
              <w:rPr>
                <w:rFonts w:hint="eastAsia" w:ascii="宋体" w:hAnsi="宋体" w:eastAsia="宋体" w:cs="Times New Roman"/>
                <w:kern w:val="0"/>
              </w:rPr>
              <w:t>调整系数</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Times New Roman"/>
                <w:kern w:val="0"/>
              </w:rPr>
            </w:pPr>
            <w:r>
              <w:rPr>
                <w:rFonts w:hint="eastAsia" w:ascii="宋体" w:hAnsi="宋体" w:eastAsia="宋体" w:cs="Times New Roman"/>
                <w:kern w:val="0"/>
              </w:rPr>
              <w:t>N&gt;</w:t>
            </w:r>
            <w:r>
              <w:rPr>
                <w:rFonts w:ascii="宋体" w:hAnsi="宋体" w:eastAsia="宋体" w:cs="Times New Roman"/>
                <w:kern w:val="0"/>
              </w:rPr>
              <w:t>200</w:t>
            </w:r>
            <w:r>
              <w:rPr>
                <w:rFonts w:hint="eastAsia" w:ascii="宋体" w:hAnsi="宋体" w:eastAsia="宋体" w:cs="Times New Roman"/>
                <w:kern w:val="0"/>
              </w:rPr>
              <w:t>00</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Times New Roman"/>
                <w:kern w:val="0"/>
              </w:rPr>
            </w:pPr>
            <w:r>
              <w:rPr>
                <w:rFonts w:ascii="宋体" w:hAnsi="宋体" w:eastAsia="宋体" w:cs="Times New Roman"/>
                <w:kern w:val="0"/>
              </w:rPr>
              <w:t>[0.6,0.7)</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Times New Roman"/>
                <w:kern w:val="0"/>
              </w:rPr>
            </w:pPr>
            <w:r>
              <w:rPr>
                <w:rFonts w:ascii="宋体" w:hAnsi="宋体" w:eastAsia="宋体" w:cs="Times New Roman"/>
                <w:kern w:val="0"/>
              </w:rPr>
              <w:t>100</w:t>
            </w:r>
            <w:r>
              <w:rPr>
                <w:rFonts w:hint="eastAsia" w:ascii="宋体" w:hAnsi="宋体" w:eastAsia="宋体" w:cs="Times New Roman"/>
                <w:kern w:val="0"/>
              </w:rPr>
              <w:t>00&lt;N≤</w:t>
            </w:r>
            <w:r>
              <w:rPr>
                <w:rFonts w:ascii="宋体" w:hAnsi="宋体" w:eastAsia="宋体" w:cs="Times New Roman"/>
                <w:kern w:val="0"/>
              </w:rPr>
              <w:t>200</w:t>
            </w:r>
            <w:r>
              <w:rPr>
                <w:rFonts w:hint="eastAsia" w:ascii="宋体" w:hAnsi="宋体" w:eastAsia="宋体" w:cs="Times New Roman"/>
                <w:kern w:val="0"/>
              </w:rPr>
              <w:t>00</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Times New Roman"/>
                <w:kern w:val="0"/>
              </w:rPr>
            </w:pPr>
            <w:r>
              <w:rPr>
                <w:rFonts w:ascii="宋体" w:hAnsi="宋体" w:eastAsia="宋体" w:cs="Times New Roman"/>
                <w:kern w:val="0"/>
              </w:rPr>
              <w:t>[0.7,0.9)</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Times New Roman"/>
                <w:kern w:val="0"/>
              </w:rPr>
            </w:pPr>
            <w:r>
              <w:rPr>
                <w:rFonts w:ascii="宋体" w:hAnsi="宋体" w:eastAsia="宋体" w:cs="Times New Roman"/>
                <w:kern w:val="0"/>
              </w:rPr>
              <w:t>50</w:t>
            </w:r>
            <w:r>
              <w:rPr>
                <w:rFonts w:hint="eastAsia" w:ascii="宋体" w:hAnsi="宋体" w:eastAsia="宋体" w:cs="Times New Roman"/>
                <w:kern w:val="0"/>
              </w:rPr>
              <w:t>00&lt;N≤</w:t>
            </w:r>
            <w:r>
              <w:rPr>
                <w:rFonts w:ascii="宋体" w:hAnsi="宋体" w:eastAsia="宋体" w:cs="Times New Roman"/>
                <w:kern w:val="0"/>
              </w:rPr>
              <w:t>100</w:t>
            </w:r>
            <w:r>
              <w:rPr>
                <w:rFonts w:hint="eastAsia" w:ascii="宋体" w:hAnsi="宋体" w:eastAsia="宋体" w:cs="Times New Roman"/>
                <w:kern w:val="0"/>
              </w:rPr>
              <w:t>00</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Times New Roman"/>
                <w:kern w:val="0"/>
              </w:rPr>
            </w:pPr>
            <w:r>
              <w:rPr>
                <w:rFonts w:ascii="宋体" w:hAnsi="宋体" w:eastAsia="宋体" w:cs="Times New Roman"/>
                <w:kern w:val="0"/>
              </w:rPr>
              <w:t>[0.9,1.1)</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Times New Roman"/>
                <w:kern w:val="0"/>
              </w:rPr>
            </w:pPr>
            <w:r>
              <w:rPr>
                <w:rFonts w:hint="eastAsia" w:ascii="宋体" w:hAnsi="宋体" w:eastAsia="宋体" w:cs="Times New Roman"/>
                <w:kern w:val="0"/>
              </w:rPr>
              <w:t>N≤</w:t>
            </w:r>
            <w:r>
              <w:rPr>
                <w:rFonts w:ascii="宋体" w:hAnsi="宋体" w:eastAsia="宋体" w:cs="Times New Roman"/>
                <w:kern w:val="0"/>
              </w:rPr>
              <w:t>50</w:t>
            </w:r>
            <w:r>
              <w:rPr>
                <w:rFonts w:hint="eastAsia" w:ascii="宋体" w:hAnsi="宋体" w:eastAsia="宋体" w:cs="Times New Roman"/>
                <w:kern w:val="0"/>
              </w:rPr>
              <w:t>00</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Times New Roman"/>
                <w:kern w:val="0"/>
              </w:rPr>
            </w:pPr>
            <w:r>
              <w:rPr>
                <w:rFonts w:ascii="宋体" w:hAnsi="宋体" w:eastAsia="宋体" w:cs="Times New Roman"/>
                <w:kern w:val="0"/>
              </w:rPr>
              <w:t>[1.1,1.5]</w:t>
            </w:r>
          </w:p>
        </w:tc>
      </w:tr>
    </w:tbl>
    <w:p>
      <w:pPr>
        <w:spacing w:line="312" w:lineRule="auto"/>
        <w:ind w:firstLine="420" w:firstLineChars="200"/>
        <w:rPr>
          <w:rFonts w:ascii="宋体" w:hAnsi="宋体" w:eastAsia="宋体" w:cs="Times New Roman"/>
          <w:kern w:val="0"/>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cs="Times New Roman"/>
          <w:kern w:val="0"/>
        </w:rPr>
      </w:pPr>
      <w:r>
        <w:rPr>
          <w:rFonts w:ascii="宋体" w:hAnsi="宋体" w:eastAsia="宋体" w:cs="Times New Roman"/>
          <w:kern w:val="0"/>
        </w:rPr>
        <w:t>2</w:t>
      </w:r>
      <w:r>
        <w:rPr>
          <w:rFonts w:hint="eastAsia" w:ascii="宋体" w:hAnsi="宋体" w:eastAsia="宋体" w:cs="Times New Roman"/>
          <w:kern w:val="0"/>
        </w:rPr>
        <w:t>、历史赔付率调整系数：按渠道近三年赔付率情况，进行划分。</w:t>
      </w:r>
    </w:p>
    <w:tbl>
      <w:tblPr>
        <w:tblStyle w:val="6"/>
        <w:tblW w:w="4680" w:type="dxa"/>
        <w:jc w:val="center"/>
        <w:tblLayout w:type="fixed"/>
        <w:tblCellMar>
          <w:top w:w="0" w:type="dxa"/>
          <w:left w:w="108" w:type="dxa"/>
          <w:bottom w:w="0" w:type="dxa"/>
          <w:right w:w="108" w:type="dxa"/>
        </w:tblCellMar>
      </w:tblPr>
      <w:tblGrid>
        <w:gridCol w:w="3080"/>
        <w:gridCol w:w="1600"/>
      </w:tblGrid>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Times New Roman"/>
                <w:kern w:val="0"/>
              </w:rPr>
            </w:pPr>
            <w:r>
              <w:rPr>
                <w:rFonts w:hint="eastAsia" w:ascii="宋体" w:hAnsi="宋体" w:eastAsia="宋体" w:cs="Times New Roman"/>
                <w:kern w:val="0"/>
              </w:rPr>
              <w:t>历史赔付率</w:t>
            </w:r>
          </w:p>
        </w:tc>
        <w:tc>
          <w:tcPr>
            <w:tcW w:w="1600" w:type="dxa"/>
            <w:tcBorders>
              <w:top w:val="single" w:color="auto" w:sz="4" w:space="0"/>
              <w:left w:val="nil"/>
              <w:bottom w:val="single" w:color="auto" w:sz="4" w:space="0"/>
              <w:right w:val="single" w:color="auto" w:sz="4" w:space="0"/>
            </w:tcBorders>
            <w:vAlign w:val="center"/>
          </w:tcPr>
          <w:p>
            <w:pPr>
              <w:widowControl/>
              <w:spacing w:line="312" w:lineRule="auto"/>
              <w:jc w:val="center"/>
              <w:rPr>
                <w:rFonts w:ascii="宋体" w:hAnsi="宋体" w:eastAsia="宋体" w:cs="Times New Roman"/>
                <w:kern w:val="0"/>
              </w:rPr>
            </w:pPr>
            <w:r>
              <w:rPr>
                <w:rFonts w:hint="eastAsia" w:ascii="宋体" w:hAnsi="宋体" w:eastAsia="宋体" w:cs="Times New Roman"/>
                <w:kern w:val="0"/>
              </w:rPr>
              <w:t>调整系数</w:t>
            </w:r>
          </w:p>
        </w:tc>
      </w:tr>
      <w:tr>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Times New Roman"/>
                <w:kern w:val="0"/>
              </w:rPr>
            </w:pPr>
            <w:r>
              <w:rPr>
                <w:rFonts w:hint="eastAsia" w:ascii="宋体" w:hAnsi="宋体" w:eastAsia="宋体" w:cs="Times New Roman"/>
                <w:kern w:val="0"/>
              </w:rPr>
              <w:t>0%-30%（含）</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Times New Roman"/>
                <w:kern w:val="0"/>
              </w:rPr>
            </w:pPr>
            <w:r>
              <w:rPr>
                <w:rFonts w:ascii="宋体" w:hAnsi="宋体" w:eastAsia="宋体" w:cs="Times New Roman"/>
                <w:kern w:val="0"/>
              </w:rPr>
              <w:t>[</w:t>
            </w:r>
            <w:r>
              <w:rPr>
                <w:rFonts w:hint="eastAsia" w:ascii="宋体" w:hAnsi="宋体" w:eastAsia="宋体" w:cs="Times New Roman"/>
                <w:kern w:val="0"/>
              </w:rPr>
              <w:t>0.5,0.7</w:t>
            </w:r>
            <w:r>
              <w:rPr>
                <w:rFonts w:ascii="宋体" w:hAnsi="宋体" w:eastAsia="宋体" w:cs="Times New Roman"/>
                <w:kern w:val="0"/>
              </w:rPr>
              <w:t>]</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Times New Roman"/>
                <w:kern w:val="0"/>
              </w:rPr>
            </w:pPr>
            <w:r>
              <w:rPr>
                <w:rFonts w:hint="eastAsia" w:ascii="宋体" w:hAnsi="宋体" w:eastAsia="宋体" w:cs="Times New Roman"/>
                <w:kern w:val="0"/>
              </w:rPr>
              <w:t>30%-50%（含）</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Times New Roman"/>
                <w:kern w:val="0"/>
              </w:rPr>
            </w:pPr>
            <w:r>
              <w:rPr>
                <w:rFonts w:ascii="宋体" w:hAnsi="宋体" w:eastAsia="宋体" w:cs="Times New Roman"/>
                <w:kern w:val="0"/>
              </w:rPr>
              <w:t>(</w:t>
            </w:r>
            <w:r>
              <w:rPr>
                <w:rFonts w:hint="eastAsia" w:ascii="宋体" w:hAnsi="宋体" w:eastAsia="宋体" w:cs="Times New Roman"/>
                <w:kern w:val="0"/>
              </w:rPr>
              <w:t>0.7,0.9</w:t>
            </w:r>
            <w:r>
              <w:rPr>
                <w:rFonts w:ascii="宋体" w:hAnsi="宋体" w:eastAsia="宋体" w:cs="Times New Roman"/>
                <w:kern w:val="0"/>
              </w:rPr>
              <w:t>]</w:t>
            </w:r>
          </w:p>
        </w:tc>
      </w:tr>
      <w:tr>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Times New Roman"/>
                <w:kern w:val="0"/>
              </w:rPr>
            </w:pPr>
            <w:r>
              <w:rPr>
                <w:rFonts w:hint="eastAsia" w:ascii="宋体" w:hAnsi="宋体" w:eastAsia="宋体" w:cs="Times New Roman"/>
                <w:kern w:val="0"/>
              </w:rPr>
              <w:t>50%-80%（含）</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Times New Roman"/>
                <w:kern w:val="0"/>
              </w:rPr>
            </w:pPr>
            <w:r>
              <w:rPr>
                <w:rFonts w:ascii="宋体" w:hAnsi="宋体" w:eastAsia="宋体" w:cs="Times New Roman"/>
                <w:kern w:val="0"/>
              </w:rPr>
              <w:t>(</w:t>
            </w:r>
            <w:r>
              <w:rPr>
                <w:rFonts w:hint="eastAsia" w:ascii="宋体" w:hAnsi="宋体" w:eastAsia="宋体" w:cs="Times New Roman"/>
                <w:kern w:val="0"/>
              </w:rPr>
              <w:t>0.9,1.1</w:t>
            </w:r>
            <w:r>
              <w:rPr>
                <w:rFonts w:ascii="宋体" w:hAnsi="宋体" w:eastAsia="宋体" w:cs="Times New Roman"/>
                <w:kern w:val="0"/>
              </w:rPr>
              <w:t>]</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Times New Roman"/>
                <w:kern w:val="0"/>
              </w:rPr>
            </w:pPr>
            <w:r>
              <w:rPr>
                <w:rFonts w:hint="eastAsia" w:ascii="宋体" w:hAnsi="宋体" w:eastAsia="宋体" w:cs="Times New Roman"/>
                <w:kern w:val="0"/>
              </w:rPr>
              <w:t>80%以上</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Times New Roman"/>
                <w:kern w:val="0"/>
              </w:rPr>
            </w:pPr>
            <w:r>
              <w:rPr>
                <w:rFonts w:ascii="宋体" w:hAnsi="宋体" w:eastAsia="宋体" w:cs="Times New Roman"/>
                <w:kern w:val="0"/>
              </w:rPr>
              <w:t>(</w:t>
            </w:r>
            <w:r>
              <w:rPr>
                <w:rFonts w:hint="eastAsia" w:ascii="宋体" w:hAnsi="宋体" w:eastAsia="宋体" w:cs="Times New Roman"/>
                <w:kern w:val="0"/>
              </w:rPr>
              <w:t>1.1,1.5</w:t>
            </w:r>
            <w:r>
              <w:rPr>
                <w:rFonts w:ascii="宋体" w:hAnsi="宋体" w:eastAsia="宋体" w:cs="Times New Roman"/>
                <w:kern w:val="0"/>
              </w:rPr>
              <w:t>]</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Times New Roman"/>
                <w:kern w:val="0"/>
              </w:rPr>
            </w:pPr>
            <w:r>
              <w:rPr>
                <w:rFonts w:hint="eastAsia" w:ascii="宋体" w:hAnsi="宋体" w:eastAsia="宋体" w:cs="Times New Roman"/>
                <w:kern w:val="0"/>
              </w:rPr>
              <w:t>无历史赔付率</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Times New Roman"/>
                <w:kern w:val="0"/>
              </w:rPr>
            </w:pPr>
            <w:r>
              <w:rPr>
                <w:rFonts w:hint="eastAsia" w:ascii="宋体" w:hAnsi="宋体" w:eastAsia="宋体" w:cs="Times New Roman"/>
                <w:kern w:val="0"/>
              </w:rPr>
              <w:t>1.0</w:t>
            </w:r>
          </w:p>
        </w:tc>
      </w:tr>
    </w:tbl>
    <w:p>
      <w:pPr>
        <w:numPr>
          <w:ilvl w:val="255"/>
          <w:numId w:val="0"/>
        </w:numPr>
        <w:ind w:firstLine="420" w:firstLineChars="200"/>
        <w:rPr>
          <w:rFonts w:ascii="宋体" w:hAnsi="宋体" w:eastAsia="宋体" w:cs="Arial"/>
          <w:bCs/>
          <w:color w:val="000000"/>
          <w:szCs w:val="21"/>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cs="Arial"/>
          <w:bCs/>
          <w:color w:val="000000"/>
          <w:szCs w:val="21"/>
        </w:rPr>
      </w:pPr>
      <w:r>
        <w:rPr>
          <w:rFonts w:ascii="宋体" w:hAnsi="宋体" w:eastAsia="宋体" w:cs="Arial"/>
          <w:bCs/>
          <w:color w:val="000000"/>
          <w:szCs w:val="21"/>
        </w:rPr>
        <w:t>3</w:t>
      </w:r>
      <w:r>
        <w:rPr>
          <w:rFonts w:hint="eastAsia" w:ascii="宋体" w:hAnsi="宋体" w:eastAsia="宋体" w:cs="Arial"/>
          <w:bCs/>
          <w:color w:val="000000"/>
          <w:szCs w:val="21"/>
        </w:rPr>
        <w:t>、</w:t>
      </w:r>
      <w:r>
        <w:rPr>
          <w:rFonts w:hint="eastAsia" w:ascii="宋体" w:hAnsi="宋体" w:eastAsia="宋体" w:cs="Times New Roman"/>
          <w:kern w:val="0"/>
        </w:rPr>
        <w:t>缴费</w:t>
      </w:r>
      <w:r>
        <w:rPr>
          <w:rFonts w:hint="eastAsia" w:ascii="宋体" w:hAnsi="宋体" w:eastAsia="宋体" w:cs="Arial"/>
          <w:bCs/>
          <w:color w:val="000000"/>
          <w:szCs w:val="21"/>
        </w:rPr>
        <w:t>方式调整系数：按保单约定的缴费方式，进行划分。</w:t>
      </w:r>
    </w:p>
    <w:tbl>
      <w:tblPr>
        <w:tblStyle w:val="6"/>
        <w:tblW w:w="5700" w:type="dxa"/>
        <w:tblInd w:w="13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0"/>
        <w:gridCol w:w="2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ascii="宋体" w:hAnsi="宋体" w:eastAsia="宋体" w:cs="Arial"/>
                <w:bCs/>
                <w:color w:val="000000"/>
                <w:szCs w:val="21"/>
              </w:rPr>
            </w:pPr>
            <w:r>
              <w:rPr>
                <w:rFonts w:hint="eastAsia" w:ascii="宋体" w:hAnsi="宋体" w:eastAsia="宋体" w:cs="Arial"/>
                <w:bCs/>
                <w:color w:val="000000"/>
                <w:szCs w:val="21"/>
              </w:rPr>
              <w:t>缴费方式</w:t>
            </w:r>
          </w:p>
        </w:tc>
        <w:tc>
          <w:tcPr>
            <w:tcW w:w="2850" w:type="dxa"/>
          </w:tcPr>
          <w:p>
            <w:pPr>
              <w:jc w:val="center"/>
              <w:rPr>
                <w:rFonts w:ascii="宋体" w:hAnsi="宋体" w:eastAsia="宋体" w:cs="Arial"/>
                <w:bCs/>
                <w:color w:val="000000"/>
                <w:szCs w:val="21"/>
              </w:rPr>
            </w:pPr>
            <w:r>
              <w:rPr>
                <w:rFonts w:hint="eastAsia" w:ascii="宋体" w:hAnsi="宋体" w:eastAsia="宋体" w:cs="Arial"/>
                <w:bCs/>
                <w:color w:val="000000"/>
                <w:szCs w:val="21"/>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ascii="宋体" w:hAnsi="宋体" w:eastAsia="宋体" w:cs="Arial"/>
                <w:bCs/>
                <w:color w:val="000000"/>
                <w:szCs w:val="21"/>
              </w:rPr>
            </w:pPr>
            <w:r>
              <w:rPr>
                <w:rFonts w:hint="eastAsia" w:ascii="宋体" w:hAnsi="宋体" w:eastAsia="宋体" w:cs="Arial"/>
                <w:bCs/>
                <w:color w:val="000000"/>
                <w:szCs w:val="21"/>
              </w:rPr>
              <w:t>按月缴费</w:t>
            </w:r>
          </w:p>
        </w:tc>
        <w:tc>
          <w:tcPr>
            <w:tcW w:w="2850" w:type="dxa"/>
          </w:tcPr>
          <w:p>
            <w:pPr>
              <w:jc w:val="center"/>
              <w:rPr>
                <w:rFonts w:ascii="宋体" w:hAnsi="宋体" w:eastAsia="宋体" w:cs="Arial"/>
                <w:bCs/>
                <w:color w:val="000000"/>
                <w:szCs w:val="21"/>
              </w:rPr>
            </w:pPr>
            <w:r>
              <w:rPr>
                <w:rFonts w:hint="eastAsia" w:ascii="宋体" w:hAnsi="宋体" w:eastAsia="宋体" w:cs="Arial"/>
                <w:bCs/>
                <w:color w:val="000000"/>
                <w:szCs w:val="21"/>
              </w:rPr>
              <w:t>[1.0,1.10]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ascii="宋体" w:hAnsi="宋体" w:eastAsia="宋体" w:cs="Arial"/>
                <w:bCs/>
                <w:color w:val="000000"/>
                <w:szCs w:val="21"/>
              </w:rPr>
            </w:pPr>
            <w:r>
              <w:rPr>
                <w:rFonts w:hint="eastAsia" w:ascii="宋体" w:hAnsi="宋体" w:eastAsia="宋体" w:cs="Arial"/>
                <w:bCs/>
                <w:color w:val="000000"/>
                <w:szCs w:val="21"/>
              </w:rPr>
              <w:t>按季缴费</w:t>
            </w:r>
          </w:p>
        </w:tc>
        <w:tc>
          <w:tcPr>
            <w:tcW w:w="2850" w:type="dxa"/>
          </w:tcPr>
          <w:p>
            <w:pPr>
              <w:jc w:val="center"/>
              <w:rPr>
                <w:rFonts w:ascii="宋体" w:hAnsi="宋体" w:eastAsia="宋体" w:cs="Arial"/>
                <w:bCs/>
                <w:color w:val="000000"/>
                <w:szCs w:val="21"/>
              </w:rPr>
            </w:pPr>
            <w:r>
              <w:rPr>
                <w:rFonts w:hint="eastAsia" w:ascii="宋体" w:hAnsi="宋体" w:eastAsia="宋体" w:cs="Arial"/>
                <w:bCs/>
                <w:color w:val="000000"/>
                <w:szCs w:val="21"/>
              </w:rPr>
              <w:t>[1.0,1.05]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ascii="宋体" w:hAnsi="宋体" w:eastAsia="宋体" w:cs="Arial"/>
                <w:bCs/>
                <w:color w:val="000000"/>
                <w:szCs w:val="21"/>
              </w:rPr>
            </w:pPr>
            <w:r>
              <w:rPr>
                <w:rFonts w:hint="eastAsia" w:ascii="宋体" w:hAnsi="宋体" w:eastAsia="宋体" w:cs="Arial"/>
                <w:bCs/>
                <w:color w:val="000000"/>
                <w:szCs w:val="21"/>
              </w:rPr>
              <w:t>一次性缴清</w:t>
            </w:r>
          </w:p>
        </w:tc>
        <w:tc>
          <w:tcPr>
            <w:tcW w:w="2850" w:type="dxa"/>
          </w:tcPr>
          <w:p>
            <w:pPr>
              <w:jc w:val="center"/>
              <w:rPr>
                <w:rFonts w:ascii="宋体" w:hAnsi="宋体" w:eastAsia="宋体" w:cs="Arial"/>
                <w:bCs/>
                <w:color w:val="000000"/>
                <w:szCs w:val="21"/>
              </w:rPr>
            </w:pPr>
            <w:r>
              <w:rPr>
                <w:rFonts w:hint="eastAsia" w:ascii="宋体" w:hAnsi="宋体" w:eastAsia="宋体" w:cs="Arial"/>
                <w:bCs/>
                <w:color w:val="000000"/>
                <w:szCs w:val="21"/>
              </w:rPr>
              <w:t>[0.95,1.0]</w:t>
            </w:r>
          </w:p>
        </w:tc>
      </w:tr>
    </w:tbl>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cs="Arial"/>
          <w:bCs/>
          <w:color w:val="000000"/>
          <w:szCs w:val="21"/>
        </w:rPr>
      </w:pPr>
      <w:r>
        <w:rPr>
          <w:rFonts w:hint="eastAsia" w:ascii="宋体" w:hAnsi="宋体" w:eastAsia="宋体" w:cs="Arial"/>
          <w:bCs/>
          <w:color w:val="000000"/>
          <w:szCs w:val="21"/>
        </w:rPr>
        <w:t>4、</w:t>
      </w:r>
      <w:r>
        <w:rPr>
          <w:rFonts w:hint="eastAsia" w:ascii="宋体" w:hAnsi="宋体" w:eastAsia="宋体" w:cs="Times New Roman"/>
          <w:kern w:val="0"/>
        </w:rPr>
        <w:t>销售</w:t>
      </w:r>
      <w:r>
        <w:rPr>
          <w:rFonts w:hint="eastAsia" w:ascii="宋体" w:hAnsi="宋体" w:eastAsia="宋体" w:cs="Arial"/>
          <w:bCs/>
          <w:color w:val="000000"/>
          <w:szCs w:val="21"/>
        </w:rPr>
        <w:t>渠道调整系数：按保单的销售方式，进行划分。</w:t>
      </w:r>
    </w:p>
    <w:tbl>
      <w:tblPr>
        <w:tblStyle w:val="6"/>
        <w:tblW w:w="5700" w:type="dxa"/>
        <w:tblInd w:w="13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0"/>
        <w:gridCol w:w="2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ascii="宋体" w:hAnsi="宋体" w:eastAsia="宋体" w:cs="Arial"/>
                <w:bCs/>
                <w:color w:val="000000"/>
                <w:szCs w:val="21"/>
              </w:rPr>
            </w:pPr>
            <w:r>
              <w:rPr>
                <w:rFonts w:hint="eastAsia" w:ascii="宋体" w:hAnsi="宋体" w:eastAsia="宋体" w:cs="Arial"/>
                <w:bCs/>
                <w:color w:val="000000"/>
                <w:szCs w:val="21"/>
              </w:rPr>
              <w:t>销售方式</w:t>
            </w:r>
          </w:p>
        </w:tc>
        <w:tc>
          <w:tcPr>
            <w:tcW w:w="2850" w:type="dxa"/>
          </w:tcPr>
          <w:p>
            <w:pPr>
              <w:jc w:val="center"/>
              <w:rPr>
                <w:rFonts w:ascii="宋体" w:hAnsi="宋体" w:eastAsia="宋体" w:cs="Arial"/>
                <w:bCs/>
                <w:color w:val="000000"/>
                <w:szCs w:val="21"/>
              </w:rPr>
            </w:pPr>
            <w:r>
              <w:rPr>
                <w:rFonts w:hint="eastAsia" w:ascii="宋体" w:hAnsi="宋体" w:eastAsia="宋体" w:cs="Arial"/>
                <w:bCs/>
                <w:color w:val="000000"/>
                <w:szCs w:val="21"/>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ascii="宋体" w:hAnsi="宋体" w:eastAsia="宋体" w:cs="Arial"/>
                <w:bCs/>
                <w:color w:val="000000"/>
                <w:szCs w:val="21"/>
              </w:rPr>
            </w:pPr>
            <w:r>
              <w:rPr>
                <w:rFonts w:hint="eastAsia" w:ascii="宋体" w:hAnsi="宋体" w:eastAsia="宋体" w:cs="Arial"/>
                <w:bCs/>
                <w:color w:val="000000"/>
                <w:szCs w:val="21"/>
              </w:rPr>
              <w:t>网络直销</w:t>
            </w:r>
          </w:p>
        </w:tc>
        <w:tc>
          <w:tcPr>
            <w:tcW w:w="2850" w:type="dxa"/>
          </w:tcPr>
          <w:p>
            <w:pPr>
              <w:jc w:val="center"/>
              <w:rPr>
                <w:rFonts w:ascii="宋体" w:hAnsi="宋体" w:eastAsia="宋体" w:cs="Arial"/>
                <w:bCs/>
                <w:color w:val="000000"/>
                <w:szCs w:val="21"/>
              </w:rPr>
            </w:pPr>
            <w:r>
              <w:rPr>
                <w:rFonts w:hint="eastAsia" w:ascii="宋体" w:hAnsi="宋体" w:eastAsia="宋体" w:cs="Arial"/>
                <w:bCs/>
                <w:color w:val="000000"/>
                <w:szCs w:val="21"/>
              </w:rPr>
              <w:t>[0.9,1.1]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ascii="宋体" w:hAnsi="宋体" w:eastAsia="宋体" w:cs="Arial"/>
                <w:bCs/>
                <w:color w:val="000000"/>
                <w:szCs w:val="21"/>
              </w:rPr>
            </w:pPr>
            <w:r>
              <w:rPr>
                <w:rFonts w:hint="eastAsia" w:ascii="宋体" w:hAnsi="宋体" w:eastAsia="宋体" w:cs="Arial"/>
                <w:bCs/>
                <w:color w:val="000000"/>
                <w:szCs w:val="21"/>
              </w:rPr>
              <w:t>网络中介</w:t>
            </w:r>
          </w:p>
        </w:tc>
        <w:tc>
          <w:tcPr>
            <w:tcW w:w="2850" w:type="dxa"/>
          </w:tcPr>
          <w:p>
            <w:pPr>
              <w:jc w:val="center"/>
              <w:rPr>
                <w:rFonts w:ascii="宋体" w:hAnsi="宋体" w:eastAsia="宋体" w:cs="Arial"/>
                <w:bCs/>
                <w:color w:val="000000"/>
                <w:szCs w:val="21"/>
              </w:rPr>
            </w:pPr>
            <w:r>
              <w:rPr>
                <w:rFonts w:hint="eastAsia" w:ascii="宋体" w:hAnsi="宋体" w:eastAsia="宋体" w:cs="Arial"/>
                <w:bCs/>
                <w:color w:val="000000"/>
                <w:szCs w:val="21"/>
              </w:rPr>
              <w:t>[0.8,1.2]</w:t>
            </w:r>
          </w:p>
        </w:tc>
      </w:tr>
    </w:tbl>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cs="Arial"/>
          <w:bCs/>
          <w:color w:val="000000"/>
          <w:szCs w:val="21"/>
        </w:rPr>
      </w:pPr>
      <w:r>
        <w:rPr>
          <w:rFonts w:hint="eastAsia" w:ascii="宋体" w:hAnsi="宋体" w:eastAsia="宋体" w:cs="Arial"/>
          <w:bCs/>
          <w:color w:val="000000"/>
          <w:szCs w:val="21"/>
        </w:rPr>
        <w:t>5、等待期调整系数：按保单中约定的等待期，进行划分。</w:t>
      </w:r>
    </w:p>
    <w:tbl>
      <w:tblPr>
        <w:tblStyle w:val="6"/>
        <w:tblW w:w="5700" w:type="dxa"/>
        <w:tblInd w:w="13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0"/>
        <w:gridCol w:w="2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ascii="宋体" w:hAnsi="宋体" w:eastAsia="宋体" w:cs="Arial"/>
                <w:bCs/>
                <w:color w:val="000000"/>
                <w:szCs w:val="21"/>
              </w:rPr>
            </w:pPr>
            <w:r>
              <w:rPr>
                <w:rFonts w:hint="eastAsia" w:ascii="宋体" w:hAnsi="宋体" w:eastAsia="宋体" w:cs="Arial"/>
                <w:bCs/>
                <w:color w:val="000000"/>
                <w:szCs w:val="21"/>
              </w:rPr>
              <w:t>等待期</w:t>
            </w:r>
          </w:p>
        </w:tc>
        <w:tc>
          <w:tcPr>
            <w:tcW w:w="2850" w:type="dxa"/>
          </w:tcPr>
          <w:p>
            <w:pPr>
              <w:jc w:val="center"/>
              <w:rPr>
                <w:rFonts w:ascii="宋体" w:hAnsi="宋体" w:eastAsia="宋体" w:cs="Arial"/>
                <w:bCs/>
                <w:color w:val="000000"/>
                <w:szCs w:val="21"/>
              </w:rPr>
            </w:pPr>
            <w:r>
              <w:rPr>
                <w:rFonts w:hint="eastAsia" w:ascii="宋体" w:hAnsi="宋体" w:eastAsia="宋体" w:cs="Arial"/>
                <w:bCs/>
                <w:color w:val="000000"/>
                <w:szCs w:val="21"/>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ascii="宋体" w:hAnsi="宋体" w:eastAsia="宋体" w:cs="Arial"/>
                <w:bCs/>
                <w:color w:val="000000"/>
                <w:szCs w:val="21"/>
              </w:rPr>
            </w:pPr>
            <w:r>
              <w:rPr>
                <w:rFonts w:hint="eastAsia" w:ascii="宋体" w:hAnsi="宋体" w:eastAsia="宋体" w:cs="Arial"/>
                <w:bCs/>
                <w:color w:val="000000"/>
                <w:szCs w:val="21"/>
              </w:rPr>
              <w:t>0天-30天（含）</w:t>
            </w:r>
          </w:p>
        </w:tc>
        <w:tc>
          <w:tcPr>
            <w:tcW w:w="2850" w:type="dxa"/>
          </w:tcPr>
          <w:p>
            <w:pPr>
              <w:jc w:val="center"/>
              <w:rPr>
                <w:rFonts w:ascii="宋体" w:hAnsi="宋体" w:eastAsia="宋体" w:cs="Arial"/>
                <w:bCs/>
                <w:color w:val="000000"/>
                <w:szCs w:val="21"/>
              </w:rPr>
            </w:pPr>
            <w:r>
              <w:rPr>
                <w:rFonts w:hint="eastAsia" w:ascii="宋体" w:hAnsi="宋体" w:eastAsia="宋体" w:cs="Arial"/>
                <w:bCs/>
                <w:color w:val="000000"/>
                <w:szCs w:val="21"/>
              </w:rPr>
              <w:t>[1.</w:t>
            </w:r>
            <w:r>
              <w:rPr>
                <w:rFonts w:ascii="宋体" w:hAnsi="宋体" w:eastAsia="宋体" w:cs="Arial"/>
                <w:bCs/>
                <w:color w:val="000000"/>
                <w:szCs w:val="21"/>
              </w:rPr>
              <w:t>0</w:t>
            </w:r>
            <w:r>
              <w:rPr>
                <w:rFonts w:hint="eastAsia" w:ascii="宋体" w:hAnsi="宋体" w:eastAsia="宋体" w:cs="Arial"/>
                <w:bCs/>
                <w:color w:val="000000"/>
                <w:szCs w:val="21"/>
              </w:rPr>
              <w:t>,1.</w:t>
            </w:r>
            <w:r>
              <w:rPr>
                <w:rFonts w:ascii="宋体" w:hAnsi="宋体" w:eastAsia="宋体" w:cs="Arial"/>
                <w:bCs/>
                <w:color w:val="000000"/>
                <w:szCs w:val="21"/>
              </w:rPr>
              <w:t>1</w:t>
            </w:r>
            <w:r>
              <w:rPr>
                <w:rFonts w:hint="eastAsia" w:ascii="宋体" w:hAnsi="宋体" w:eastAsia="宋体" w:cs="Arial"/>
                <w:bCs/>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ascii="宋体" w:hAnsi="宋体" w:eastAsia="宋体" w:cs="Arial"/>
                <w:bCs/>
                <w:color w:val="000000"/>
                <w:szCs w:val="21"/>
              </w:rPr>
            </w:pPr>
            <w:r>
              <w:rPr>
                <w:rFonts w:hint="eastAsia" w:ascii="宋体" w:hAnsi="宋体" w:eastAsia="宋体" w:cs="Arial"/>
                <w:bCs/>
                <w:color w:val="000000"/>
                <w:szCs w:val="21"/>
              </w:rPr>
              <w:t>30天-60天（含）</w:t>
            </w:r>
          </w:p>
        </w:tc>
        <w:tc>
          <w:tcPr>
            <w:tcW w:w="2850" w:type="dxa"/>
          </w:tcPr>
          <w:p>
            <w:pPr>
              <w:jc w:val="center"/>
              <w:rPr>
                <w:rFonts w:ascii="宋体" w:hAnsi="宋体" w:eastAsia="宋体" w:cs="Arial"/>
                <w:bCs/>
                <w:color w:val="000000"/>
                <w:szCs w:val="21"/>
              </w:rPr>
            </w:pPr>
            <w:r>
              <w:rPr>
                <w:rFonts w:hint="eastAsia" w:ascii="宋体" w:hAnsi="宋体" w:eastAsia="宋体" w:cs="Arial"/>
                <w:bCs/>
                <w:color w:val="000000"/>
                <w:szCs w:val="21"/>
              </w:rPr>
              <w:t>[0.85,1.0)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ascii="宋体" w:hAnsi="宋体" w:eastAsia="宋体" w:cs="Arial"/>
                <w:bCs/>
                <w:color w:val="000000"/>
                <w:szCs w:val="21"/>
              </w:rPr>
            </w:pPr>
            <w:r>
              <w:rPr>
                <w:rFonts w:hint="eastAsia" w:ascii="宋体" w:hAnsi="宋体" w:eastAsia="宋体" w:cs="Arial"/>
                <w:bCs/>
                <w:color w:val="000000"/>
                <w:szCs w:val="21"/>
              </w:rPr>
              <w:t>60天-180天（含）</w:t>
            </w:r>
          </w:p>
        </w:tc>
        <w:tc>
          <w:tcPr>
            <w:tcW w:w="2850" w:type="dxa"/>
          </w:tcPr>
          <w:p>
            <w:pPr>
              <w:jc w:val="center"/>
              <w:rPr>
                <w:rFonts w:ascii="宋体" w:hAnsi="宋体" w:eastAsia="宋体" w:cs="Arial"/>
                <w:bCs/>
                <w:color w:val="000000"/>
                <w:szCs w:val="21"/>
              </w:rPr>
            </w:pPr>
            <w:r>
              <w:rPr>
                <w:rFonts w:hint="eastAsia" w:ascii="宋体" w:hAnsi="宋体" w:eastAsia="宋体" w:cs="Arial"/>
                <w:bCs/>
                <w:color w:val="000000"/>
                <w:szCs w:val="21"/>
              </w:rPr>
              <w:t>[0.6,0.85)</w:t>
            </w:r>
          </w:p>
        </w:tc>
      </w:tr>
    </w:tbl>
    <w:p>
      <w:pPr>
        <w:adjustRightInd w:val="0"/>
        <w:snapToGrid w:val="0"/>
        <w:spacing w:line="360" w:lineRule="auto"/>
        <w:rPr>
          <w:rFonts w:ascii="宋体" w:hAnsi="宋体" w:eastAsia="宋体" w:cs="宋体"/>
          <w:b/>
          <w:bCs/>
          <w:szCs w:val="21"/>
        </w:rPr>
      </w:pPr>
    </w:p>
    <w:p>
      <w:pPr>
        <w:spacing w:line="312" w:lineRule="auto"/>
        <w:ind w:firstLine="422" w:firstLineChars="200"/>
        <w:rPr>
          <w:rFonts w:ascii="宋体" w:hAnsi="宋体" w:eastAsia="宋体" w:cs="Arial"/>
          <w:b/>
          <w:bCs/>
          <w:szCs w:val="21"/>
        </w:rPr>
      </w:pPr>
      <w:r>
        <w:rPr>
          <w:rFonts w:ascii="宋体" w:hAnsi="宋体" w:eastAsia="宋体" w:cs="Arial"/>
          <w:b/>
          <w:bCs/>
          <w:szCs w:val="21"/>
        </w:rPr>
        <w:t>四</w:t>
      </w:r>
      <w:r>
        <w:rPr>
          <w:rFonts w:hint="eastAsia" w:ascii="宋体" w:hAnsi="宋体" w:eastAsia="宋体" w:cs="Arial"/>
          <w:b/>
          <w:bCs/>
          <w:szCs w:val="21"/>
        </w:rPr>
        <w:t>、</w:t>
      </w:r>
      <w:r>
        <w:rPr>
          <w:rFonts w:ascii="宋体" w:hAnsi="宋体" w:eastAsia="宋体" w:cs="Arial"/>
          <w:b/>
          <w:bCs/>
          <w:szCs w:val="21"/>
        </w:rPr>
        <w:t>保险费计算</w:t>
      </w:r>
    </w:p>
    <w:p>
      <w:pPr>
        <w:spacing w:line="360" w:lineRule="auto"/>
        <w:ind w:firstLine="420" w:firstLineChars="200"/>
        <w:jc w:val="left"/>
        <w:rPr>
          <w:rFonts w:ascii="宋体" w:hAnsi="宋体" w:eastAsia="宋体" w:cs="Times New Roman"/>
          <w:kern w:val="0"/>
        </w:rPr>
      </w:pPr>
      <w:bookmarkStart w:id="0" w:name="_GoBack"/>
      <w:r>
        <w:rPr>
          <w:rFonts w:ascii="宋体" w:hAnsi="宋体" w:eastAsia="宋体" w:cs="Times New Roman"/>
          <w:kern w:val="0"/>
        </w:rPr>
        <w:t>1</w:t>
      </w:r>
      <w:r>
        <w:rPr>
          <w:rFonts w:hint="eastAsia" w:ascii="宋体" w:hAnsi="宋体" w:eastAsia="宋体" w:cs="Times New Roman"/>
          <w:kern w:val="0"/>
        </w:rPr>
        <w:t>、投保人选择一次性缴清保险费</w:t>
      </w:r>
    </w:p>
    <w:p>
      <w:pPr>
        <w:spacing w:line="360" w:lineRule="auto"/>
        <w:ind w:firstLine="420" w:firstLineChars="200"/>
        <w:jc w:val="left"/>
        <w:rPr>
          <w:rFonts w:ascii="宋体" w:hAnsi="宋体" w:eastAsia="宋体" w:cs="Times New Roman"/>
          <w:kern w:val="0"/>
        </w:rPr>
      </w:pPr>
      <w:r>
        <w:rPr>
          <w:rFonts w:hint="eastAsia" w:ascii="宋体" w:hAnsi="宋体" w:eastAsia="宋体" w:cs="Times New Roman"/>
          <w:kern w:val="0"/>
        </w:rPr>
        <w:t>年保险费</w:t>
      </w:r>
      <w:r>
        <w:rPr>
          <w:rFonts w:ascii="宋体" w:hAnsi="宋体" w:eastAsia="宋体" w:cs="Times New Roman"/>
          <w:kern w:val="0"/>
        </w:rPr>
        <w:t>=年基准保险费×规模调整系数×历史赔付率调整系数×缴费方式调整系数×</w:t>
      </w:r>
      <w:r>
        <w:rPr>
          <w:rFonts w:hint="eastAsia" w:ascii="宋体" w:hAnsi="宋体" w:eastAsia="宋体" w:cs="Arial"/>
          <w:bCs/>
          <w:color w:val="000000"/>
          <w:szCs w:val="21"/>
        </w:rPr>
        <w:t>销售渠道调整系数</w:t>
      </w:r>
      <w:r>
        <w:rPr>
          <w:rFonts w:ascii="宋体" w:hAnsi="宋体" w:eastAsia="宋体" w:cs="Times New Roman"/>
          <w:kern w:val="0"/>
        </w:rPr>
        <w:t>×</w:t>
      </w:r>
      <w:r>
        <w:rPr>
          <w:rFonts w:hint="eastAsia" w:ascii="宋体" w:hAnsi="宋体" w:eastAsia="宋体" w:cs="Arial"/>
          <w:bCs/>
          <w:color w:val="000000"/>
          <w:szCs w:val="21"/>
        </w:rPr>
        <w:t>等待期调整系数</w:t>
      </w:r>
    </w:p>
    <w:p>
      <w:pPr>
        <w:spacing w:line="360" w:lineRule="auto"/>
        <w:ind w:firstLine="420" w:firstLineChars="200"/>
        <w:jc w:val="left"/>
        <w:rPr>
          <w:rFonts w:ascii="宋体" w:hAnsi="宋体" w:eastAsia="宋体" w:cs="Times New Roman"/>
          <w:kern w:val="0"/>
        </w:rPr>
      </w:pPr>
      <w:r>
        <w:rPr>
          <w:rFonts w:hint="eastAsia" w:ascii="宋体" w:hAnsi="宋体" w:eastAsia="宋体" w:cs="Times New Roman"/>
          <w:kern w:val="0"/>
        </w:rPr>
        <w:t>2、投保人选择分期缴付保险费，保险人根据保险费分期缴费期数，计收每期保险费：</w:t>
      </w:r>
    </w:p>
    <w:p>
      <w:pPr>
        <w:spacing w:line="360" w:lineRule="auto"/>
        <w:ind w:firstLine="420" w:firstLineChars="200"/>
        <w:jc w:val="left"/>
        <w:rPr>
          <w:rFonts w:ascii="宋体" w:hAnsi="宋体" w:eastAsia="宋体" w:cs="Times New Roman"/>
          <w:kern w:val="0"/>
        </w:rPr>
      </w:pPr>
      <w:r>
        <w:rPr>
          <w:rFonts w:hint="eastAsia" w:ascii="宋体" w:hAnsi="宋体" w:eastAsia="宋体" w:cs="Times New Roman"/>
          <w:kern w:val="0"/>
        </w:rPr>
        <w:t>年保险费</w:t>
      </w:r>
      <w:r>
        <w:rPr>
          <w:rFonts w:ascii="宋体" w:hAnsi="宋体" w:eastAsia="宋体" w:cs="Times New Roman"/>
          <w:kern w:val="0"/>
        </w:rPr>
        <w:t>=年基准保险费×规模调整系数×历史赔付率调整系数×缴费方式调整系数×</w:t>
      </w:r>
      <w:r>
        <w:rPr>
          <w:rFonts w:hint="eastAsia" w:ascii="宋体" w:hAnsi="宋体" w:eastAsia="宋体" w:cs="Arial"/>
          <w:bCs/>
          <w:color w:val="000000"/>
          <w:szCs w:val="21"/>
        </w:rPr>
        <w:t>销售渠道调整系数</w:t>
      </w:r>
      <w:r>
        <w:rPr>
          <w:rFonts w:ascii="宋体" w:hAnsi="宋体" w:eastAsia="宋体" w:cs="Times New Roman"/>
          <w:kern w:val="0"/>
        </w:rPr>
        <w:t>×</w:t>
      </w:r>
      <w:r>
        <w:rPr>
          <w:rFonts w:hint="eastAsia" w:ascii="宋体" w:hAnsi="宋体" w:eastAsia="宋体" w:cs="Arial"/>
          <w:bCs/>
          <w:color w:val="000000"/>
          <w:szCs w:val="21"/>
        </w:rPr>
        <w:t>等待期调整系数</w:t>
      </w:r>
    </w:p>
    <w:p>
      <w:pPr>
        <w:spacing w:line="360" w:lineRule="auto"/>
        <w:ind w:firstLine="420" w:firstLineChars="200"/>
        <w:jc w:val="left"/>
        <w:rPr>
          <w:rFonts w:ascii="宋体" w:hAnsi="宋体" w:eastAsia="宋体" w:cs="Times New Roman"/>
          <w:kern w:val="0"/>
        </w:rPr>
      </w:pPr>
      <w:r>
        <w:rPr>
          <w:rFonts w:hint="eastAsia" w:ascii="宋体" w:hAnsi="宋体" w:eastAsia="宋体" w:cs="Times New Roman"/>
          <w:kern w:val="0"/>
        </w:rPr>
        <w:t>每期保险费（按四舍五入计算）</w:t>
      </w:r>
      <w:r>
        <w:rPr>
          <w:rFonts w:ascii="宋体" w:hAnsi="宋体" w:eastAsia="宋体" w:cs="Times New Roman"/>
          <w:kern w:val="0"/>
        </w:rPr>
        <w:t>=年保险费÷分期缴费期数</w:t>
      </w:r>
    </w:p>
    <w:p>
      <w:pPr>
        <w:spacing w:line="360" w:lineRule="auto"/>
        <w:ind w:firstLine="420" w:firstLineChars="200"/>
        <w:jc w:val="left"/>
        <w:rPr>
          <w:rFonts w:ascii="宋体" w:hAnsi="宋体" w:eastAsia="宋体" w:cs="Arial"/>
          <w:szCs w:val="21"/>
        </w:rPr>
      </w:pPr>
      <w:r>
        <w:rPr>
          <w:rFonts w:hint="eastAsia" w:ascii="宋体" w:hAnsi="宋体" w:eastAsia="宋体" w:cs="Arial"/>
          <w:szCs w:val="21"/>
        </w:rPr>
        <w:t>注：本产品涉及分期缴费，每期缴费金额一致。</w:t>
      </w:r>
      <w:bookmarkEnd w:id="0"/>
    </w:p>
    <w:p>
      <w:pPr>
        <w:spacing w:line="360" w:lineRule="auto"/>
        <w:ind w:firstLine="420" w:firstLineChars="200"/>
        <w:jc w:val="left"/>
        <w:rPr>
          <w:rFonts w:ascii="宋体" w:hAnsi="宋体" w:eastAsia="宋体" w:cs="Arial"/>
          <w:szCs w:val="21"/>
        </w:rPr>
      </w:pPr>
    </w:p>
    <w:p>
      <w:pPr>
        <w:snapToGrid w:val="0"/>
        <w:spacing w:line="288" w:lineRule="auto"/>
        <w:ind w:firstLine="422" w:firstLineChars="200"/>
        <w:rPr>
          <w:rFonts w:ascii="宋体" w:hAnsi="宋体" w:eastAsia="宋体" w:cs="Times New Roman"/>
          <w:b/>
          <w:kern w:val="0"/>
        </w:rPr>
      </w:pPr>
      <w:r>
        <w:rPr>
          <w:rFonts w:hint="eastAsia" w:ascii="宋体" w:hAnsi="宋体" w:eastAsia="宋体" w:cs="Times New Roman"/>
          <w:b/>
          <w:kern w:val="0"/>
        </w:rPr>
        <w:t>五、短期费率表</w:t>
      </w:r>
    </w:p>
    <w:p>
      <w:pPr>
        <w:snapToGrid w:val="0"/>
        <w:spacing w:line="288" w:lineRule="auto"/>
        <w:ind w:firstLine="482"/>
        <w:rPr>
          <w:rFonts w:ascii="宋体" w:hAnsi="宋体" w:eastAsia="宋体" w:cs="Times New Roman"/>
          <w:kern w:val="0"/>
        </w:rPr>
      </w:pPr>
      <w:r>
        <w:rPr>
          <w:rFonts w:hint="eastAsia" w:ascii="宋体" w:hAnsi="宋体" w:eastAsia="宋体" w:cs="Times New Roman"/>
          <w:kern w:val="0"/>
        </w:rPr>
        <w:t>保险期间不足一年的，按以下标准计算短期保险费（按年保险费的百分比计算，不足一个月的按一个月计算）：</w:t>
      </w:r>
    </w:p>
    <w:tbl>
      <w:tblPr>
        <w:tblStyle w:val="6"/>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5"/>
        <w:gridCol w:w="673"/>
        <w:gridCol w:w="673"/>
        <w:gridCol w:w="673"/>
        <w:gridCol w:w="673"/>
        <w:gridCol w:w="673"/>
        <w:gridCol w:w="673"/>
        <w:gridCol w:w="673"/>
        <w:gridCol w:w="673"/>
        <w:gridCol w:w="673"/>
        <w:gridCol w:w="673"/>
        <w:gridCol w:w="673"/>
        <w:gridCol w:w="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保险期间（月）</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2</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3</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4</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5</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6</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7</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8</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9</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11</w:t>
            </w:r>
          </w:p>
        </w:tc>
        <w:tc>
          <w:tcPr>
            <w:tcW w:w="79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年保险费的百分比</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20%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30%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40%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50%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60%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70%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80%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85%</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90%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95%</w:t>
            </w:r>
          </w:p>
        </w:tc>
        <w:tc>
          <w:tcPr>
            <w:tcW w:w="79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100%</w:t>
            </w:r>
          </w:p>
        </w:tc>
      </w:tr>
    </w:tbl>
    <w:p>
      <w:pPr>
        <w:jc w:val="left"/>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385D7E"/>
    <w:multiLevelType w:val="singleLevel"/>
    <w:tmpl w:val="B7385D7E"/>
    <w:lvl w:ilvl="0" w:tentative="0">
      <w:start w:val="1"/>
      <w:numFmt w:val="decimal"/>
      <w:lvlText w:val="(%1)"/>
      <w:lvlJc w:val="left"/>
      <w:pPr>
        <w:ind w:left="425" w:hanging="425"/>
      </w:pPr>
      <w:rPr>
        <w:rFonts w:hint="default"/>
      </w:rPr>
    </w:lvl>
  </w:abstractNum>
  <w:abstractNum w:abstractNumId="1">
    <w:nsid w:val="62870350"/>
    <w:multiLevelType w:val="singleLevel"/>
    <w:tmpl w:val="62870350"/>
    <w:lvl w:ilvl="0" w:tentative="0">
      <w:start w:val="3"/>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DRiMmE0ZjljZDExM2YyODdkMDQ1ZGRhYjY0YmQ5MmQifQ=="/>
  </w:docVars>
  <w:rsids>
    <w:rsidRoot w:val="001B5EBE"/>
    <w:rsid w:val="00031AD0"/>
    <w:rsid w:val="00067978"/>
    <w:rsid w:val="000E23FB"/>
    <w:rsid w:val="000F6296"/>
    <w:rsid w:val="001B5EBE"/>
    <w:rsid w:val="001F113A"/>
    <w:rsid w:val="00214BF5"/>
    <w:rsid w:val="0025119D"/>
    <w:rsid w:val="00312204"/>
    <w:rsid w:val="003156AE"/>
    <w:rsid w:val="003161C0"/>
    <w:rsid w:val="0031785E"/>
    <w:rsid w:val="00331B57"/>
    <w:rsid w:val="003D61E1"/>
    <w:rsid w:val="003F62B8"/>
    <w:rsid w:val="00401115"/>
    <w:rsid w:val="00440883"/>
    <w:rsid w:val="00586F39"/>
    <w:rsid w:val="005A3F88"/>
    <w:rsid w:val="005A5A3B"/>
    <w:rsid w:val="005E62B5"/>
    <w:rsid w:val="00626D20"/>
    <w:rsid w:val="00653535"/>
    <w:rsid w:val="0067728A"/>
    <w:rsid w:val="006F75FC"/>
    <w:rsid w:val="00744F3C"/>
    <w:rsid w:val="007B05B5"/>
    <w:rsid w:val="007B4F9B"/>
    <w:rsid w:val="007E36C2"/>
    <w:rsid w:val="00890002"/>
    <w:rsid w:val="00923691"/>
    <w:rsid w:val="00960831"/>
    <w:rsid w:val="00970626"/>
    <w:rsid w:val="0099441D"/>
    <w:rsid w:val="009B2D01"/>
    <w:rsid w:val="009E1615"/>
    <w:rsid w:val="009F4998"/>
    <w:rsid w:val="00A805B1"/>
    <w:rsid w:val="00AB0688"/>
    <w:rsid w:val="00B067FB"/>
    <w:rsid w:val="00B80580"/>
    <w:rsid w:val="00B81B91"/>
    <w:rsid w:val="00BE5E05"/>
    <w:rsid w:val="00C955A5"/>
    <w:rsid w:val="00CB0C5C"/>
    <w:rsid w:val="00CB6738"/>
    <w:rsid w:val="00CB6A12"/>
    <w:rsid w:val="00D134A8"/>
    <w:rsid w:val="00D433E6"/>
    <w:rsid w:val="00DC2DF4"/>
    <w:rsid w:val="00DC530A"/>
    <w:rsid w:val="00E0495F"/>
    <w:rsid w:val="00E70AA2"/>
    <w:rsid w:val="00ED7A77"/>
    <w:rsid w:val="00FC64AF"/>
    <w:rsid w:val="00FF3179"/>
    <w:rsid w:val="045063F6"/>
    <w:rsid w:val="060E7E49"/>
    <w:rsid w:val="08B3761E"/>
    <w:rsid w:val="0D3E5E25"/>
    <w:rsid w:val="0E8245F8"/>
    <w:rsid w:val="12277ACF"/>
    <w:rsid w:val="1396651B"/>
    <w:rsid w:val="16735133"/>
    <w:rsid w:val="19F13CB5"/>
    <w:rsid w:val="1A2A760D"/>
    <w:rsid w:val="1A452A9D"/>
    <w:rsid w:val="1B584AB1"/>
    <w:rsid w:val="1F7733A8"/>
    <w:rsid w:val="23540439"/>
    <w:rsid w:val="249E2E07"/>
    <w:rsid w:val="28433817"/>
    <w:rsid w:val="2A5114B7"/>
    <w:rsid w:val="2CF00002"/>
    <w:rsid w:val="2D8942D8"/>
    <w:rsid w:val="31AF5519"/>
    <w:rsid w:val="31DA5E20"/>
    <w:rsid w:val="32CD27CF"/>
    <w:rsid w:val="35530566"/>
    <w:rsid w:val="39D032A6"/>
    <w:rsid w:val="3C12268B"/>
    <w:rsid w:val="3C583032"/>
    <w:rsid w:val="3C83774A"/>
    <w:rsid w:val="3D4E3DCE"/>
    <w:rsid w:val="3D767D44"/>
    <w:rsid w:val="3DD305AA"/>
    <w:rsid w:val="40DB3913"/>
    <w:rsid w:val="42F2770A"/>
    <w:rsid w:val="493623DD"/>
    <w:rsid w:val="4C952A83"/>
    <w:rsid w:val="4CB762BB"/>
    <w:rsid w:val="4F81701C"/>
    <w:rsid w:val="50147BF7"/>
    <w:rsid w:val="503E56E2"/>
    <w:rsid w:val="536C2EE5"/>
    <w:rsid w:val="54ED7259"/>
    <w:rsid w:val="59330478"/>
    <w:rsid w:val="5B6F2DB1"/>
    <w:rsid w:val="5B936219"/>
    <w:rsid w:val="5C327970"/>
    <w:rsid w:val="5F685328"/>
    <w:rsid w:val="5FEA94CC"/>
    <w:rsid w:val="69E57003"/>
    <w:rsid w:val="6ACC1485"/>
    <w:rsid w:val="749C00E2"/>
    <w:rsid w:val="74E90D3D"/>
    <w:rsid w:val="75AD03B6"/>
    <w:rsid w:val="76196289"/>
    <w:rsid w:val="77EE6A49"/>
    <w:rsid w:val="7C4A71C8"/>
    <w:rsid w:val="7D387D68"/>
    <w:rsid w:val="7D7FEFB8"/>
    <w:rsid w:val="7FE345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unhideWhenUsed/>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alloon Text"/>
    <w:basedOn w:val="1"/>
    <w:link w:val="13"/>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annotation reference"/>
    <w:basedOn w:val="8"/>
    <w:unhideWhenUsed/>
    <w:qFormat/>
    <w:uiPriority w:val="99"/>
    <w:rPr>
      <w:sz w:val="21"/>
      <w:szCs w:val="21"/>
    </w:r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paragraph" w:customStyle="1" w:styleId="12">
    <w:name w:val="列表段落1"/>
    <w:basedOn w:val="1"/>
    <w:qFormat/>
    <w:uiPriority w:val="34"/>
    <w:pPr>
      <w:ind w:firstLine="420" w:firstLineChars="200"/>
    </w:pPr>
  </w:style>
  <w:style w:type="character" w:customStyle="1" w:styleId="13">
    <w:name w:val="批注框文本 Char"/>
    <w:basedOn w:val="8"/>
    <w:link w:val="3"/>
    <w:semiHidden/>
    <w:qFormat/>
    <w:uiPriority w:val="99"/>
    <w:rPr>
      <w:sz w:val="18"/>
      <w:szCs w:val="18"/>
    </w:rPr>
  </w:style>
  <w:style w:type="paragraph" w:customStyle="1" w:styleId="14">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1445</Words>
  <Characters>1899</Characters>
  <Lines>15</Lines>
  <Paragraphs>4</Paragraphs>
  <TotalTime>32</TotalTime>
  <ScaleCrop>false</ScaleCrop>
  <LinksUpToDate>false</LinksUpToDate>
  <CharactersWithSpaces>1903</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2020-02-15T23:24:00Z</dcterms:created>
  <dc:creator>林男 曹</dc:creator>
  <cp:lastModifiedBy>Zixuan Shen</cp:lastModifiedBy>
  <dcterms:modified xsi:type="dcterms:W3CDTF">2022-05-25T06:30:21Z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58A636B27C0448119439F4444A5650EB</vt:lpwstr>
  </property>
</Properties>
</file>