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0" w:firstLineChars="0"/>
        <w:jc w:val="center"/>
        <w:textAlignment w:val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华农财产保险股份有限公司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0" w:firstLineChars="0"/>
        <w:jc w:val="center"/>
        <w:textAlignment w:val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借款人意外伤害保险费率表</w:t>
      </w:r>
    </w:p>
    <w:p>
      <w:pPr>
        <w:spacing w:line="276" w:lineRule="auto"/>
        <w:jc w:val="left"/>
        <w:rPr>
          <w:rFonts w:hint="eastAsia" w:ascii="宋体" w:hAnsi="宋体" w:cs="宋体"/>
          <w:bCs/>
          <w:szCs w:val="21"/>
        </w:rPr>
      </w:pPr>
    </w:p>
    <w:p>
      <w:pPr>
        <w:spacing w:line="276" w:lineRule="auto"/>
        <w:jc w:val="lef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 一</w:t>
      </w:r>
      <w:r>
        <w:rPr>
          <w:rFonts w:hint="eastAsia" w:ascii="宋体" w:hAnsi="宋体" w:cs="宋体"/>
          <w:b/>
          <w:bCs/>
          <w:szCs w:val="21"/>
        </w:rPr>
        <w:t>、年基准费率</w:t>
      </w:r>
      <w:r>
        <w:rPr>
          <w:rFonts w:hint="eastAsia" w:ascii="宋体" w:hAnsi="宋体" w:cs="宋体"/>
          <w:bCs/>
          <w:szCs w:val="21"/>
        </w:rPr>
        <w:t xml:space="preserve">    </w:t>
      </w:r>
    </w:p>
    <w:tbl>
      <w:tblPr>
        <w:tblStyle w:val="28"/>
        <w:tblW w:w="8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8"/>
        <w:gridCol w:w="2911"/>
        <w:gridCol w:w="2911"/>
      </w:tblGrid>
      <w:tr>
        <w:trPr>
          <w:trHeight w:val="450" w:hRule="atLeast"/>
          <w:jc w:val="center"/>
        </w:trPr>
        <w:tc>
          <w:tcPr>
            <w:tcW w:w="2828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职业类型</w:t>
            </w:r>
          </w:p>
        </w:tc>
        <w:tc>
          <w:tcPr>
            <w:tcW w:w="582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年基准费率</w:t>
            </w:r>
          </w:p>
        </w:tc>
      </w:tr>
      <w:tr>
        <w:trPr>
          <w:trHeight w:val="450" w:hRule="atLeast"/>
          <w:jc w:val="center"/>
        </w:trPr>
        <w:tc>
          <w:tcPr>
            <w:tcW w:w="2828" w:type="dxa"/>
            <w:vMerge w:val="continue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291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保险期间一年期及以下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保险期间一年期以上，趸交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9" w:hRule="atLeast"/>
          <w:jc w:val="center"/>
        </w:trPr>
        <w:tc>
          <w:tcPr>
            <w:tcW w:w="2828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一类职业</w:t>
            </w:r>
          </w:p>
        </w:tc>
        <w:tc>
          <w:tcPr>
            <w:tcW w:w="291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0.95‰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0.75‰</w:t>
            </w:r>
          </w:p>
        </w:tc>
      </w:tr>
      <w:tr>
        <w:trPr>
          <w:trHeight w:val="419" w:hRule="atLeast"/>
          <w:jc w:val="center"/>
        </w:trPr>
        <w:tc>
          <w:tcPr>
            <w:tcW w:w="2828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二类职业</w:t>
            </w:r>
          </w:p>
        </w:tc>
        <w:tc>
          <w:tcPr>
            <w:tcW w:w="291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1.2‰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1.0‰</w:t>
            </w:r>
          </w:p>
        </w:tc>
      </w:tr>
      <w:tr>
        <w:trPr>
          <w:trHeight w:val="419" w:hRule="atLeast"/>
          <w:jc w:val="center"/>
        </w:trPr>
        <w:tc>
          <w:tcPr>
            <w:tcW w:w="2828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三类职业</w:t>
            </w:r>
          </w:p>
        </w:tc>
        <w:tc>
          <w:tcPr>
            <w:tcW w:w="291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1.8‰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1.4‰</w:t>
            </w:r>
          </w:p>
        </w:tc>
      </w:tr>
      <w:tr>
        <w:trPr>
          <w:trHeight w:val="419" w:hRule="atLeast"/>
          <w:jc w:val="center"/>
        </w:trPr>
        <w:tc>
          <w:tcPr>
            <w:tcW w:w="2828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四类职业</w:t>
            </w:r>
          </w:p>
        </w:tc>
        <w:tc>
          <w:tcPr>
            <w:tcW w:w="291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3.2‰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2.5‰</w:t>
            </w:r>
          </w:p>
        </w:tc>
      </w:tr>
      <w:tr>
        <w:trPr>
          <w:trHeight w:val="419" w:hRule="atLeast"/>
          <w:jc w:val="center"/>
        </w:trPr>
        <w:tc>
          <w:tcPr>
            <w:tcW w:w="2828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五类职业</w:t>
            </w:r>
          </w:p>
        </w:tc>
        <w:tc>
          <w:tcPr>
            <w:tcW w:w="291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4.8‰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3.8‰</w:t>
            </w:r>
          </w:p>
        </w:tc>
      </w:tr>
      <w:tr>
        <w:trPr>
          <w:trHeight w:val="450" w:hRule="atLeast"/>
          <w:jc w:val="center"/>
        </w:trPr>
        <w:tc>
          <w:tcPr>
            <w:tcW w:w="2828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六类职业</w:t>
            </w:r>
          </w:p>
        </w:tc>
        <w:tc>
          <w:tcPr>
            <w:tcW w:w="291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6.3‰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5.0‰</w:t>
            </w:r>
          </w:p>
        </w:tc>
      </w:tr>
    </w:tbl>
    <w:p>
      <w:pPr>
        <w:spacing w:line="276" w:lineRule="auto"/>
        <w:jc w:val="left"/>
        <w:rPr>
          <w:rFonts w:ascii="宋体" w:hAnsi="宋体" w:cs="宋体"/>
          <w:bCs/>
          <w:szCs w:val="21"/>
        </w:rPr>
      </w:pPr>
    </w:p>
    <w:p>
      <w:pPr>
        <w:numPr>
          <w:ilvl w:val="0"/>
          <w:numId w:val="2"/>
        </w:numPr>
        <w:spacing w:line="276" w:lineRule="auto"/>
        <w:jc w:val="lef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费率调整系数  </w:t>
      </w:r>
      <w:r>
        <w:rPr>
          <w:rFonts w:hint="eastAsia" w:ascii="宋体" w:hAnsi="宋体" w:cs="宋体"/>
          <w:bCs/>
          <w:szCs w:val="21"/>
        </w:rPr>
        <w:t xml:space="preserve">                                          </w:t>
      </w:r>
    </w:p>
    <w:p>
      <w:pPr>
        <w:spacing w:line="276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1.人数规模调整系数</w:t>
      </w:r>
    </w:p>
    <w:tbl>
      <w:tblPr>
        <w:tblStyle w:val="2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3036"/>
      </w:tblGrid>
      <w:tr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5"/>
              <w:widowControl w:val="0"/>
              <w:spacing w:before="0" w:beforeAutospacing="0" w:after="156" w:afterLines="50" w:afterAutospacing="0"/>
              <w:jc w:val="center"/>
              <w:rPr>
                <w:rFonts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kern w:val="2"/>
                <w:sz w:val="21"/>
                <w:szCs w:val="21"/>
                <w:lang w:bidi="ar"/>
              </w:rPr>
              <w:t>承保人数规模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5"/>
              <w:widowControl w:val="0"/>
              <w:spacing w:before="0" w:beforeAutospacing="0" w:after="156" w:afterLines="50" w:afterAutospacing="0"/>
              <w:jc w:val="center"/>
              <w:rPr>
                <w:rFonts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5"/>
              <w:widowControl w:val="0"/>
              <w:spacing w:before="0" w:beforeAutospacing="0" w:after="156" w:afterLines="50" w:afterAutospacing="0"/>
              <w:jc w:val="center"/>
              <w:rPr>
                <w:rFonts w:cs="宋体"/>
                <w:kern w:val="2"/>
                <w:sz w:val="21"/>
                <w:szCs w:val="21"/>
              </w:rPr>
            </w:pPr>
            <w:r>
              <w:rPr>
                <w:rFonts w:hint="eastAsia" w:cs="宋体"/>
                <w:kern w:val="2"/>
                <w:sz w:val="21"/>
                <w:szCs w:val="21"/>
                <w:lang w:bidi="ar"/>
              </w:rPr>
              <w:t>1万人以上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[0.6,0.8)</w:t>
            </w:r>
          </w:p>
        </w:tc>
      </w:tr>
      <w:tr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5"/>
              <w:widowControl w:val="0"/>
              <w:spacing w:before="0" w:beforeAutospacing="0" w:after="156" w:afterLines="50" w:afterAutospacing="0"/>
              <w:jc w:val="center"/>
              <w:rPr>
                <w:rFonts w:cs="宋体"/>
                <w:kern w:val="2"/>
                <w:sz w:val="21"/>
                <w:szCs w:val="21"/>
              </w:rPr>
            </w:pPr>
            <w:r>
              <w:rPr>
                <w:rFonts w:hint="eastAsia" w:cs="宋体"/>
                <w:kern w:val="2"/>
                <w:sz w:val="21"/>
                <w:szCs w:val="21"/>
                <w:lang w:bidi="ar"/>
              </w:rPr>
              <w:t>5000人-1万人（含）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[0.8,1.0)</w:t>
            </w:r>
          </w:p>
        </w:tc>
      </w:tr>
      <w:tr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5"/>
              <w:widowControl w:val="0"/>
              <w:spacing w:before="0" w:beforeAutospacing="0" w:after="156" w:afterLines="50" w:afterAutospacing="0"/>
              <w:jc w:val="center"/>
              <w:rPr>
                <w:rFonts w:cs="宋体"/>
                <w:kern w:val="2"/>
                <w:sz w:val="21"/>
                <w:szCs w:val="21"/>
              </w:rPr>
            </w:pPr>
            <w:r>
              <w:rPr>
                <w:rFonts w:hint="eastAsia" w:cs="宋体"/>
                <w:kern w:val="2"/>
                <w:sz w:val="21"/>
                <w:szCs w:val="21"/>
                <w:lang w:bidi="ar"/>
              </w:rPr>
              <w:t>2000人（含）-5000人（含）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[1.0,1.2</w:t>
            </w:r>
            <w:r>
              <w:rPr>
                <w:rFonts w:ascii="宋体" w:hAnsi="宋体" w:cs="宋体"/>
                <w:kern w:val="0"/>
                <w:szCs w:val="21"/>
                <w:lang w:bidi="ar"/>
              </w:rPr>
              <w:t>]</w:t>
            </w:r>
          </w:p>
        </w:tc>
      </w:tr>
      <w:tr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5"/>
              <w:widowControl w:val="0"/>
              <w:spacing w:before="0" w:beforeAutospacing="0" w:after="156" w:afterLines="50" w:afterAutospacing="0"/>
              <w:jc w:val="center"/>
              <w:rPr>
                <w:rFonts w:cs="宋体"/>
                <w:kern w:val="2"/>
                <w:sz w:val="21"/>
                <w:szCs w:val="21"/>
              </w:rPr>
            </w:pPr>
            <w:r>
              <w:rPr>
                <w:rFonts w:hint="eastAsia" w:cs="宋体"/>
                <w:kern w:val="2"/>
                <w:sz w:val="21"/>
                <w:szCs w:val="21"/>
                <w:lang w:bidi="ar"/>
              </w:rPr>
              <w:t>2000人以下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(1.2,1.5]</w:t>
            </w:r>
          </w:p>
        </w:tc>
      </w:tr>
    </w:tbl>
    <w:p>
      <w:pPr>
        <w:numPr>
          <w:ilvl w:val="255"/>
          <w:numId w:val="0"/>
        </w:numPr>
        <w:spacing w:line="276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2.地区风险水平调整系数</w:t>
      </w:r>
    </w:p>
    <w:tbl>
      <w:tblPr>
        <w:tblStyle w:val="2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9" w:hRule="atLeast"/>
          <w:jc w:val="center"/>
        </w:trPr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地区风险水平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9" w:hRule="atLeast"/>
          <w:jc w:val="center"/>
        </w:trPr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较好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,</w:t>
            </w:r>
            <w:r>
              <w:rPr>
                <w:rFonts w:ascii="宋体" w:hAnsi="宋体" w:cs="宋体"/>
                <w:szCs w:val="21"/>
              </w:rPr>
              <w:t>0.8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9" w:hRule="atLeast"/>
          <w:jc w:val="center"/>
        </w:trPr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一般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</w:t>
            </w:r>
            <w:r>
              <w:rPr>
                <w:rFonts w:ascii="宋体" w:hAnsi="宋体" w:cs="宋体"/>
                <w:szCs w:val="21"/>
              </w:rPr>
              <w:t>0.8</w:t>
            </w:r>
            <w:r>
              <w:rPr>
                <w:rFonts w:hint="eastAsia" w:ascii="宋体" w:hAnsi="宋体" w:cs="宋体"/>
                <w:szCs w:val="21"/>
              </w:rPr>
              <w:t>,</w:t>
            </w:r>
            <w:r>
              <w:rPr>
                <w:rFonts w:ascii="宋体" w:hAnsi="宋体" w:cs="宋体"/>
                <w:szCs w:val="21"/>
              </w:rPr>
              <w:t>1.2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9" w:hRule="atLeast"/>
          <w:jc w:val="center"/>
        </w:trPr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较差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,1.5]</w:t>
            </w:r>
          </w:p>
        </w:tc>
      </w:tr>
    </w:tbl>
    <w:p>
      <w:pPr>
        <w:numPr>
          <w:ilvl w:val="255"/>
          <w:numId w:val="0"/>
        </w:numPr>
        <w:spacing w:line="276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注：根据当地社会治安、交通秩序、安全管理水平等因素，进行划分。</w:t>
      </w:r>
    </w:p>
    <w:p>
      <w:pPr>
        <w:numPr>
          <w:ilvl w:val="255"/>
          <w:numId w:val="0"/>
        </w:numPr>
        <w:spacing w:line="276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3.地区医疗救助设施情况调整系数</w:t>
      </w:r>
    </w:p>
    <w:tbl>
      <w:tblPr>
        <w:tblStyle w:val="2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9" w:hRule="atLeast"/>
          <w:jc w:val="center"/>
        </w:trPr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地区医疗救助设施情况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9" w:hRule="atLeast"/>
          <w:jc w:val="center"/>
        </w:trPr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医院、临时医疗救助设施分布密集，能很好满足应急医疗救助需要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,</w:t>
            </w:r>
            <w:r>
              <w:rPr>
                <w:rFonts w:ascii="宋体" w:hAnsi="宋体" w:cs="宋体"/>
                <w:szCs w:val="21"/>
              </w:rPr>
              <w:t>0.8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9" w:hRule="atLeast"/>
          <w:jc w:val="center"/>
        </w:trPr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医院、临时医疗救助设施分布基本能满足应急医疗救助需要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</w:t>
            </w:r>
            <w:r>
              <w:rPr>
                <w:rFonts w:ascii="宋体" w:hAnsi="宋体" w:cs="宋体"/>
                <w:szCs w:val="21"/>
              </w:rPr>
              <w:t>0.8</w:t>
            </w:r>
            <w:r>
              <w:rPr>
                <w:rFonts w:hint="eastAsia" w:ascii="宋体" w:hAnsi="宋体" w:cs="宋体"/>
                <w:szCs w:val="21"/>
              </w:rPr>
              <w:t>,</w:t>
            </w:r>
            <w:r>
              <w:rPr>
                <w:rFonts w:ascii="宋体" w:hAnsi="宋体" w:cs="宋体"/>
                <w:szCs w:val="21"/>
              </w:rPr>
              <w:t>1.2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9" w:hRule="atLeast"/>
          <w:jc w:val="center"/>
        </w:trPr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医院、临时医疗救助设施分布疏散，不能满足应急医疗救助需要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,1.5]</w:t>
            </w:r>
          </w:p>
        </w:tc>
      </w:tr>
    </w:tbl>
    <w:p>
      <w:pPr>
        <w:numPr>
          <w:ilvl w:val="255"/>
          <w:numId w:val="0"/>
        </w:numPr>
        <w:spacing w:line="276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</w:t>
      </w:r>
      <w:r>
        <w:rPr>
          <w:rFonts w:ascii="宋体" w:hAnsi="宋体" w:cs="宋体"/>
          <w:szCs w:val="21"/>
        </w:rPr>
        <w:t>.被保险人风险等级调整系数</w:t>
      </w:r>
      <w:r>
        <w:rPr>
          <w:rFonts w:hint="eastAsia" w:ascii="宋体" w:hAnsi="宋体" w:cs="宋体"/>
          <w:szCs w:val="21"/>
        </w:rPr>
        <w:t>：</w:t>
      </w:r>
    </w:p>
    <w:tbl>
      <w:tblPr>
        <w:tblStyle w:val="2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  <w:gridCol w:w="2920"/>
      </w:tblGrid>
      <w:tr>
        <w:trPr>
          <w:trHeight w:val="439" w:hRule="atLeast"/>
          <w:jc w:val="center"/>
        </w:trPr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被保险人风险等级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调整系数</w:t>
            </w:r>
          </w:p>
        </w:tc>
      </w:tr>
      <w:tr>
        <w:trPr>
          <w:trHeight w:val="439" w:hRule="atLeast"/>
          <w:jc w:val="center"/>
        </w:trPr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较低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,</w:t>
            </w:r>
            <w:r>
              <w:rPr>
                <w:rFonts w:ascii="宋体" w:hAnsi="宋体" w:cs="宋体"/>
                <w:szCs w:val="21"/>
              </w:rPr>
              <w:t>0.8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</w:tr>
      <w:tr>
        <w:trPr>
          <w:trHeight w:val="479" w:hRule="atLeast"/>
          <w:jc w:val="center"/>
        </w:trPr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中等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</w:t>
            </w:r>
            <w:r>
              <w:rPr>
                <w:rFonts w:ascii="宋体" w:hAnsi="宋体" w:cs="宋体"/>
                <w:szCs w:val="21"/>
              </w:rPr>
              <w:t>0.8</w:t>
            </w:r>
            <w:r>
              <w:rPr>
                <w:rFonts w:hint="eastAsia" w:ascii="宋体" w:hAnsi="宋体" w:cs="宋体"/>
                <w:szCs w:val="21"/>
              </w:rPr>
              <w:t>,</w:t>
            </w:r>
            <w:r>
              <w:rPr>
                <w:rFonts w:ascii="宋体" w:hAnsi="宋体" w:cs="宋体"/>
                <w:szCs w:val="21"/>
              </w:rPr>
              <w:t>1.2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</w:tr>
      <w:tr>
        <w:trPr>
          <w:trHeight w:val="479" w:hRule="atLeast"/>
          <w:jc w:val="center"/>
        </w:trPr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较高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,1.5]</w:t>
            </w:r>
          </w:p>
        </w:tc>
      </w:tr>
    </w:tbl>
    <w:p>
      <w:pPr>
        <w:numPr>
          <w:ilvl w:val="255"/>
          <w:numId w:val="0"/>
        </w:numPr>
        <w:spacing w:line="276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</w:t>
      </w:r>
      <w:r>
        <w:rPr>
          <w:rFonts w:ascii="宋体" w:hAnsi="宋体" w:cs="宋体"/>
          <w:szCs w:val="21"/>
        </w:rPr>
        <w:t>综合考虑被保险人性别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年龄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健康状况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生活习惯等风险要素</w: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t>进行划分</w:t>
      </w:r>
      <w:r>
        <w:rPr>
          <w:rFonts w:hint="eastAsia" w:ascii="宋体" w:hAnsi="宋体" w:cs="宋体"/>
          <w:szCs w:val="21"/>
        </w:rPr>
        <w:t>。</w:t>
      </w:r>
    </w:p>
    <w:p>
      <w:pPr>
        <w:numPr>
          <w:ilvl w:val="255"/>
          <w:numId w:val="0"/>
        </w:numPr>
        <w:spacing w:line="276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5.</w:t>
      </w:r>
      <w:r>
        <w:rPr>
          <w:rFonts w:hint="eastAsia" w:ascii="宋体" w:hAnsi="宋体" w:cs="宋体"/>
          <w:szCs w:val="21"/>
        </w:rPr>
        <w:t>历史赔付率调整系数</w:t>
      </w:r>
    </w:p>
    <w:tbl>
      <w:tblPr>
        <w:tblStyle w:val="28"/>
        <w:tblW w:w="58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2723"/>
      </w:tblGrid>
      <w:tr>
        <w:trPr>
          <w:trHeight w:val="397" w:hRule="atLeast"/>
          <w:jc w:val="center"/>
        </w:trPr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历史赔付率</w:t>
            </w:r>
          </w:p>
        </w:tc>
        <w:tc>
          <w:tcPr>
            <w:tcW w:w="2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rPr>
          <w:trHeight w:val="397" w:hRule="atLeast"/>
          <w:jc w:val="center"/>
        </w:trPr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0%（含）</w:t>
            </w:r>
            <w:r>
              <w:rPr>
                <w:rFonts w:ascii="宋体" w:hAnsi="宋体" w:cs="宋体"/>
                <w:szCs w:val="21"/>
              </w:rPr>
              <w:t>-</w:t>
            </w:r>
            <w:r>
              <w:rPr>
                <w:rFonts w:hint="eastAsia" w:ascii="宋体" w:hAnsi="宋体" w:cs="宋体"/>
                <w:szCs w:val="21"/>
              </w:rPr>
              <w:t>30%</w:t>
            </w:r>
          </w:p>
        </w:tc>
        <w:tc>
          <w:tcPr>
            <w:tcW w:w="2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[0.5,0.7)</w:t>
            </w:r>
          </w:p>
        </w:tc>
      </w:tr>
      <w:tr>
        <w:trPr>
          <w:trHeight w:val="397" w:hRule="atLeast"/>
          <w:jc w:val="center"/>
        </w:trPr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30%（含）</w:t>
            </w:r>
            <w:r>
              <w:rPr>
                <w:rFonts w:ascii="宋体" w:hAnsi="宋体" w:cs="宋体"/>
                <w:szCs w:val="21"/>
              </w:rPr>
              <w:t>-</w:t>
            </w:r>
            <w:r>
              <w:rPr>
                <w:rFonts w:hint="eastAsia" w:ascii="宋体" w:hAnsi="宋体" w:cs="宋体"/>
                <w:szCs w:val="21"/>
              </w:rPr>
              <w:t>50%</w:t>
            </w:r>
          </w:p>
        </w:tc>
        <w:tc>
          <w:tcPr>
            <w:tcW w:w="2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[0.7,0.9)</w:t>
            </w:r>
          </w:p>
        </w:tc>
      </w:tr>
      <w:tr>
        <w:trPr>
          <w:trHeight w:val="397" w:hRule="atLeast"/>
          <w:jc w:val="center"/>
        </w:trPr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50%（含）</w:t>
            </w:r>
            <w:r>
              <w:rPr>
                <w:rFonts w:ascii="宋体" w:hAnsi="宋体" w:cs="宋体"/>
                <w:szCs w:val="21"/>
              </w:rPr>
              <w:t>-</w:t>
            </w:r>
            <w:r>
              <w:rPr>
                <w:rFonts w:hint="eastAsia" w:ascii="宋体" w:hAnsi="宋体" w:cs="宋体"/>
                <w:szCs w:val="21"/>
              </w:rPr>
              <w:t>80%</w:t>
            </w:r>
          </w:p>
        </w:tc>
        <w:tc>
          <w:tcPr>
            <w:tcW w:w="2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[0.9,1.1)</w:t>
            </w:r>
          </w:p>
        </w:tc>
      </w:tr>
      <w:tr>
        <w:trPr>
          <w:trHeight w:val="397" w:hRule="atLeast"/>
          <w:jc w:val="center"/>
        </w:trPr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80%（含）以上</w:t>
            </w:r>
          </w:p>
        </w:tc>
        <w:tc>
          <w:tcPr>
            <w:tcW w:w="2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[1.1,1.5]</w:t>
            </w:r>
          </w:p>
        </w:tc>
      </w:tr>
      <w:tr>
        <w:trPr>
          <w:trHeight w:val="397" w:hRule="atLeast"/>
          <w:jc w:val="center"/>
        </w:trPr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无历史赔付率</w:t>
            </w:r>
          </w:p>
        </w:tc>
        <w:tc>
          <w:tcPr>
            <w:tcW w:w="2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1.0</w:t>
            </w:r>
          </w:p>
        </w:tc>
      </w:tr>
    </w:tbl>
    <w:p>
      <w:pPr>
        <w:spacing w:line="276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</w:t>
      </w:r>
      <w:r>
        <w:rPr>
          <w:rFonts w:ascii="宋体" w:hAnsi="宋体" w:cs="宋体"/>
          <w:szCs w:val="21"/>
        </w:rPr>
        <w:t>.保险期间调整系数</w:t>
      </w:r>
    </w:p>
    <w:tbl>
      <w:tblPr>
        <w:tblStyle w:val="28"/>
        <w:tblW w:w="58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2723"/>
      </w:tblGrid>
      <w:tr>
        <w:trPr>
          <w:trHeight w:val="397" w:hRule="atLeast"/>
          <w:jc w:val="center"/>
        </w:trPr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保险期间（年）</w:t>
            </w:r>
          </w:p>
        </w:tc>
        <w:tc>
          <w:tcPr>
            <w:tcW w:w="2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rPr>
          <w:trHeight w:val="397" w:hRule="atLeast"/>
          <w:jc w:val="center"/>
        </w:trPr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2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.0</w:t>
            </w:r>
          </w:p>
        </w:tc>
      </w:tr>
      <w:tr>
        <w:trPr>
          <w:trHeight w:val="397" w:hRule="atLeast"/>
          <w:jc w:val="center"/>
        </w:trPr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1-2</w:t>
            </w:r>
            <w:r>
              <w:rPr>
                <w:rFonts w:hint="eastAsia" w:ascii="宋体" w:hAnsi="宋体" w:cs="宋体"/>
                <w:szCs w:val="21"/>
              </w:rPr>
              <w:t>（含）</w:t>
            </w:r>
          </w:p>
        </w:tc>
        <w:tc>
          <w:tcPr>
            <w:tcW w:w="2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ascii="宋体" w:hAnsi="宋体" w:cs="宋体"/>
                <w:szCs w:val="21"/>
              </w:rPr>
              <w:t>1.0</w:t>
            </w:r>
            <w:r>
              <w:rPr>
                <w:rFonts w:hint="eastAsia" w:ascii="宋体" w:hAnsi="宋体" w:cs="宋体"/>
                <w:szCs w:val="21"/>
              </w:rPr>
              <w:t>,1.</w:t>
            </w:r>
            <w:r>
              <w:rPr>
                <w:rFonts w:ascii="宋体" w:hAnsi="宋体" w:cs="宋体"/>
                <w:szCs w:val="21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  <w:tr>
        <w:trPr>
          <w:trHeight w:val="397" w:hRule="atLeast"/>
          <w:jc w:val="center"/>
        </w:trPr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2-5</w:t>
            </w:r>
            <w:r>
              <w:rPr>
                <w:rFonts w:hint="eastAsia" w:ascii="宋体" w:hAnsi="宋体" w:cs="宋体"/>
                <w:szCs w:val="21"/>
              </w:rPr>
              <w:t>（含）</w:t>
            </w:r>
          </w:p>
        </w:tc>
        <w:tc>
          <w:tcPr>
            <w:tcW w:w="2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(1.</w:t>
            </w:r>
            <w:r>
              <w:rPr>
                <w:rFonts w:ascii="宋体" w:hAnsi="宋体" w:cs="宋体"/>
                <w:szCs w:val="21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,</w:t>
            </w:r>
            <w:r>
              <w:rPr>
                <w:rFonts w:ascii="宋体" w:hAnsi="宋体" w:cs="宋体"/>
                <w:szCs w:val="21"/>
              </w:rPr>
              <w:t>3.0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  <w:tr>
        <w:trPr>
          <w:trHeight w:val="397" w:hRule="atLeast"/>
          <w:jc w:val="center"/>
        </w:trPr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5以上</w:t>
            </w:r>
          </w:p>
        </w:tc>
        <w:tc>
          <w:tcPr>
            <w:tcW w:w="2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ascii="宋体" w:hAnsi="宋体" w:cs="宋体"/>
                <w:szCs w:val="21"/>
              </w:rPr>
              <w:t>3.0</w:t>
            </w:r>
            <w:r>
              <w:rPr>
                <w:rFonts w:hint="eastAsia" w:ascii="宋体" w:hAnsi="宋体" w:cs="宋体"/>
                <w:szCs w:val="21"/>
              </w:rPr>
              <w:t>,</w:t>
            </w:r>
            <w:r>
              <w:rPr>
                <w:rFonts w:ascii="宋体" w:hAnsi="宋体" w:cs="宋体"/>
                <w:szCs w:val="21"/>
              </w:rPr>
              <w:t>5.0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</w:tbl>
    <w:p>
      <w:pPr>
        <w:spacing w:line="276" w:lineRule="auto"/>
        <w:rPr>
          <w:rFonts w:ascii="宋体" w:hAnsi="宋体" w:cs="宋体"/>
          <w:szCs w:val="21"/>
        </w:rPr>
      </w:pPr>
    </w:p>
    <w:p>
      <w:pPr>
        <w:numPr>
          <w:ilvl w:val="0"/>
          <w:numId w:val="3"/>
        </w:numPr>
        <w:spacing w:line="276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保险费计算</w:t>
      </w:r>
    </w:p>
    <w:p>
      <w:pPr>
        <w:spacing w:line="276" w:lineRule="auto"/>
        <w:ind w:firstLine="42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年保险费＝保险金额×年基准费率×</w:t>
      </w:r>
      <w:r>
        <w:rPr>
          <w:rFonts w:hint="eastAsia" w:ascii="宋体" w:hAnsi="宋体" w:cs="宋体"/>
          <w:szCs w:val="21"/>
        </w:rPr>
        <w:t>人数规模调整系数</w:t>
      </w:r>
      <w:r>
        <w:rPr>
          <w:rFonts w:hint="eastAsia" w:ascii="宋体" w:hAnsi="宋体" w:cs="宋体"/>
          <w:bCs/>
          <w:szCs w:val="21"/>
        </w:rPr>
        <w:t>×地区风险水平调整系数×</w:t>
      </w:r>
      <w:r>
        <w:rPr>
          <w:rFonts w:hint="eastAsia" w:ascii="宋体" w:hAnsi="宋体" w:cs="宋体"/>
          <w:szCs w:val="21"/>
        </w:rPr>
        <w:t>地区医疗救助设施情况调整系数×被保险人风险等级调整系数</w:t>
      </w:r>
      <w:r>
        <w:rPr>
          <w:rFonts w:hint="eastAsia" w:ascii="宋体" w:hAnsi="宋体" w:cs="宋体"/>
          <w:bCs/>
          <w:szCs w:val="21"/>
        </w:rPr>
        <w:t>×历史赔付率调整系数×保险期间调整系数</w:t>
      </w:r>
    </w:p>
    <w:p>
      <w:pPr>
        <w:spacing w:line="276" w:lineRule="auto"/>
        <w:ind w:firstLine="42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注：某项调整系数相关风险信息不准确或不完整时，该项调整系数取1</w:t>
      </w:r>
      <w:r>
        <w:rPr>
          <w:rFonts w:ascii="宋体" w:hAnsi="宋体" w:cs="宋体"/>
          <w:bCs/>
          <w:szCs w:val="21"/>
        </w:rPr>
        <w:t>.0</w:t>
      </w:r>
      <w:r>
        <w:rPr>
          <w:rFonts w:hint="eastAsia" w:ascii="宋体" w:hAnsi="宋体" w:cs="宋体"/>
          <w:bCs/>
          <w:szCs w:val="21"/>
        </w:rPr>
        <w:t>。</w:t>
      </w:r>
    </w:p>
    <w:p>
      <w:pPr>
        <w:spacing w:line="276" w:lineRule="auto"/>
        <w:rPr>
          <w:rFonts w:ascii="宋体" w:hAnsi="宋体" w:cs="宋体"/>
          <w:b/>
          <w:szCs w:val="21"/>
        </w:rPr>
      </w:pPr>
    </w:p>
    <w:p>
      <w:pPr>
        <w:spacing w:line="27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szCs w:val="21"/>
        </w:rPr>
        <w:t>四、短期费率</w:t>
      </w:r>
      <w:r>
        <w:rPr>
          <w:rFonts w:hint="eastAsia" w:ascii="宋体" w:hAnsi="宋体" w:cs="宋体"/>
          <w:b/>
          <w:bCs/>
          <w:szCs w:val="21"/>
        </w:rPr>
        <w:t>（按年费率的百分比计算，仅适用于</w:t>
      </w:r>
      <w:r>
        <w:rPr>
          <w:rFonts w:hint="eastAsia" w:ascii="宋体" w:hAnsi="宋体" w:cs="宋体"/>
          <w:b/>
          <w:bCs/>
          <w:szCs w:val="21"/>
          <w:lang w:val="en-US" w:eastAsia="zh-Hans"/>
        </w:rPr>
        <w:t>保险期间</w:t>
      </w:r>
      <w:r>
        <w:rPr>
          <w:rFonts w:hint="eastAsia" w:ascii="宋体" w:hAnsi="宋体" w:cs="宋体"/>
          <w:b/>
          <w:bCs/>
          <w:szCs w:val="21"/>
        </w:rPr>
        <w:t>一年期</w:t>
      </w:r>
      <w:r>
        <w:rPr>
          <w:rFonts w:hint="eastAsia" w:ascii="宋体" w:hAnsi="宋体" w:cs="宋体"/>
          <w:b/>
          <w:bCs/>
          <w:szCs w:val="21"/>
          <w:lang w:val="en-US" w:eastAsia="zh-Hans"/>
        </w:rPr>
        <w:t>及</w:t>
      </w:r>
      <w:r>
        <w:rPr>
          <w:rFonts w:hint="eastAsia" w:ascii="宋体" w:hAnsi="宋体" w:cs="宋体"/>
          <w:b/>
          <w:bCs/>
          <w:szCs w:val="21"/>
        </w:rPr>
        <w:t>以下业务）</w:t>
      </w:r>
    </w:p>
    <w:tbl>
      <w:tblPr>
        <w:tblStyle w:val="2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541"/>
        <w:gridCol w:w="541"/>
        <w:gridCol w:w="541"/>
        <w:gridCol w:w="540"/>
        <w:gridCol w:w="540"/>
        <w:gridCol w:w="540"/>
        <w:gridCol w:w="540"/>
        <w:gridCol w:w="540"/>
        <w:gridCol w:w="540"/>
        <w:gridCol w:w="540"/>
        <w:gridCol w:w="540"/>
        <w:gridCol w:w="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exact"/>
        </w:trPr>
        <w:tc>
          <w:tcPr>
            <w:tcW w:w="1913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bookmarkStart w:id="0" w:name="_GoBack" w:colFirst="12" w:colLast="0"/>
            <w:r>
              <w:rPr>
                <w:rFonts w:hint="eastAsia" w:ascii="宋体" w:hAnsi="宋体" w:cs="宋体"/>
                <w:szCs w:val="21"/>
              </w:rPr>
              <w:t>保险期间（月）</w:t>
            </w:r>
          </w:p>
        </w:tc>
        <w:tc>
          <w:tcPr>
            <w:tcW w:w="54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54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66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exact"/>
        </w:trPr>
        <w:tc>
          <w:tcPr>
            <w:tcW w:w="1913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百分比（%）</w:t>
            </w:r>
          </w:p>
        </w:tc>
        <w:tc>
          <w:tcPr>
            <w:tcW w:w="54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54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54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70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80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85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90</w:t>
            </w:r>
          </w:p>
        </w:tc>
        <w:tc>
          <w:tcPr>
            <w:tcW w:w="54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95</w:t>
            </w:r>
          </w:p>
        </w:tc>
        <w:tc>
          <w:tcPr>
            <w:tcW w:w="66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</w:tr>
      <w:bookmarkEnd w:id="0"/>
    </w:tbl>
    <w:p>
      <w:pPr>
        <w:spacing w:line="276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注：保险期间不足1个月的，按1个月计算；保险期间在1个月以上，不足2个月的，按2个月计算；保险期间在2个月以上，不足3个月的，按3个月计算，依此类推。</w:t>
      </w: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FKai-SB">
    <w:altName w:val="苹方-简"/>
    <w:panose1 w:val="00000000000000000000"/>
    <w:charset w:val="88"/>
    <w:family w:val="script"/>
    <w:pitch w:val="default"/>
    <w:sig w:usb0="00000000" w:usb1="00000000" w:usb2="00000016" w:usb3="00000000" w:csb0="00100001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w:pict>
        <v:shape id="文本框23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jc w:val="center"/>
    </w:pPr>
    <w:r>
      <w:pict>
        <v:shape id="文本框24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10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  <w:p>
    <w:pPr>
      <w:pStyle w:val="1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1D7DAB"/>
    <w:multiLevelType w:val="singleLevel"/>
    <w:tmpl w:val="D91D7DAB"/>
    <w:lvl w:ilvl="0" w:tentative="0">
      <w:start w:val="2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E7022C67"/>
    <w:multiLevelType w:val="singleLevel"/>
    <w:tmpl w:val="E7022C6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90C663A"/>
    <w:multiLevelType w:val="singleLevel"/>
    <w:tmpl w:val="290C663A"/>
    <w:lvl w:ilvl="0" w:tentative="0">
      <w:start w:val="1"/>
      <w:numFmt w:val="taiwaneseCountingThousand"/>
      <w:pStyle w:val="66"/>
      <w:lvlText w:val="第%1條"/>
      <w:lvlJc w:val="left"/>
      <w:pPr>
        <w:tabs>
          <w:tab w:val="left" w:pos="1573"/>
        </w:tabs>
        <w:ind w:left="1573" w:hanging="975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B64AB"/>
    <w:rsid w:val="00011E9E"/>
    <w:rsid w:val="00017154"/>
    <w:rsid w:val="000A304C"/>
    <w:rsid w:val="001632D2"/>
    <w:rsid w:val="0017174A"/>
    <w:rsid w:val="00187BC9"/>
    <w:rsid w:val="001B64AB"/>
    <w:rsid w:val="00286A45"/>
    <w:rsid w:val="00291E97"/>
    <w:rsid w:val="002A2E17"/>
    <w:rsid w:val="002E756A"/>
    <w:rsid w:val="003534A6"/>
    <w:rsid w:val="003F2B2A"/>
    <w:rsid w:val="00431D2B"/>
    <w:rsid w:val="004769A1"/>
    <w:rsid w:val="004C45B5"/>
    <w:rsid w:val="004C6161"/>
    <w:rsid w:val="00520D59"/>
    <w:rsid w:val="00541A89"/>
    <w:rsid w:val="00556038"/>
    <w:rsid w:val="00585AE6"/>
    <w:rsid w:val="005D3614"/>
    <w:rsid w:val="00630279"/>
    <w:rsid w:val="00661218"/>
    <w:rsid w:val="006972FE"/>
    <w:rsid w:val="006D547A"/>
    <w:rsid w:val="00844DAD"/>
    <w:rsid w:val="00875168"/>
    <w:rsid w:val="009A75B7"/>
    <w:rsid w:val="009C00E8"/>
    <w:rsid w:val="009F0B81"/>
    <w:rsid w:val="00A1762F"/>
    <w:rsid w:val="00A4021D"/>
    <w:rsid w:val="00A76447"/>
    <w:rsid w:val="00A82DB7"/>
    <w:rsid w:val="00B07520"/>
    <w:rsid w:val="00B455B8"/>
    <w:rsid w:val="00B73738"/>
    <w:rsid w:val="00B80CCC"/>
    <w:rsid w:val="00BC74E0"/>
    <w:rsid w:val="00C13B84"/>
    <w:rsid w:val="00C252EF"/>
    <w:rsid w:val="00C8763B"/>
    <w:rsid w:val="00CA7984"/>
    <w:rsid w:val="00CB017B"/>
    <w:rsid w:val="00CE5EFD"/>
    <w:rsid w:val="00D30294"/>
    <w:rsid w:val="00D551E9"/>
    <w:rsid w:val="00D61DF2"/>
    <w:rsid w:val="00D9151F"/>
    <w:rsid w:val="00D92914"/>
    <w:rsid w:val="00E508FF"/>
    <w:rsid w:val="00E672C0"/>
    <w:rsid w:val="00EA471B"/>
    <w:rsid w:val="00EE49C2"/>
    <w:rsid w:val="00F65345"/>
    <w:rsid w:val="00FD7FA8"/>
    <w:rsid w:val="0A231C03"/>
    <w:rsid w:val="10F80351"/>
    <w:rsid w:val="13FD4374"/>
    <w:rsid w:val="142D5D68"/>
    <w:rsid w:val="16801D71"/>
    <w:rsid w:val="16B86BA9"/>
    <w:rsid w:val="21AA7F55"/>
    <w:rsid w:val="23AE0748"/>
    <w:rsid w:val="2B56566C"/>
    <w:rsid w:val="2BF4F53B"/>
    <w:rsid w:val="2D114123"/>
    <w:rsid w:val="357D55DE"/>
    <w:rsid w:val="35F001D9"/>
    <w:rsid w:val="36F02C44"/>
    <w:rsid w:val="39142C6B"/>
    <w:rsid w:val="3BC51BD9"/>
    <w:rsid w:val="43747AE1"/>
    <w:rsid w:val="440705AF"/>
    <w:rsid w:val="44EB6E52"/>
    <w:rsid w:val="5326EDC1"/>
    <w:rsid w:val="579564F5"/>
    <w:rsid w:val="5EAA74EC"/>
    <w:rsid w:val="5F50095F"/>
    <w:rsid w:val="606301C2"/>
    <w:rsid w:val="671E5272"/>
    <w:rsid w:val="6E953DAD"/>
    <w:rsid w:val="75BBE7EF"/>
    <w:rsid w:val="7A623A28"/>
    <w:rsid w:val="7EBF73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8"/>
    <w:qFormat/>
    <w:uiPriority w:val="0"/>
    <w:pPr>
      <w:keepNext/>
      <w:keepLines/>
      <w:tabs>
        <w:tab w:val="left" w:pos="720"/>
      </w:tabs>
      <w:adjustRightInd w:val="0"/>
      <w:jc w:val="left"/>
      <w:textAlignment w:val="baseline"/>
      <w:outlineLvl w:val="2"/>
    </w:pPr>
    <w:rPr>
      <w:rFonts w:ascii="宋体" w:hAnsi="宋体"/>
      <w:b/>
      <w:bCs/>
      <w:sz w:val="24"/>
      <w:szCs w:val="24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0"/>
    <w:pPr>
      <w:ind w:left="2520" w:leftChars="1200"/>
    </w:pPr>
  </w:style>
  <w:style w:type="paragraph" w:styleId="6">
    <w:name w:val="annotation text"/>
    <w:basedOn w:val="1"/>
    <w:link w:val="68"/>
    <w:semiHidden/>
    <w:unhideWhenUsed/>
    <w:qFormat/>
    <w:uiPriority w:val="99"/>
    <w:pPr>
      <w:jc w:val="left"/>
    </w:pPr>
  </w:style>
  <w:style w:type="paragraph" w:styleId="7">
    <w:name w:val="Body Text"/>
    <w:basedOn w:val="1"/>
    <w:link w:val="52"/>
    <w:qFormat/>
    <w:uiPriority w:val="0"/>
    <w:pPr>
      <w:spacing w:after="120"/>
    </w:pPr>
  </w:style>
  <w:style w:type="paragraph" w:styleId="8">
    <w:name w:val="Body Text Indent"/>
    <w:basedOn w:val="1"/>
    <w:link w:val="47"/>
    <w:qFormat/>
    <w:uiPriority w:val="0"/>
    <w:pPr>
      <w:spacing w:line="360" w:lineRule="auto"/>
      <w:ind w:firstLine="480" w:firstLineChars="200"/>
    </w:pPr>
    <w:rPr>
      <w:rFonts w:ascii="仿宋_GB2312" w:eastAsia="仿宋_GB2312"/>
      <w:kern w:val="0"/>
      <w:sz w:val="24"/>
    </w:rPr>
  </w:style>
  <w:style w:type="paragraph" w:styleId="9">
    <w:name w:val="Block Text"/>
    <w:basedOn w:val="1"/>
    <w:qFormat/>
    <w:uiPriority w:val="0"/>
    <w:pPr>
      <w:spacing w:before="120"/>
      <w:ind w:left="79" w:right="57"/>
    </w:pPr>
    <w:rPr>
      <w:rFonts w:ascii="宋体" w:hAnsi="宋体"/>
      <w:szCs w:val="20"/>
    </w:rPr>
  </w:style>
  <w:style w:type="paragraph" w:styleId="10">
    <w:name w:val="toc 5"/>
    <w:basedOn w:val="1"/>
    <w:next w:val="1"/>
    <w:qFormat/>
    <w:uiPriority w:val="0"/>
    <w:pPr>
      <w:ind w:left="1680" w:leftChars="800"/>
    </w:pPr>
  </w:style>
  <w:style w:type="paragraph" w:styleId="11">
    <w:name w:val="toc 3"/>
    <w:basedOn w:val="1"/>
    <w:next w:val="1"/>
    <w:qFormat/>
    <w:uiPriority w:val="0"/>
    <w:pPr>
      <w:widowControl/>
      <w:tabs>
        <w:tab w:val="left" w:pos="1418"/>
        <w:tab w:val="right" w:leader="dot" w:pos="8296"/>
      </w:tabs>
      <w:ind w:left="848" w:leftChars="303" w:firstLine="3" w:firstLineChars="1"/>
      <w:jc w:val="left"/>
    </w:pPr>
    <w:rPr>
      <w:rFonts w:ascii="宋体" w:hAnsi="宋体" w:cs="宋体"/>
      <w:kern w:val="0"/>
      <w:sz w:val="28"/>
      <w:szCs w:val="24"/>
    </w:rPr>
  </w:style>
  <w:style w:type="paragraph" w:styleId="12">
    <w:name w:val="Plain Text"/>
    <w:basedOn w:val="1"/>
    <w:link w:val="57"/>
    <w:qFormat/>
    <w:uiPriority w:val="0"/>
    <w:rPr>
      <w:rFonts w:ascii="宋体" w:hAnsi="Courier New"/>
      <w:szCs w:val="20"/>
    </w:rPr>
  </w:style>
  <w:style w:type="paragraph" w:styleId="13">
    <w:name w:val="toc 8"/>
    <w:basedOn w:val="1"/>
    <w:next w:val="1"/>
    <w:qFormat/>
    <w:uiPriority w:val="0"/>
    <w:pPr>
      <w:ind w:left="2940" w:leftChars="1400"/>
    </w:pPr>
  </w:style>
  <w:style w:type="paragraph" w:styleId="14">
    <w:name w:val="Body Text Indent 2"/>
    <w:basedOn w:val="1"/>
    <w:link w:val="46"/>
    <w:qFormat/>
    <w:uiPriority w:val="0"/>
    <w:pPr>
      <w:ind w:firstLine="422"/>
    </w:pPr>
    <w:rPr>
      <w:rFonts w:ascii="仿宋_GB2312" w:eastAsia="仿宋_GB2312"/>
      <w:b/>
      <w:kern w:val="0"/>
      <w:szCs w:val="20"/>
    </w:rPr>
  </w:style>
  <w:style w:type="paragraph" w:styleId="15">
    <w:name w:val="Balloon Text"/>
    <w:basedOn w:val="1"/>
    <w:link w:val="70"/>
    <w:semiHidden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3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/>
      <w:jc w:val="left"/>
    </w:pPr>
    <w:rPr>
      <w:rFonts w:ascii="宋体" w:hAnsi="宋体" w:cs="宋体"/>
      <w:kern w:val="0"/>
      <w:sz w:val="28"/>
      <w:szCs w:val="24"/>
    </w:rPr>
  </w:style>
  <w:style w:type="paragraph" w:styleId="19">
    <w:name w:val="toc 4"/>
    <w:basedOn w:val="1"/>
    <w:next w:val="1"/>
    <w:qFormat/>
    <w:uiPriority w:val="0"/>
    <w:pPr>
      <w:ind w:left="1260" w:leftChars="600"/>
    </w:pPr>
  </w:style>
  <w:style w:type="paragraph" w:styleId="20">
    <w:name w:val="Subtitle"/>
    <w:basedOn w:val="1"/>
    <w:next w:val="1"/>
    <w:link w:val="39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Theme="minorEastAsia"/>
      <w:b/>
      <w:bCs/>
      <w:kern w:val="28"/>
      <w:sz w:val="32"/>
      <w:szCs w:val="32"/>
    </w:rPr>
  </w:style>
  <w:style w:type="paragraph" w:styleId="21">
    <w:name w:val="toc 6"/>
    <w:basedOn w:val="1"/>
    <w:next w:val="1"/>
    <w:qFormat/>
    <w:uiPriority w:val="0"/>
    <w:pPr>
      <w:ind w:left="2100" w:leftChars="1000"/>
    </w:pPr>
  </w:style>
  <w:style w:type="paragraph" w:styleId="22">
    <w:name w:val="Body Text Indent 3"/>
    <w:basedOn w:val="1"/>
    <w:link w:val="5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toc 2"/>
    <w:basedOn w:val="1"/>
    <w:next w:val="1"/>
    <w:qFormat/>
    <w:uiPriority w:val="0"/>
    <w:pPr>
      <w:widowControl/>
      <w:tabs>
        <w:tab w:val="left" w:pos="851"/>
        <w:tab w:val="right" w:leader="dot" w:pos="8296"/>
      </w:tabs>
      <w:ind w:left="560" w:leftChars="200"/>
      <w:jc w:val="left"/>
    </w:pPr>
    <w:rPr>
      <w:rFonts w:ascii="宋体" w:hAnsi="宋体" w:cs="宋体"/>
      <w:kern w:val="0"/>
      <w:sz w:val="28"/>
      <w:szCs w:val="24"/>
    </w:rPr>
  </w:style>
  <w:style w:type="paragraph" w:styleId="24">
    <w:name w:val="toc 9"/>
    <w:basedOn w:val="1"/>
    <w:next w:val="1"/>
    <w:qFormat/>
    <w:uiPriority w:val="0"/>
    <w:pPr>
      <w:ind w:left="3360" w:leftChars="1600"/>
    </w:pPr>
  </w:style>
  <w:style w:type="paragraph" w:styleId="2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6">
    <w:name w:val="Title"/>
    <w:basedOn w:val="2"/>
    <w:next w:val="1"/>
    <w:link w:val="40"/>
    <w:qFormat/>
    <w:uiPriority w:val="0"/>
    <w:pPr>
      <w:spacing w:before="240" w:after="60"/>
      <w:jc w:val="center"/>
    </w:pPr>
    <w:rPr>
      <w:rFonts w:ascii="Cambria" w:hAnsi="Cambria"/>
      <w:kern w:val="2"/>
      <w:sz w:val="32"/>
      <w:szCs w:val="32"/>
    </w:rPr>
  </w:style>
  <w:style w:type="paragraph" w:styleId="27">
    <w:name w:val="annotation subject"/>
    <w:basedOn w:val="6"/>
    <w:next w:val="6"/>
    <w:link w:val="69"/>
    <w:semiHidden/>
    <w:unhideWhenUsed/>
    <w:qFormat/>
    <w:uiPriority w:val="99"/>
    <w:rPr>
      <w:b/>
      <w:bCs/>
    </w:rPr>
  </w:style>
  <w:style w:type="table" w:styleId="29">
    <w:name w:val="Table Grid"/>
    <w:basedOn w:val="28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1">
    <w:name w:val="page number"/>
    <w:basedOn w:val="30"/>
    <w:qFormat/>
    <w:uiPriority w:val="0"/>
  </w:style>
  <w:style w:type="character" w:styleId="32">
    <w:name w:val="Hyperlink"/>
    <w:qFormat/>
    <w:uiPriority w:val="0"/>
    <w:rPr>
      <w:color w:val="0000FF"/>
      <w:u w:val="single"/>
    </w:rPr>
  </w:style>
  <w:style w:type="character" w:styleId="33">
    <w:name w:val="annotation reference"/>
    <w:basedOn w:val="30"/>
    <w:semiHidden/>
    <w:unhideWhenUsed/>
    <w:qFormat/>
    <w:uiPriority w:val="99"/>
    <w:rPr>
      <w:sz w:val="21"/>
      <w:szCs w:val="21"/>
    </w:rPr>
  </w:style>
  <w:style w:type="character" w:customStyle="1" w:styleId="34">
    <w:name w:val="页眉 Char"/>
    <w:basedOn w:val="30"/>
    <w:link w:val="17"/>
    <w:qFormat/>
    <w:uiPriority w:val="99"/>
    <w:rPr>
      <w:sz w:val="18"/>
      <w:szCs w:val="18"/>
    </w:rPr>
  </w:style>
  <w:style w:type="character" w:customStyle="1" w:styleId="35">
    <w:name w:val="页脚 Char"/>
    <w:basedOn w:val="30"/>
    <w:link w:val="16"/>
    <w:semiHidden/>
    <w:qFormat/>
    <w:uiPriority w:val="99"/>
    <w:rPr>
      <w:sz w:val="18"/>
      <w:szCs w:val="18"/>
    </w:rPr>
  </w:style>
  <w:style w:type="character" w:customStyle="1" w:styleId="36">
    <w:name w:val="标题 1 Char"/>
    <w:basedOn w:val="3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7">
    <w:name w:val="标题 2 Char"/>
    <w:basedOn w:val="30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8">
    <w:name w:val="标题 3 Char"/>
    <w:basedOn w:val="30"/>
    <w:link w:val="4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39">
    <w:name w:val="副标题 Char"/>
    <w:basedOn w:val="30"/>
    <w:link w:val="20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0">
    <w:name w:val="标题 Char"/>
    <w:basedOn w:val="30"/>
    <w:link w:val="26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41">
    <w:name w:val="tb"/>
    <w:basedOn w:val="30"/>
    <w:qFormat/>
    <w:uiPriority w:val="0"/>
  </w:style>
  <w:style w:type="character" w:customStyle="1" w:styleId="42">
    <w:name w:val="apple-style-span"/>
    <w:basedOn w:val="30"/>
    <w:qFormat/>
    <w:uiPriority w:val="0"/>
  </w:style>
  <w:style w:type="character" w:customStyle="1" w:styleId="43">
    <w:name w:val="tf1"/>
    <w:basedOn w:val="30"/>
    <w:qFormat/>
    <w:uiPriority w:val="0"/>
    <w:rPr>
      <w:spacing w:val="300"/>
      <w:sz w:val="18"/>
      <w:szCs w:val="18"/>
    </w:rPr>
  </w:style>
  <w:style w:type="paragraph" w:customStyle="1" w:styleId="44">
    <w:name w:val="注解（小四，楷体）"/>
    <w:basedOn w:val="1"/>
    <w:qFormat/>
    <w:uiPriority w:val="0"/>
    <w:pPr>
      <w:widowControl/>
      <w:contextualSpacing/>
      <w:jc w:val="left"/>
    </w:pPr>
    <w:rPr>
      <w:rFonts w:ascii="楷体" w:hAnsi="楷体" w:eastAsia="楷体"/>
      <w:kern w:val="0"/>
      <w:sz w:val="24"/>
      <w:szCs w:val="24"/>
    </w:rPr>
  </w:style>
  <w:style w:type="paragraph" w:styleId="45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6">
    <w:name w:val="正文文本缩进 2 Char"/>
    <w:basedOn w:val="30"/>
    <w:link w:val="14"/>
    <w:qFormat/>
    <w:uiPriority w:val="0"/>
    <w:rPr>
      <w:rFonts w:ascii="仿宋_GB2312" w:hAnsi="Times New Roman" w:eastAsia="仿宋_GB2312" w:cs="Times New Roman"/>
      <w:b/>
      <w:kern w:val="0"/>
      <w:szCs w:val="20"/>
    </w:rPr>
  </w:style>
  <w:style w:type="character" w:customStyle="1" w:styleId="47">
    <w:name w:val="正文文本缩进 Char"/>
    <w:basedOn w:val="30"/>
    <w:link w:val="8"/>
    <w:qFormat/>
    <w:uiPriority w:val="0"/>
    <w:rPr>
      <w:rFonts w:ascii="仿宋_GB2312" w:hAnsi="Times New Roman" w:eastAsia="仿宋_GB2312" w:cs="Times New Roman"/>
      <w:kern w:val="0"/>
      <w:sz w:val="24"/>
    </w:rPr>
  </w:style>
  <w:style w:type="paragraph" w:customStyle="1" w:styleId="48">
    <w:name w:val="a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表格（小四，宋体）"/>
    <w:basedOn w:val="1"/>
    <w:qFormat/>
    <w:uiPriority w:val="0"/>
    <w:pPr>
      <w:widowControl/>
      <w:contextualSpacing/>
      <w:jc w:val="left"/>
    </w:pPr>
    <w:rPr>
      <w:rFonts w:ascii="宋体" w:hAnsi="宋体"/>
      <w:kern w:val="0"/>
      <w:sz w:val="24"/>
      <w:szCs w:val="24"/>
    </w:rPr>
  </w:style>
  <w:style w:type="paragraph" w:customStyle="1" w:styleId="50">
    <w:name w:val="正文文本 21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character" w:customStyle="1" w:styleId="51">
    <w:name w:val="正文文本缩进 3 Char"/>
    <w:basedOn w:val="30"/>
    <w:link w:val="2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52">
    <w:name w:val="正文文本 Char"/>
    <w:basedOn w:val="30"/>
    <w:link w:val="7"/>
    <w:qFormat/>
    <w:uiPriority w:val="0"/>
    <w:rPr>
      <w:rFonts w:ascii="Times New Roman" w:hAnsi="Times New Roman" w:eastAsia="宋体" w:cs="Times New Roman"/>
    </w:rPr>
  </w:style>
  <w:style w:type="paragraph" w:customStyle="1" w:styleId="53">
    <w:name w:val="正文文本 211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54">
    <w:name w:val="正文文本 22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5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6">
    <w:name w:val="标题 Char1"/>
    <w:basedOn w:val="3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57">
    <w:name w:val="纯文本 Char"/>
    <w:basedOn w:val="30"/>
    <w:link w:val="12"/>
    <w:qFormat/>
    <w:uiPriority w:val="0"/>
    <w:rPr>
      <w:rFonts w:ascii="宋体" w:hAnsi="Courier New" w:eastAsia="宋体" w:cs="Times New Roman"/>
      <w:szCs w:val="20"/>
    </w:rPr>
  </w:style>
  <w:style w:type="paragraph" w:customStyle="1" w:styleId="58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59">
    <w:name w:val="副标题 Char1"/>
    <w:basedOn w:val="30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60">
    <w:name w:val="列出段落1"/>
    <w:basedOn w:val="1"/>
    <w:qFormat/>
    <w:uiPriority w:val="34"/>
    <w:pPr>
      <w:ind w:firstLine="420" w:firstLineChars="200"/>
    </w:pPr>
  </w:style>
  <w:style w:type="paragraph" w:customStyle="1" w:styleId="61">
    <w:name w:val="条款大标题"/>
    <w:basedOn w:val="26"/>
    <w:link w:val="65"/>
    <w:qFormat/>
    <w:uiPriority w:val="0"/>
    <w:pPr>
      <w:snapToGrid w:val="0"/>
    </w:pPr>
  </w:style>
  <w:style w:type="paragraph" w:customStyle="1" w:styleId="62">
    <w:name w:val="条款标题"/>
    <w:basedOn w:val="1"/>
    <w:qFormat/>
    <w:uiPriority w:val="0"/>
    <w:pPr>
      <w:tabs>
        <w:tab w:val="left" w:pos="840"/>
      </w:tabs>
    </w:pPr>
    <w:rPr>
      <w:b/>
    </w:rPr>
  </w:style>
  <w:style w:type="paragraph" w:customStyle="1" w:styleId="63">
    <w:name w:val="条款正文"/>
    <w:basedOn w:val="1"/>
    <w:qFormat/>
    <w:uiPriority w:val="0"/>
    <w:pPr>
      <w:adjustRightInd w:val="0"/>
      <w:snapToGrid w:val="0"/>
      <w:ind w:left="840" w:leftChars="400" w:firstLine="420" w:firstLineChars="200"/>
    </w:pPr>
    <w:rPr>
      <w:szCs w:val="24"/>
    </w:rPr>
  </w:style>
  <w:style w:type="paragraph" w:styleId="64">
    <w:name w:val="List Paragraph"/>
    <w:basedOn w:val="1"/>
    <w:qFormat/>
    <w:uiPriority w:val="34"/>
    <w:pPr>
      <w:ind w:firstLine="420" w:firstLineChars="200"/>
    </w:pPr>
  </w:style>
  <w:style w:type="character" w:customStyle="1" w:styleId="65">
    <w:name w:val="条款大标题 Char"/>
    <w:basedOn w:val="30"/>
    <w:link w:val="6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paragraph" w:customStyle="1" w:styleId="66">
    <w:name w:val="第一條"/>
    <w:basedOn w:val="7"/>
    <w:qFormat/>
    <w:uiPriority w:val="0"/>
    <w:pPr>
      <w:widowControl/>
      <w:numPr>
        <w:ilvl w:val="0"/>
        <w:numId w:val="1"/>
      </w:numPr>
      <w:tabs>
        <w:tab w:val="left" w:pos="1134"/>
        <w:tab w:val="clear" w:pos="1573"/>
      </w:tabs>
      <w:spacing w:after="0" w:line="380" w:lineRule="exact"/>
      <w:ind w:left="720" w:right="63" w:hanging="720"/>
    </w:pPr>
    <w:rPr>
      <w:rFonts w:eastAsia="DFKai-SB"/>
      <w:kern w:val="0"/>
      <w:sz w:val="24"/>
      <w:szCs w:val="20"/>
      <w:lang w:eastAsia="zh-TW"/>
    </w:rPr>
  </w:style>
  <w:style w:type="character" w:customStyle="1" w:styleId="67">
    <w:name w:val="font11"/>
    <w:basedOn w:val="3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68">
    <w:name w:val="批注文字 Char"/>
    <w:basedOn w:val="30"/>
    <w:link w:val="6"/>
    <w:semiHidden/>
    <w:qFormat/>
    <w:uiPriority w:val="99"/>
    <w:rPr>
      <w:kern w:val="2"/>
      <w:sz w:val="21"/>
      <w:szCs w:val="22"/>
    </w:rPr>
  </w:style>
  <w:style w:type="character" w:customStyle="1" w:styleId="69">
    <w:name w:val="批注主题 Char"/>
    <w:basedOn w:val="68"/>
    <w:link w:val="27"/>
    <w:semiHidden/>
    <w:qFormat/>
    <w:uiPriority w:val="99"/>
    <w:rPr>
      <w:b/>
      <w:bCs/>
      <w:kern w:val="2"/>
      <w:sz w:val="21"/>
      <w:szCs w:val="22"/>
    </w:rPr>
  </w:style>
  <w:style w:type="character" w:customStyle="1" w:styleId="70">
    <w:name w:val="批注框文本 Char"/>
    <w:basedOn w:val="30"/>
    <w:link w:val="1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201</Words>
  <Characters>1146</Characters>
  <Lines>9</Lines>
  <Paragraphs>2</Paragraphs>
  <TotalTime>70</TotalTime>
  <ScaleCrop>false</ScaleCrop>
  <LinksUpToDate>false</LinksUpToDate>
  <CharactersWithSpaces>1345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2016-11-11T00:28:00Z</dcterms:created>
  <dc:creator>封树静</dc:creator>
  <cp:lastModifiedBy>Zixuan Shen</cp:lastModifiedBy>
  <cp:lastPrinted>2015-12-29T02:27:00Z</cp:lastPrinted>
  <dcterms:modified xsi:type="dcterms:W3CDTF">2022-06-28T16:40:30Z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639DD7E364FB46BD956266C5BD88DFD1</vt:lpwstr>
  </property>
  <property fmtid="{D5CDD505-2E9C-101B-9397-08002B2CF9AE}" pid="4" name="commondata">
    <vt:lpwstr>eyJoZGlkIjoiMDRiMmE0ZjljZDExM2YyODdkMDQ1ZGRhYjY0YmQ5MmQifQ==</vt:lpwstr>
  </property>
</Properties>
</file>