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C7C9D0">
      <w:pPr>
        <w:jc w:val="center"/>
        <w:rPr>
          <w:rFonts w:asciiTheme="majorEastAsia" w:hAnsiTheme="majorEastAsia" w:eastAsiaTheme="majorEastAsia"/>
          <w:b/>
          <w:sz w:val="28"/>
          <w:szCs w:val="28"/>
        </w:rPr>
      </w:pPr>
      <w:bookmarkStart w:id="0" w:name="_Toc358450011"/>
      <w:r>
        <w:rPr>
          <w:rFonts w:hint="eastAsia" w:asciiTheme="majorEastAsia" w:hAnsiTheme="majorEastAsia" w:eastAsiaTheme="majorEastAsia"/>
          <w:b/>
          <w:sz w:val="28"/>
          <w:szCs w:val="28"/>
        </w:rPr>
        <w:t>华农财产保险股份有限公司学生、幼儿意外伤害保险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B款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费率</w:t>
      </w:r>
      <w:bookmarkEnd w:id="0"/>
      <w:r>
        <w:rPr>
          <w:rFonts w:hint="eastAsia" w:asciiTheme="majorEastAsia" w:hAnsiTheme="majorEastAsia" w:eastAsiaTheme="majorEastAsia"/>
          <w:b/>
          <w:sz w:val="28"/>
          <w:szCs w:val="28"/>
        </w:rPr>
        <w:t>表</w:t>
      </w:r>
    </w:p>
    <w:p w14:paraId="4FFFE2CF">
      <w:pPr>
        <w:rPr>
          <w:b/>
          <w:sz w:val="28"/>
          <w:szCs w:val="28"/>
        </w:rPr>
      </w:pPr>
    </w:p>
    <w:p w14:paraId="793D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一、基准费率</w:t>
      </w:r>
    </w:p>
    <w:p w14:paraId="14FD6C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cs="宋体"/>
          <w:b/>
          <w:bCs/>
          <w:szCs w:val="21"/>
        </w:rPr>
      </w:pPr>
      <w:r>
        <w:rPr>
          <w:rFonts w:hint="default" w:ascii="宋体" w:hAnsi="宋体" w:cs="宋体"/>
          <w:szCs w:val="21"/>
        </w:rPr>
        <w:t>0.3</w:t>
      </w:r>
      <w:r>
        <w:rPr>
          <w:rFonts w:ascii="宋体" w:hAnsi="宋体" w:cs="宋体"/>
          <w:szCs w:val="21"/>
        </w:rPr>
        <w:t>‰</w:t>
      </w:r>
    </w:p>
    <w:p w14:paraId="7D5308EC">
      <w:pPr>
        <w:adjustRightInd w:val="0"/>
        <w:snapToGrid w:val="0"/>
        <w:spacing w:line="460" w:lineRule="exact"/>
        <w:rPr>
          <w:rFonts w:ascii="宋体" w:hAnsi="宋体" w:cs="宋体"/>
          <w:szCs w:val="21"/>
        </w:rPr>
      </w:pPr>
    </w:p>
    <w:p w14:paraId="6D232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二、费率</w:t>
      </w:r>
      <w:r>
        <w:rPr>
          <w:rFonts w:hint="eastAsia" w:ascii="宋体" w:hAnsi="宋体" w:eastAsia="宋体" w:cs="宋体"/>
          <w:b/>
          <w:bCs/>
          <w:szCs w:val="21"/>
        </w:rPr>
        <w:t>调整</w:t>
      </w:r>
      <w:r>
        <w:rPr>
          <w:rFonts w:hint="eastAsia" w:ascii="宋体" w:hAnsi="宋体" w:cs="宋体"/>
          <w:b/>
          <w:bCs/>
          <w:szCs w:val="21"/>
        </w:rPr>
        <w:t>系数</w:t>
      </w:r>
    </w:p>
    <w:p w14:paraId="56456391">
      <w:pPr>
        <w:pStyle w:val="33"/>
        <w:adjustRightInd w:val="0"/>
        <w:snapToGrid w:val="0"/>
        <w:spacing w:line="240" w:lineRule="auto"/>
        <w:ind w:firstLine="0" w:firstLineChars="0"/>
        <w:rPr>
          <w:rFonts w:hint="default" w:ascii="宋体" w:hAnsi="宋体" w:cs="宋体"/>
          <w:b w:val="0"/>
          <w:bCs w:val="0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Cs w:val="21"/>
          <w:lang w:val="en-US" w:eastAsia="zh-CN"/>
        </w:rPr>
        <w:t>1、经验/预期赔付率调整系数（F1）</w:t>
      </w:r>
    </w:p>
    <w:tbl>
      <w:tblPr>
        <w:tblStyle w:val="1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06"/>
        <w:gridCol w:w="2416"/>
      </w:tblGrid>
      <w:tr w14:paraId="13D98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6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F8257D"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经验/预期赔付率</w:t>
            </w:r>
          </w:p>
        </w:tc>
        <w:tc>
          <w:tcPr>
            <w:tcW w:w="2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1A7D7"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调整系数</w:t>
            </w:r>
          </w:p>
        </w:tc>
      </w:tr>
      <w:tr w14:paraId="2A09D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6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93FFF"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0%-65%（含）</w:t>
            </w:r>
          </w:p>
        </w:tc>
        <w:tc>
          <w:tcPr>
            <w:tcW w:w="2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7BA24"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[0.7,1.0]</w:t>
            </w:r>
          </w:p>
        </w:tc>
      </w:tr>
      <w:tr w14:paraId="00B0EE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6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DEC1C"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65%以上</w:t>
            </w:r>
          </w:p>
        </w:tc>
        <w:tc>
          <w:tcPr>
            <w:tcW w:w="2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0A9FB"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(1.0,1.3]</w:t>
            </w:r>
          </w:p>
        </w:tc>
      </w:tr>
    </w:tbl>
    <w:p w14:paraId="720CCAE1">
      <w:pPr>
        <w:pStyle w:val="33"/>
        <w:adjustRightInd w:val="0"/>
        <w:snapToGrid w:val="0"/>
        <w:spacing w:line="240" w:lineRule="auto"/>
        <w:ind w:firstLine="0" w:firstLineChars="0"/>
        <w:rPr>
          <w:rFonts w:hint="eastAsia" w:ascii="宋体" w:hAnsi="宋体" w:cs="宋体"/>
          <w:b w:val="0"/>
          <w:bCs w:val="0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Cs w:val="21"/>
          <w:lang w:val="en-US" w:eastAsia="zh-CN"/>
        </w:rPr>
        <w:t>2、渠道调整系数（F2）</w:t>
      </w:r>
    </w:p>
    <w:tbl>
      <w:tblPr>
        <w:tblStyle w:val="1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9"/>
        <w:gridCol w:w="2443"/>
      </w:tblGrid>
      <w:tr w14:paraId="742C5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6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245B8B"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渠道类型</w:t>
            </w:r>
          </w:p>
        </w:tc>
        <w:tc>
          <w:tcPr>
            <w:tcW w:w="2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7D0E33"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调整系数</w:t>
            </w:r>
          </w:p>
        </w:tc>
      </w:tr>
      <w:tr w14:paraId="50C8C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6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204757"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直销（或销售费用率等同直销的渠道）</w:t>
            </w:r>
          </w:p>
        </w:tc>
        <w:tc>
          <w:tcPr>
            <w:tcW w:w="2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21354"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[0.7,1.0]</w:t>
            </w:r>
          </w:p>
        </w:tc>
      </w:tr>
      <w:tr w14:paraId="661E2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6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127248"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其他第三方渠道</w:t>
            </w:r>
          </w:p>
        </w:tc>
        <w:tc>
          <w:tcPr>
            <w:tcW w:w="2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D8B787"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(1.0,1.3]</w:t>
            </w:r>
          </w:p>
        </w:tc>
      </w:tr>
    </w:tbl>
    <w:p w14:paraId="21247CC9">
      <w:pPr>
        <w:pStyle w:val="33"/>
        <w:adjustRightInd w:val="0"/>
        <w:snapToGrid w:val="0"/>
        <w:spacing w:line="240" w:lineRule="auto"/>
        <w:ind w:firstLine="0" w:firstLineChars="0"/>
        <w:rPr>
          <w:rFonts w:hint="default" w:ascii="宋体" w:hAnsi="宋体" w:cs="宋体"/>
          <w:b w:val="0"/>
          <w:bCs w:val="0"/>
          <w:szCs w:val="21"/>
          <w:lang w:val="en-US" w:eastAsia="zh-CN"/>
        </w:rPr>
      </w:pPr>
      <w:r>
        <w:rPr>
          <w:rFonts w:hint="default" w:ascii="宋体" w:hAnsi="宋体" w:cs="宋体"/>
          <w:b w:val="0"/>
          <w:bCs w:val="0"/>
          <w:szCs w:val="21"/>
          <w:lang w:val="en-US" w:eastAsia="zh-CN"/>
        </w:rPr>
        <w:t>注：根据渠道销售费用率水平按比例调整。</w:t>
      </w:r>
    </w:p>
    <w:p w14:paraId="4BF93823">
      <w:pPr>
        <w:pStyle w:val="33"/>
        <w:adjustRightInd w:val="0"/>
        <w:snapToGrid w:val="0"/>
        <w:spacing w:line="240" w:lineRule="auto"/>
        <w:ind w:firstLine="0" w:firstLineChars="0"/>
        <w:rPr>
          <w:rFonts w:hint="default" w:ascii="宋体" w:hAnsi="宋体" w:eastAsia="宋体" w:cs="宋体"/>
          <w:b w:val="0"/>
          <w:bCs w:val="0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Cs w:val="21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/>
          <w:szCs w:val="21"/>
        </w:rPr>
        <w:t>渠道年度预计投保规模</w:t>
      </w:r>
      <w:r>
        <w:rPr>
          <w:rFonts w:hint="eastAsia" w:ascii="宋体" w:hAnsi="宋体" w:cs="宋体"/>
          <w:b w:val="0"/>
          <w:bCs/>
          <w:szCs w:val="21"/>
          <w:lang w:val="en-US" w:eastAsia="zh-CN"/>
        </w:rPr>
        <w:t>调整系数（F3）</w:t>
      </w:r>
    </w:p>
    <w:tbl>
      <w:tblPr>
        <w:tblStyle w:val="1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3"/>
        <w:gridCol w:w="2396"/>
      </w:tblGrid>
      <w:tr w14:paraId="0C640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123" w:type="dxa"/>
            <w:shd w:val="clear" w:color="auto" w:fill="auto"/>
            <w:noWrap/>
            <w:vAlign w:val="center"/>
          </w:tcPr>
          <w:p w14:paraId="11CFA5B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渠道年度预计投保规模</w:t>
            </w:r>
          </w:p>
        </w:tc>
        <w:tc>
          <w:tcPr>
            <w:tcW w:w="2396" w:type="dxa"/>
            <w:shd w:val="clear" w:color="auto" w:fill="auto"/>
            <w:noWrap/>
            <w:vAlign w:val="center"/>
          </w:tcPr>
          <w:p w14:paraId="3028E0C4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调整系数</w:t>
            </w:r>
          </w:p>
        </w:tc>
      </w:tr>
      <w:tr w14:paraId="4D09B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123" w:type="dxa"/>
            <w:shd w:val="clear" w:color="auto" w:fill="auto"/>
            <w:noWrap/>
            <w:vAlign w:val="center"/>
          </w:tcPr>
          <w:p w14:paraId="50F76647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≤50人</w:t>
            </w:r>
          </w:p>
        </w:tc>
        <w:tc>
          <w:tcPr>
            <w:tcW w:w="2396" w:type="dxa"/>
            <w:shd w:val="clear" w:color="auto" w:fill="auto"/>
            <w:noWrap/>
            <w:vAlign w:val="center"/>
          </w:tcPr>
          <w:p w14:paraId="0F7417DD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(1.0,1.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]</w:t>
            </w:r>
          </w:p>
        </w:tc>
      </w:tr>
      <w:tr w14:paraId="0A86D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6123" w:type="dxa"/>
            <w:shd w:val="clear" w:color="auto" w:fill="auto"/>
            <w:noWrap/>
            <w:vAlign w:val="center"/>
          </w:tcPr>
          <w:p w14:paraId="66075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szCs w:val="21"/>
              </w:rPr>
              <w:t>500人</w:t>
            </w:r>
          </w:p>
        </w:tc>
        <w:tc>
          <w:tcPr>
            <w:tcW w:w="2396" w:type="dxa"/>
            <w:shd w:val="clear" w:color="auto" w:fill="auto"/>
            <w:noWrap/>
            <w:vAlign w:val="center"/>
          </w:tcPr>
          <w:p w14:paraId="3BF5455B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(0.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szCs w:val="21"/>
              </w:rPr>
              <w:t>,1.0]</w:t>
            </w:r>
          </w:p>
        </w:tc>
      </w:tr>
      <w:tr w14:paraId="616F2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123" w:type="dxa"/>
            <w:shd w:val="clear" w:color="auto" w:fill="auto"/>
            <w:noWrap/>
            <w:vAlign w:val="center"/>
          </w:tcPr>
          <w:p w14:paraId="22089550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szCs w:val="21"/>
              </w:rPr>
              <w:t>1000人</w:t>
            </w:r>
          </w:p>
        </w:tc>
        <w:tc>
          <w:tcPr>
            <w:tcW w:w="2396" w:type="dxa"/>
            <w:shd w:val="clear" w:color="auto" w:fill="auto"/>
            <w:noWrap/>
            <w:vAlign w:val="center"/>
          </w:tcPr>
          <w:p w14:paraId="4201AB32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(0.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Cs w:val="21"/>
              </w:rPr>
              <w:t>,0.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szCs w:val="21"/>
              </w:rPr>
              <w:t>]</w:t>
            </w:r>
          </w:p>
        </w:tc>
      </w:tr>
      <w:tr w14:paraId="51F09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6123" w:type="dxa"/>
            <w:shd w:val="clear" w:color="auto" w:fill="auto"/>
            <w:noWrap/>
            <w:vAlign w:val="center"/>
          </w:tcPr>
          <w:p w14:paraId="1703EC5E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＞1000人</w:t>
            </w:r>
          </w:p>
        </w:tc>
        <w:tc>
          <w:tcPr>
            <w:tcW w:w="2396" w:type="dxa"/>
            <w:shd w:val="clear" w:color="auto" w:fill="auto"/>
            <w:noWrap/>
            <w:vAlign w:val="center"/>
          </w:tcPr>
          <w:p w14:paraId="59C0487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szCs w:val="21"/>
              </w:rPr>
              <w:t>,0.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Cs w:val="21"/>
              </w:rPr>
              <w:t>]</w:t>
            </w:r>
          </w:p>
        </w:tc>
      </w:tr>
    </w:tbl>
    <w:p w14:paraId="31B7E687">
      <w:pPr>
        <w:pStyle w:val="33"/>
        <w:adjustRightInd w:val="0"/>
        <w:snapToGrid w:val="0"/>
        <w:spacing w:line="240" w:lineRule="auto"/>
        <w:ind w:firstLine="0" w:firstLineChars="0"/>
        <w:rPr>
          <w:rFonts w:hint="default" w:ascii="宋体" w:hAnsi="宋体" w:cs="宋体"/>
          <w:b w:val="0"/>
          <w:bCs w:val="0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Cs w:val="21"/>
          <w:lang w:val="en-US" w:eastAsia="zh-CN"/>
        </w:rPr>
        <w:t>4、学校类别调整系数（F4）</w:t>
      </w:r>
    </w:p>
    <w:tbl>
      <w:tblPr>
        <w:tblStyle w:val="1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06"/>
        <w:gridCol w:w="2416"/>
      </w:tblGrid>
      <w:tr w14:paraId="2CD04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6" w:type="dxa"/>
            <w:shd w:val="clear" w:color="auto" w:fill="auto"/>
            <w:noWrap/>
            <w:vAlign w:val="center"/>
          </w:tcPr>
          <w:p w14:paraId="7850A250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学校类别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14:paraId="42E0047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调整系数</w:t>
            </w:r>
          </w:p>
        </w:tc>
      </w:tr>
      <w:tr w14:paraId="4E9D2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6" w:type="dxa"/>
            <w:shd w:val="clear" w:color="auto" w:fill="auto"/>
            <w:noWrap/>
            <w:vAlign w:val="center"/>
          </w:tcPr>
          <w:p w14:paraId="3BCBDF67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大学、大专院校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14:paraId="613BA7A6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[0.7,0.8)</w:t>
            </w:r>
          </w:p>
        </w:tc>
      </w:tr>
      <w:tr w14:paraId="42377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6" w:type="dxa"/>
            <w:shd w:val="clear" w:color="auto" w:fill="auto"/>
            <w:noWrap/>
            <w:vAlign w:val="center"/>
          </w:tcPr>
          <w:p w14:paraId="0C62E3FE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中学（含初中、高中）、中专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14:paraId="2F7D9DF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[0.8,0.9)</w:t>
            </w:r>
          </w:p>
        </w:tc>
      </w:tr>
      <w:tr w14:paraId="48467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6" w:type="dxa"/>
            <w:shd w:val="clear" w:color="auto" w:fill="auto"/>
            <w:noWrap/>
            <w:vAlign w:val="center"/>
          </w:tcPr>
          <w:p w14:paraId="63C78937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小学生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14:paraId="6F69761B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[0.9,1.0)</w:t>
            </w:r>
          </w:p>
        </w:tc>
      </w:tr>
      <w:tr w14:paraId="14BBB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6" w:type="dxa"/>
            <w:shd w:val="clear" w:color="auto" w:fill="auto"/>
            <w:noWrap/>
            <w:vAlign w:val="center"/>
          </w:tcPr>
          <w:p w14:paraId="2301CA7F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幼儿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园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14:paraId="006E72ED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[1.0,1.3]</w:t>
            </w:r>
          </w:p>
        </w:tc>
      </w:tr>
      <w:tr w14:paraId="3C9F0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6" w:type="dxa"/>
            <w:shd w:val="clear" w:color="auto" w:fill="auto"/>
            <w:noWrap/>
            <w:vAlign w:val="center"/>
          </w:tcPr>
          <w:p w14:paraId="2D8B92CF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其他（特殊学校；体育、武术学校；职业学校等）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14:paraId="1BCFD4F9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(1.0</w:t>
            </w:r>
            <w:r>
              <w:rPr>
                <w:rFonts w:hint="eastAsia" w:ascii="宋体" w:hAnsi="宋体" w:cs="宋体"/>
                <w:szCs w:val="21"/>
              </w:rPr>
              <w:t>,1.3]</w:t>
            </w:r>
          </w:p>
        </w:tc>
      </w:tr>
    </w:tbl>
    <w:p w14:paraId="62D4A8C5">
      <w:pPr>
        <w:pStyle w:val="33"/>
        <w:numPr>
          <w:ilvl w:val="0"/>
          <w:numId w:val="0"/>
        </w:numPr>
        <w:adjustRightInd w:val="0"/>
        <w:snapToGrid w:val="0"/>
        <w:spacing w:line="240" w:lineRule="auto"/>
        <w:ind w:firstLine="0" w:firstLineChars="0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1"/>
          <w:lang w:val="en-US" w:eastAsia="zh-CN" w:bidi="ar-SA"/>
        </w:rPr>
        <w:t>5、</w:t>
      </w:r>
      <w:bookmarkStart w:id="1" w:name="OLE_LINK1"/>
      <w:r>
        <w:rPr>
          <w:rFonts w:hint="eastAsia" w:ascii="宋体" w:hAnsi="宋体" w:cs="宋体"/>
          <w:sz w:val="22"/>
          <w:szCs w:val="21"/>
          <w:lang w:val="en-US" w:eastAsia="zh-CN" w:bidi="ar-SA"/>
        </w:rPr>
        <w:t>被保险人</w:t>
      </w:r>
      <w:r>
        <w:rPr>
          <w:rFonts w:hint="eastAsia" w:ascii="宋体" w:hAnsi="宋体" w:cs="宋体"/>
          <w:sz w:val="21"/>
          <w:szCs w:val="21"/>
        </w:rPr>
        <w:t>所在学校安全管理</w:t>
      </w:r>
      <w:r>
        <w:rPr>
          <w:rFonts w:hint="eastAsia" w:ascii="宋体" w:hAnsi="宋体" w:cs="宋体"/>
          <w:szCs w:val="21"/>
        </w:rPr>
        <w:t>水平</w:t>
      </w:r>
      <w:bookmarkEnd w:id="1"/>
      <w:r>
        <w:rPr>
          <w:rFonts w:hint="eastAsia" w:ascii="宋体" w:hAnsi="宋体" w:cs="宋体"/>
          <w:szCs w:val="21"/>
          <w:lang w:val="en-US" w:eastAsia="zh-CN"/>
        </w:rPr>
        <w:t>调整系数（F5）</w:t>
      </w:r>
    </w:p>
    <w:tbl>
      <w:tblPr>
        <w:tblStyle w:val="1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5"/>
        <w:gridCol w:w="2407"/>
      </w:tblGrid>
      <w:tr w14:paraId="6BE2C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15" w:type="dxa"/>
            <w:shd w:val="clear" w:color="auto" w:fill="auto"/>
            <w:noWrap/>
            <w:vAlign w:val="center"/>
          </w:tcPr>
          <w:p w14:paraId="546416AB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被保险人</w:t>
            </w:r>
            <w:r>
              <w:rPr>
                <w:rFonts w:hint="eastAsia" w:ascii="宋体" w:hAnsi="宋体" w:cs="宋体"/>
                <w:sz w:val="21"/>
                <w:szCs w:val="21"/>
              </w:rPr>
              <w:t>所在学校安全管理</w:t>
            </w:r>
            <w:r>
              <w:rPr>
                <w:rFonts w:hint="eastAsia" w:ascii="宋体" w:hAnsi="宋体" w:cs="宋体"/>
                <w:szCs w:val="21"/>
              </w:rPr>
              <w:t>水平</w:t>
            </w:r>
          </w:p>
        </w:tc>
        <w:tc>
          <w:tcPr>
            <w:tcW w:w="2407" w:type="dxa"/>
            <w:shd w:val="clear" w:color="auto" w:fill="auto"/>
            <w:noWrap/>
            <w:vAlign w:val="center"/>
          </w:tcPr>
          <w:p w14:paraId="0EB304E8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调整系数</w:t>
            </w:r>
          </w:p>
        </w:tc>
      </w:tr>
      <w:tr w14:paraId="22CF3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15" w:type="dxa"/>
            <w:shd w:val="clear" w:color="auto" w:fill="auto"/>
            <w:noWrap/>
            <w:vAlign w:val="center"/>
          </w:tcPr>
          <w:p w14:paraId="44B80B24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所在学校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风险管理规章制度不健全、防灾防损设施不完备、从未进行安全教育培训</w:t>
            </w:r>
          </w:p>
        </w:tc>
        <w:tc>
          <w:tcPr>
            <w:tcW w:w="2407" w:type="dxa"/>
            <w:shd w:val="clear" w:color="auto" w:fill="auto"/>
            <w:noWrap/>
            <w:vAlign w:val="center"/>
          </w:tcPr>
          <w:p w14:paraId="5F37CDCB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(1.0,1.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]</w:t>
            </w:r>
          </w:p>
        </w:tc>
      </w:tr>
      <w:tr w14:paraId="5B4C0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15" w:type="dxa"/>
            <w:shd w:val="clear" w:color="auto" w:fill="auto"/>
            <w:noWrap/>
            <w:vAlign w:val="center"/>
          </w:tcPr>
          <w:p w14:paraId="6A3B6AC7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所在学校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风险管理规章制度较为健全、防灾防损设施较为完备、能够进行安全教育培训</w:t>
            </w:r>
          </w:p>
        </w:tc>
        <w:tc>
          <w:tcPr>
            <w:tcW w:w="2407" w:type="dxa"/>
            <w:shd w:val="clear" w:color="auto" w:fill="auto"/>
            <w:noWrap/>
            <w:vAlign w:val="center"/>
          </w:tcPr>
          <w:p w14:paraId="5B444662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(0.8,1.0]</w:t>
            </w:r>
          </w:p>
        </w:tc>
      </w:tr>
      <w:tr w14:paraId="44008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15" w:type="dxa"/>
            <w:shd w:val="clear" w:color="auto" w:fill="auto"/>
            <w:noWrap/>
            <w:vAlign w:val="center"/>
          </w:tcPr>
          <w:p w14:paraId="36113EFC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所在学校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风险管理规章制度健全、防灾防损设施完备、能够定期进行安全教育培训</w:t>
            </w:r>
          </w:p>
        </w:tc>
        <w:tc>
          <w:tcPr>
            <w:tcW w:w="2407" w:type="dxa"/>
            <w:shd w:val="clear" w:color="auto" w:fill="auto"/>
            <w:noWrap/>
            <w:vAlign w:val="center"/>
          </w:tcPr>
          <w:p w14:paraId="4B7D33A1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</w:t>
            </w:r>
            <w:bookmarkStart w:id="2" w:name="_GoBack"/>
            <w:bookmarkEnd w:id="2"/>
            <w:r>
              <w:rPr>
                <w:rFonts w:hint="eastAsia" w:ascii="宋体" w:hAnsi="宋体" w:cs="宋体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szCs w:val="21"/>
              </w:rPr>
              <w:t>,0.8]</w:t>
            </w:r>
          </w:p>
        </w:tc>
      </w:tr>
    </w:tbl>
    <w:p w14:paraId="43380637">
      <w:pPr>
        <w:pStyle w:val="33"/>
        <w:numPr>
          <w:ilvl w:val="0"/>
          <w:numId w:val="0"/>
        </w:numPr>
        <w:adjustRightInd w:val="0"/>
        <w:snapToGrid w:val="0"/>
        <w:spacing w:line="240" w:lineRule="auto"/>
        <w:ind w:firstLine="0" w:firstLineChars="0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 w:val="22"/>
          <w:szCs w:val="21"/>
          <w:lang w:val="en-US" w:eastAsia="zh-CN" w:bidi="ar-SA"/>
        </w:rPr>
        <w:t>6</w:t>
      </w:r>
      <w:r>
        <w:rPr>
          <w:rFonts w:hint="eastAsia" w:ascii="宋体" w:hAnsi="宋体" w:eastAsia="宋体" w:cs="宋体"/>
          <w:sz w:val="22"/>
          <w:szCs w:val="21"/>
          <w:lang w:val="en-US" w:eastAsia="zh-CN" w:bidi="ar-SA"/>
        </w:rPr>
        <w:t>、</w:t>
      </w:r>
      <w:r>
        <w:rPr>
          <w:rFonts w:hint="eastAsia" w:ascii="宋体" w:hAnsi="宋体" w:cs="宋体"/>
          <w:szCs w:val="21"/>
          <w:lang w:val="en-US" w:eastAsia="zh-CN"/>
        </w:rPr>
        <w:t>当地社会治安情况调整系数（F6）</w:t>
      </w:r>
    </w:p>
    <w:tbl>
      <w:tblPr>
        <w:tblStyle w:val="1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9"/>
        <w:gridCol w:w="2443"/>
      </w:tblGrid>
      <w:tr w14:paraId="29152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79" w:type="dxa"/>
            <w:shd w:val="clear" w:color="auto" w:fill="auto"/>
            <w:vAlign w:val="center"/>
          </w:tcPr>
          <w:p w14:paraId="14C954D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当地社会治安情况</w:t>
            </w:r>
          </w:p>
        </w:tc>
        <w:tc>
          <w:tcPr>
            <w:tcW w:w="2443" w:type="dxa"/>
            <w:shd w:val="clear" w:color="auto" w:fill="auto"/>
            <w:vAlign w:val="center"/>
          </w:tcPr>
          <w:p w14:paraId="05BCF4CA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调整系数</w:t>
            </w:r>
          </w:p>
        </w:tc>
      </w:tr>
      <w:tr w14:paraId="24889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79" w:type="dxa"/>
            <w:shd w:val="clear" w:color="auto" w:fill="auto"/>
            <w:vAlign w:val="center"/>
          </w:tcPr>
          <w:p w14:paraId="7F8DEBF4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区域内交通规划不合理、交通安全管理及社会治安管理水平低，发生交通事故、社会治安案件及其他意外事故风险较高</w:t>
            </w:r>
          </w:p>
        </w:tc>
        <w:tc>
          <w:tcPr>
            <w:tcW w:w="2443" w:type="dxa"/>
            <w:shd w:val="clear" w:color="auto" w:fill="auto"/>
            <w:vAlign w:val="center"/>
          </w:tcPr>
          <w:p w14:paraId="0C047338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default" w:ascii="宋体" w:hAnsi="宋体" w:cs="宋体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</w:rPr>
              <w:t>1.0,1.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]</w:t>
            </w:r>
          </w:p>
        </w:tc>
      </w:tr>
      <w:tr w14:paraId="7D94C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79" w:type="dxa"/>
            <w:shd w:val="clear" w:color="auto" w:fill="auto"/>
            <w:vAlign w:val="center"/>
          </w:tcPr>
          <w:p w14:paraId="402715E8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区域内交通规划较好、交通安全管理及社会治安管理水平较高，发生交通事故、社会治安案件及其他意外事故风险较低</w:t>
            </w:r>
          </w:p>
        </w:tc>
        <w:tc>
          <w:tcPr>
            <w:tcW w:w="2443" w:type="dxa"/>
            <w:shd w:val="clear" w:color="auto" w:fill="auto"/>
            <w:vAlign w:val="center"/>
          </w:tcPr>
          <w:p w14:paraId="77F38F9A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(0.8,1.0]</w:t>
            </w:r>
          </w:p>
        </w:tc>
      </w:tr>
      <w:tr w14:paraId="61BCA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79" w:type="dxa"/>
            <w:shd w:val="clear" w:color="auto" w:fill="auto"/>
            <w:vAlign w:val="center"/>
          </w:tcPr>
          <w:p w14:paraId="6C270570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区域内交通规划合理、交通安全管理及社会治安管理水平高，发生交通事故、社会治安案件及其他意外事故风险很低</w:t>
            </w:r>
          </w:p>
        </w:tc>
        <w:tc>
          <w:tcPr>
            <w:tcW w:w="2443" w:type="dxa"/>
            <w:shd w:val="clear" w:color="auto" w:fill="auto"/>
            <w:vAlign w:val="center"/>
          </w:tcPr>
          <w:p w14:paraId="6A400272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szCs w:val="21"/>
              </w:rPr>
              <w:t>,0.8]</w:t>
            </w:r>
          </w:p>
        </w:tc>
      </w:tr>
    </w:tbl>
    <w:p w14:paraId="62B044FA">
      <w:pPr>
        <w:pStyle w:val="33"/>
        <w:numPr>
          <w:ilvl w:val="-1"/>
          <w:numId w:val="0"/>
        </w:numPr>
        <w:adjustRightInd w:val="0"/>
        <w:snapToGrid w:val="0"/>
        <w:spacing w:line="360" w:lineRule="auto"/>
        <w:ind w:firstLine="0" w:firstLineChars="0"/>
        <w:rPr>
          <w:rFonts w:hint="default" w:ascii="宋体" w:hAnsi="宋体" w:cs="宋体"/>
          <w:szCs w:val="21"/>
          <w:lang w:val="en-US" w:eastAsia="zh-CN"/>
        </w:rPr>
      </w:pPr>
    </w:p>
    <w:p w14:paraId="57A02572">
      <w:pPr>
        <w:pStyle w:val="33"/>
        <w:adjustRightInd w:val="0"/>
        <w:snapToGrid w:val="0"/>
        <w:spacing w:line="360" w:lineRule="auto"/>
        <w:ind w:firstLine="0" w:firstLineChars="0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三、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  <w:t>保险费</w:t>
      </w:r>
      <w:r>
        <w:rPr>
          <w:rFonts w:hint="eastAsia" w:ascii="宋体" w:hAnsi="宋体" w:cs="宋体"/>
          <w:b/>
          <w:bCs/>
          <w:szCs w:val="21"/>
        </w:rPr>
        <w:t>计算</w:t>
      </w:r>
    </w:p>
    <w:p w14:paraId="1A81987E">
      <w:pPr>
        <w:pStyle w:val="33"/>
        <w:adjustRightInd w:val="0"/>
        <w:snapToGrid w:val="0"/>
        <w:ind w:firstLine="0"/>
        <w:jc w:val="right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单位：元</w:t>
      </w:r>
    </w:p>
    <w:p w14:paraId="0E395617">
      <w:pPr>
        <w:pStyle w:val="33"/>
        <w:adjustRightInd w:val="0"/>
        <w:snapToGrid w:val="0"/>
        <w:ind w:firstLine="0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</w:rPr>
        <w:t>保险费</w:t>
      </w:r>
      <w:r>
        <w:rPr>
          <w:rFonts w:ascii="宋体" w:hAnsi="宋体" w:cs="宋体"/>
          <w:color w:val="000000"/>
          <w:sz w:val="21"/>
          <w:szCs w:val="21"/>
        </w:rPr>
        <w:t>=保险金额×</w:t>
      </w:r>
      <w:r>
        <w:rPr>
          <w:rFonts w:hint="eastAsia" w:ascii="宋体" w:hAnsi="宋体" w:cs="宋体"/>
          <w:color w:val="000000"/>
          <w:sz w:val="21"/>
          <w:szCs w:val="21"/>
        </w:rPr>
        <w:t>基准费率×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F1</w:t>
      </w:r>
      <w:r>
        <w:rPr>
          <w:rFonts w:hint="eastAsia" w:ascii="宋体" w:hAnsi="宋体" w:cs="宋体"/>
          <w:color w:val="000000"/>
          <w:sz w:val="21"/>
          <w:szCs w:val="21"/>
        </w:rPr>
        <w:t>×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F2</w:t>
      </w:r>
      <w:r>
        <w:rPr>
          <w:rFonts w:hint="eastAsia" w:ascii="宋体" w:hAnsi="宋体" w:cs="宋体"/>
          <w:color w:val="000000"/>
          <w:sz w:val="21"/>
          <w:szCs w:val="21"/>
        </w:rPr>
        <w:t>×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F3</w:t>
      </w:r>
      <w:r>
        <w:rPr>
          <w:rFonts w:hint="eastAsia" w:ascii="宋体" w:hAnsi="宋体" w:cs="宋体"/>
          <w:color w:val="000000"/>
          <w:sz w:val="21"/>
          <w:szCs w:val="21"/>
        </w:rPr>
        <w:t>×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F4</w:t>
      </w:r>
      <w:r>
        <w:rPr>
          <w:rFonts w:hint="eastAsia" w:ascii="宋体" w:hAnsi="宋体" w:cs="宋体"/>
          <w:color w:val="000000"/>
          <w:sz w:val="21"/>
          <w:szCs w:val="21"/>
        </w:rPr>
        <w:t>×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F5</w:t>
      </w:r>
      <w:r>
        <w:rPr>
          <w:rFonts w:hint="eastAsia" w:ascii="宋体" w:hAnsi="宋体" w:cs="宋体"/>
          <w:color w:val="000000"/>
          <w:sz w:val="21"/>
          <w:szCs w:val="21"/>
        </w:rPr>
        <w:t>×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F6</w:t>
      </w:r>
    </w:p>
    <w:p w14:paraId="10D201AD">
      <w:pPr>
        <w:pStyle w:val="33"/>
        <w:adjustRightInd w:val="0"/>
        <w:snapToGrid w:val="0"/>
        <w:ind w:firstLine="0"/>
        <w:rPr>
          <w:rFonts w:ascii="宋体" w:hAnsi="宋体" w:cs="宋体"/>
          <w:color w:val="000000"/>
          <w:sz w:val="21"/>
          <w:szCs w:val="21"/>
        </w:rPr>
      </w:pPr>
    </w:p>
    <w:p w14:paraId="09162226">
      <w:pPr>
        <w:pStyle w:val="33"/>
        <w:adjustRightInd w:val="0"/>
        <w:snapToGrid w:val="0"/>
        <w:spacing w:line="360" w:lineRule="auto"/>
        <w:ind w:firstLine="0" w:firstLineChars="0"/>
        <w:rPr>
          <w:rFonts w:ascii="宋体" w:hAnsi="宋体" w:cs="宋体"/>
          <w:b/>
          <w:color w:val="000000"/>
          <w:sz w:val="21"/>
          <w:szCs w:val="21"/>
        </w:rPr>
      </w:pPr>
      <w:r>
        <w:rPr>
          <w:rFonts w:hint="eastAsia" w:ascii="宋体" w:hAnsi="宋体" w:cs="宋体"/>
          <w:b/>
          <w:color w:val="000000"/>
          <w:sz w:val="21"/>
          <w:szCs w:val="21"/>
        </w:rPr>
        <w:t>四、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  <w:t>短期</w:t>
      </w:r>
      <w:r>
        <w:rPr>
          <w:rFonts w:hint="eastAsia" w:ascii="宋体" w:hAnsi="宋体" w:cs="宋体"/>
          <w:b/>
          <w:color w:val="000000"/>
          <w:sz w:val="21"/>
          <w:szCs w:val="21"/>
        </w:rPr>
        <w:t>费率表</w:t>
      </w:r>
    </w:p>
    <w:tbl>
      <w:tblPr>
        <w:tblStyle w:val="1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518"/>
        <w:gridCol w:w="518"/>
        <w:gridCol w:w="518"/>
        <w:gridCol w:w="518"/>
        <w:gridCol w:w="518"/>
        <w:gridCol w:w="518"/>
        <w:gridCol w:w="515"/>
        <w:gridCol w:w="519"/>
        <w:gridCol w:w="516"/>
        <w:gridCol w:w="519"/>
        <w:gridCol w:w="519"/>
        <w:gridCol w:w="630"/>
      </w:tblGrid>
      <w:tr w14:paraId="323B9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exact"/>
        </w:trPr>
        <w:tc>
          <w:tcPr>
            <w:tcW w:w="1285" w:type="pct"/>
            <w:vAlign w:val="center"/>
          </w:tcPr>
          <w:p w14:paraId="07D600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保险期间（个月）</w:t>
            </w:r>
          </w:p>
        </w:tc>
        <w:tc>
          <w:tcPr>
            <w:tcW w:w="304" w:type="pct"/>
            <w:vAlign w:val="center"/>
          </w:tcPr>
          <w:p w14:paraId="76A0D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1</w:t>
            </w:r>
          </w:p>
        </w:tc>
        <w:tc>
          <w:tcPr>
            <w:tcW w:w="304" w:type="pct"/>
            <w:vAlign w:val="center"/>
          </w:tcPr>
          <w:p w14:paraId="08A86F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2</w:t>
            </w:r>
          </w:p>
        </w:tc>
        <w:tc>
          <w:tcPr>
            <w:tcW w:w="304" w:type="pct"/>
            <w:vAlign w:val="center"/>
          </w:tcPr>
          <w:p w14:paraId="1A51B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3</w:t>
            </w:r>
          </w:p>
        </w:tc>
        <w:tc>
          <w:tcPr>
            <w:tcW w:w="304" w:type="pct"/>
            <w:vAlign w:val="center"/>
          </w:tcPr>
          <w:p w14:paraId="07CF5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4</w:t>
            </w:r>
          </w:p>
        </w:tc>
        <w:tc>
          <w:tcPr>
            <w:tcW w:w="304" w:type="pct"/>
            <w:vAlign w:val="center"/>
          </w:tcPr>
          <w:p w14:paraId="3403C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5</w:t>
            </w:r>
          </w:p>
        </w:tc>
        <w:tc>
          <w:tcPr>
            <w:tcW w:w="304" w:type="pct"/>
            <w:vAlign w:val="center"/>
          </w:tcPr>
          <w:p w14:paraId="427A0F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6</w:t>
            </w:r>
          </w:p>
        </w:tc>
        <w:tc>
          <w:tcPr>
            <w:tcW w:w="302" w:type="pct"/>
            <w:vAlign w:val="center"/>
          </w:tcPr>
          <w:p w14:paraId="41C1E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7</w:t>
            </w:r>
          </w:p>
        </w:tc>
        <w:tc>
          <w:tcPr>
            <w:tcW w:w="304" w:type="pct"/>
            <w:vAlign w:val="center"/>
          </w:tcPr>
          <w:p w14:paraId="51CE54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8</w:t>
            </w:r>
          </w:p>
        </w:tc>
        <w:tc>
          <w:tcPr>
            <w:tcW w:w="302" w:type="pct"/>
            <w:vAlign w:val="center"/>
          </w:tcPr>
          <w:p w14:paraId="49EDD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9</w:t>
            </w:r>
          </w:p>
        </w:tc>
        <w:tc>
          <w:tcPr>
            <w:tcW w:w="304" w:type="pct"/>
            <w:vAlign w:val="center"/>
          </w:tcPr>
          <w:p w14:paraId="03DBA5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10</w:t>
            </w:r>
          </w:p>
        </w:tc>
        <w:tc>
          <w:tcPr>
            <w:tcW w:w="304" w:type="pct"/>
            <w:vAlign w:val="center"/>
          </w:tcPr>
          <w:p w14:paraId="56A6D9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11</w:t>
            </w:r>
          </w:p>
        </w:tc>
        <w:tc>
          <w:tcPr>
            <w:tcW w:w="369" w:type="pct"/>
            <w:vAlign w:val="center"/>
          </w:tcPr>
          <w:p w14:paraId="37348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12</w:t>
            </w:r>
          </w:p>
        </w:tc>
      </w:tr>
      <w:tr w14:paraId="417D7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exact"/>
        </w:trPr>
        <w:tc>
          <w:tcPr>
            <w:tcW w:w="1285" w:type="pct"/>
            <w:vAlign w:val="center"/>
          </w:tcPr>
          <w:p w14:paraId="57438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按</w:t>
            </w:r>
            <w:r>
              <w:rPr>
                <w:rFonts w:hint="eastAsia" w:ascii="宋体" w:hAnsi="宋体" w:cs="宋体"/>
                <w:bCs/>
                <w:szCs w:val="21"/>
              </w:rPr>
              <w:t>年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保险费</w:t>
            </w:r>
            <w:r>
              <w:rPr>
                <w:rFonts w:hint="eastAsia" w:ascii="宋体" w:hAnsi="宋体" w:cs="宋体"/>
                <w:bCs/>
                <w:szCs w:val="21"/>
              </w:rPr>
              <w:t>的百分比（</w:t>
            </w:r>
            <w:r>
              <w:rPr>
                <w:rFonts w:ascii="宋体" w:hAnsi="宋体" w:cs="宋体"/>
                <w:bCs/>
                <w:szCs w:val="21"/>
              </w:rPr>
              <w:t>%）</w:t>
            </w:r>
          </w:p>
        </w:tc>
        <w:tc>
          <w:tcPr>
            <w:tcW w:w="304" w:type="pct"/>
            <w:vAlign w:val="center"/>
          </w:tcPr>
          <w:p w14:paraId="26237A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10</w:t>
            </w:r>
          </w:p>
        </w:tc>
        <w:tc>
          <w:tcPr>
            <w:tcW w:w="304" w:type="pct"/>
            <w:vAlign w:val="center"/>
          </w:tcPr>
          <w:p w14:paraId="4C00D8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</w:t>
            </w:r>
          </w:p>
        </w:tc>
        <w:tc>
          <w:tcPr>
            <w:tcW w:w="304" w:type="pct"/>
            <w:vAlign w:val="center"/>
          </w:tcPr>
          <w:p w14:paraId="555E39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30</w:t>
            </w:r>
          </w:p>
        </w:tc>
        <w:tc>
          <w:tcPr>
            <w:tcW w:w="304" w:type="pct"/>
            <w:vAlign w:val="center"/>
          </w:tcPr>
          <w:p w14:paraId="77F0F9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40</w:t>
            </w:r>
          </w:p>
        </w:tc>
        <w:tc>
          <w:tcPr>
            <w:tcW w:w="304" w:type="pct"/>
            <w:vAlign w:val="center"/>
          </w:tcPr>
          <w:p w14:paraId="48FC2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50</w:t>
            </w:r>
          </w:p>
        </w:tc>
        <w:tc>
          <w:tcPr>
            <w:tcW w:w="304" w:type="pct"/>
            <w:vAlign w:val="center"/>
          </w:tcPr>
          <w:p w14:paraId="17950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szCs w:val="21"/>
              </w:rPr>
              <w:t>60</w:t>
            </w:r>
          </w:p>
        </w:tc>
        <w:tc>
          <w:tcPr>
            <w:tcW w:w="302" w:type="pct"/>
            <w:vAlign w:val="center"/>
          </w:tcPr>
          <w:p w14:paraId="7336DF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szCs w:val="21"/>
              </w:rPr>
              <w:t>70</w:t>
            </w:r>
          </w:p>
        </w:tc>
        <w:tc>
          <w:tcPr>
            <w:tcW w:w="304" w:type="pct"/>
            <w:vAlign w:val="center"/>
          </w:tcPr>
          <w:p w14:paraId="6D310D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szCs w:val="21"/>
              </w:rPr>
              <w:t>80</w:t>
            </w:r>
          </w:p>
        </w:tc>
        <w:tc>
          <w:tcPr>
            <w:tcW w:w="302" w:type="pct"/>
            <w:vAlign w:val="center"/>
          </w:tcPr>
          <w:p w14:paraId="189F17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szCs w:val="21"/>
              </w:rPr>
              <w:t>85</w:t>
            </w:r>
          </w:p>
        </w:tc>
        <w:tc>
          <w:tcPr>
            <w:tcW w:w="304" w:type="pct"/>
            <w:vAlign w:val="center"/>
          </w:tcPr>
          <w:p w14:paraId="0B87A6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szCs w:val="21"/>
              </w:rPr>
              <w:t>90</w:t>
            </w:r>
          </w:p>
        </w:tc>
        <w:tc>
          <w:tcPr>
            <w:tcW w:w="304" w:type="pct"/>
            <w:vAlign w:val="center"/>
          </w:tcPr>
          <w:p w14:paraId="576E02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szCs w:val="21"/>
              </w:rPr>
              <w:t>95</w:t>
            </w:r>
          </w:p>
        </w:tc>
        <w:tc>
          <w:tcPr>
            <w:tcW w:w="369" w:type="pct"/>
            <w:vAlign w:val="center"/>
          </w:tcPr>
          <w:p w14:paraId="72473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100</w:t>
            </w:r>
          </w:p>
        </w:tc>
      </w:tr>
    </w:tbl>
    <w:p w14:paraId="5BB39CE9">
      <w:pPr>
        <w:pStyle w:val="33"/>
        <w:adjustRightInd w:val="0"/>
        <w:snapToGrid w:val="0"/>
        <w:ind w:firstLine="0" w:firstLineChars="0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注：保险期间不足</w:t>
      </w:r>
      <w:r>
        <w:rPr>
          <w:rFonts w:ascii="宋体" w:hAnsi="宋体" w:cs="宋体"/>
          <w:color w:val="000000"/>
          <w:sz w:val="21"/>
          <w:szCs w:val="21"/>
        </w:rPr>
        <w:t>1个月的，按1个月计算；保险期间在1个月以上，不足2个月的，按2</w:t>
      </w:r>
      <w:r>
        <w:rPr>
          <w:rFonts w:hint="eastAsia" w:ascii="宋体" w:hAnsi="宋体" w:cs="宋体"/>
          <w:color w:val="000000"/>
          <w:sz w:val="21"/>
          <w:szCs w:val="21"/>
        </w:rPr>
        <w:t>个月计算；保险期间在</w:t>
      </w:r>
      <w:r>
        <w:rPr>
          <w:rFonts w:ascii="宋体" w:hAnsi="宋体" w:cs="宋体"/>
          <w:color w:val="000000"/>
          <w:sz w:val="21"/>
          <w:szCs w:val="21"/>
        </w:rPr>
        <w:t>2个月以上，不足3个月的，按3个月计算，依此类推。</w:t>
      </w:r>
    </w:p>
    <w:p w14:paraId="6F621B3F">
      <w:pPr>
        <w:snapToGrid w:val="0"/>
        <w:spacing w:line="460" w:lineRule="exact"/>
        <w:ind w:firstLine="420" w:firstLineChars="200"/>
        <w:rPr>
          <w:rFonts w:ascii="宋体" w:hAnsi="宋体" w:cs="宋体"/>
          <w:szCs w:val="21"/>
        </w:rPr>
      </w:pPr>
    </w:p>
    <w:p w14:paraId="751404A5"/>
    <w:p w14:paraId="15DCDA6D">
      <w:pPr>
        <w:widowControl/>
        <w:autoSpaceDE w:val="0"/>
        <w:autoSpaceDN w:val="0"/>
        <w:adjustRightInd w:val="0"/>
        <w:spacing w:line="440" w:lineRule="exact"/>
        <w:ind w:firstLine="420" w:firstLineChars="200"/>
        <w:jc w:val="left"/>
        <w:textAlignment w:val="bottom"/>
        <w:rPr>
          <w:rFonts w:ascii="宋体" w:hAnsi="宋体"/>
          <w:kern w:val="0"/>
          <w:szCs w:val="21"/>
        </w:rPr>
      </w:pPr>
    </w:p>
    <w:p w14:paraId="7EA1884F">
      <w:pPr>
        <w:jc w:val="center"/>
        <w:rPr>
          <w:b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689A29">
    <w:pPr>
      <w:pStyle w:val="9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20EAB6"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ODNhZmI4YWY4ZmYzMmUwNTU4NzQ2MTJhZGM5MGYifQ=="/>
  </w:docVars>
  <w:rsids>
    <w:rsidRoot w:val="009C24A0"/>
    <w:rsid w:val="00023897"/>
    <w:rsid w:val="000278E9"/>
    <w:rsid w:val="000372E8"/>
    <w:rsid w:val="00047749"/>
    <w:rsid w:val="00075410"/>
    <w:rsid w:val="00087B27"/>
    <w:rsid w:val="000B3239"/>
    <w:rsid w:val="000C7B49"/>
    <w:rsid w:val="000E779A"/>
    <w:rsid w:val="00115AE4"/>
    <w:rsid w:val="00136715"/>
    <w:rsid w:val="001579E4"/>
    <w:rsid w:val="00171E82"/>
    <w:rsid w:val="0019081F"/>
    <w:rsid w:val="00192AA7"/>
    <w:rsid w:val="001B777F"/>
    <w:rsid w:val="001C5744"/>
    <w:rsid w:val="001E4196"/>
    <w:rsid w:val="0020057C"/>
    <w:rsid w:val="002072F5"/>
    <w:rsid w:val="0021496B"/>
    <w:rsid w:val="00231018"/>
    <w:rsid w:val="0027041F"/>
    <w:rsid w:val="002873A4"/>
    <w:rsid w:val="002A3F8A"/>
    <w:rsid w:val="002B4665"/>
    <w:rsid w:val="002D3CAB"/>
    <w:rsid w:val="002F596F"/>
    <w:rsid w:val="003357F3"/>
    <w:rsid w:val="003461CA"/>
    <w:rsid w:val="00347CC9"/>
    <w:rsid w:val="00365E65"/>
    <w:rsid w:val="003A7D9C"/>
    <w:rsid w:val="003B6F63"/>
    <w:rsid w:val="003B7A71"/>
    <w:rsid w:val="00412B2B"/>
    <w:rsid w:val="00431214"/>
    <w:rsid w:val="004315EC"/>
    <w:rsid w:val="004401BD"/>
    <w:rsid w:val="00477805"/>
    <w:rsid w:val="004801A4"/>
    <w:rsid w:val="004945E5"/>
    <w:rsid w:val="004A0B7D"/>
    <w:rsid w:val="004B2733"/>
    <w:rsid w:val="004B37A8"/>
    <w:rsid w:val="004C57AB"/>
    <w:rsid w:val="004C7CD4"/>
    <w:rsid w:val="004E312C"/>
    <w:rsid w:val="00503035"/>
    <w:rsid w:val="00505500"/>
    <w:rsid w:val="00534AFF"/>
    <w:rsid w:val="00536A0D"/>
    <w:rsid w:val="00562A07"/>
    <w:rsid w:val="00572870"/>
    <w:rsid w:val="005774B0"/>
    <w:rsid w:val="005843FB"/>
    <w:rsid w:val="005C1D86"/>
    <w:rsid w:val="005C22D7"/>
    <w:rsid w:val="005C67B5"/>
    <w:rsid w:val="005E7B17"/>
    <w:rsid w:val="006774B6"/>
    <w:rsid w:val="00685088"/>
    <w:rsid w:val="00697246"/>
    <w:rsid w:val="006A68E4"/>
    <w:rsid w:val="006C4534"/>
    <w:rsid w:val="006F7016"/>
    <w:rsid w:val="00717E49"/>
    <w:rsid w:val="0073531C"/>
    <w:rsid w:val="00742816"/>
    <w:rsid w:val="0074365D"/>
    <w:rsid w:val="007639E2"/>
    <w:rsid w:val="00787449"/>
    <w:rsid w:val="008372AA"/>
    <w:rsid w:val="00845E21"/>
    <w:rsid w:val="008872C7"/>
    <w:rsid w:val="008B7B64"/>
    <w:rsid w:val="008C3A1A"/>
    <w:rsid w:val="008C3F99"/>
    <w:rsid w:val="008F465E"/>
    <w:rsid w:val="008F6116"/>
    <w:rsid w:val="0091657E"/>
    <w:rsid w:val="0092399C"/>
    <w:rsid w:val="00961110"/>
    <w:rsid w:val="00987BE9"/>
    <w:rsid w:val="00990FAA"/>
    <w:rsid w:val="0099648F"/>
    <w:rsid w:val="009C24A0"/>
    <w:rsid w:val="009F6685"/>
    <w:rsid w:val="00A17AAF"/>
    <w:rsid w:val="00A45FBF"/>
    <w:rsid w:val="00A90F32"/>
    <w:rsid w:val="00A926EA"/>
    <w:rsid w:val="00AA0282"/>
    <w:rsid w:val="00AB141C"/>
    <w:rsid w:val="00AC7D42"/>
    <w:rsid w:val="00AE29EB"/>
    <w:rsid w:val="00B3078F"/>
    <w:rsid w:val="00B42074"/>
    <w:rsid w:val="00B559AF"/>
    <w:rsid w:val="00B640FF"/>
    <w:rsid w:val="00B80954"/>
    <w:rsid w:val="00B86050"/>
    <w:rsid w:val="00B91188"/>
    <w:rsid w:val="00B959D7"/>
    <w:rsid w:val="00BA4BE1"/>
    <w:rsid w:val="00BD5F6F"/>
    <w:rsid w:val="00BE5432"/>
    <w:rsid w:val="00BF5383"/>
    <w:rsid w:val="00C01985"/>
    <w:rsid w:val="00C04E1B"/>
    <w:rsid w:val="00C26BC0"/>
    <w:rsid w:val="00C50F61"/>
    <w:rsid w:val="00CC4282"/>
    <w:rsid w:val="00D043C9"/>
    <w:rsid w:val="00D26EF0"/>
    <w:rsid w:val="00D52E05"/>
    <w:rsid w:val="00D90C6E"/>
    <w:rsid w:val="00DA3C82"/>
    <w:rsid w:val="00DA656D"/>
    <w:rsid w:val="00DB53FE"/>
    <w:rsid w:val="00DD5A24"/>
    <w:rsid w:val="00E76421"/>
    <w:rsid w:val="00E85A4E"/>
    <w:rsid w:val="00E873A8"/>
    <w:rsid w:val="00E961B2"/>
    <w:rsid w:val="00EF7C69"/>
    <w:rsid w:val="00F07187"/>
    <w:rsid w:val="00F424A4"/>
    <w:rsid w:val="00F5682B"/>
    <w:rsid w:val="00F57648"/>
    <w:rsid w:val="00F6469A"/>
    <w:rsid w:val="00FA1693"/>
    <w:rsid w:val="00FD2A7C"/>
    <w:rsid w:val="01426C62"/>
    <w:rsid w:val="172C22E4"/>
    <w:rsid w:val="17513B3E"/>
    <w:rsid w:val="24331FC9"/>
    <w:rsid w:val="25041ADF"/>
    <w:rsid w:val="3A61697B"/>
    <w:rsid w:val="422F6484"/>
    <w:rsid w:val="449A0B88"/>
    <w:rsid w:val="44F50B21"/>
    <w:rsid w:val="45896909"/>
    <w:rsid w:val="48ED2D63"/>
    <w:rsid w:val="4EAE4928"/>
    <w:rsid w:val="54053670"/>
    <w:rsid w:val="54731F1F"/>
    <w:rsid w:val="5E6E6DCE"/>
    <w:rsid w:val="5F516530"/>
    <w:rsid w:val="66E41F21"/>
    <w:rsid w:val="6FF3D55B"/>
    <w:rsid w:val="721A1E3A"/>
    <w:rsid w:val="73915F60"/>
    <w:rsid w:val="74462E39"/>
    <w:rsid w:val="7C1A0E56"/>
    <w:rsid w:val="7DEF7918"/>
    <w:rsid w:val="7FB4E8F2"/>
    <w:rsid w:val="B7DFB868"/>
    <w:rsid w:val="DBFFCA42"/>
    <w:rsid w:val="FBD6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2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63"/>
    <w:semiHidden/>
    <w:unhideWhenUsed/>
    <w:qFormat/>
    <w:uiPriority w:val="99"/>
    <w:rPr>
      <w:rFonts w:ascii="宋体"/>
      <w:kern w:val="0"/>
      <w:sz w:val="18"/>
      <w:szCs w:val="18"/>
    </w:rPr>
  </w:style>
  <w:style w:type="paragraph" w:styleId="6">
    <w:name w:val="annotation text"/>
    <w:basedOn w:val="1"/>
    <w:link w:val="64"/>
    <w:semiHidden/>
    <w:unhideWhenUsed/>
    <w:qFormat/>
    <w:uiPriority w:val="99"/>
    <w:pPr>
      <w:jc w:val="left"/>
    </w:pPr>
    <w:rPr>
      <w:kern w:val="0"/>
      <w:sz w:val="20"/>
      <w:szCs w:val="20"/>
    </w:rPr>
  </w:style>
  <w:style w:type="paragraph" w:styleId="7">
    <w:name w:val="toc 3"/>
    <w:basedOn w:val="1"/>
    <w:next w:val="1"/>
    <w:unhideWhenUsed/>
    <w:qFormat/>
    <w:uiPriority w:val="39"/>
    <w:pPr>
      <w:widowControl/>
      <w:tabs>
        <w:tab w:val="left" w:pos="1418"/>
        <w:tab w:val="right" w:leader="dot" w:pos="8296"/>
      </w:tabs>
      <w:ind w:left="848" w:leftChars="303" w:firstLine="3" w:firstLineChars="1"/>
      <w:jc w:val="left"/>
    </w:pPr>
    <w:rPr>
      <w:rFonts w:ascii="宋体" w:hAnsi="宋体" w:cs="宋体"/>
      <w:kern w:val="0"/>
      <w:sz w:val="28"/>
      <w:szCs w:val="24"/>
    </w:rPr>
  </w:style>
  <w:style w:type="paragraph" w:styleId="8">
    <w:name w:val="Balloon Text"/>
    <w:basedOn w:val="1"/>
    <w:link w:val="25"/>
    <w:semiHidden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widowControl/>
      <w:jc w:val="left"/>
    </w:pPr>
    <w:rPr>
      <w:rFonts w:ascii="宋体" w:hAnsi="宋体" w:cs="宋体"/>
      <w:kern w:val="0"/>
      <w:sz w:val="28"/>
      <w:szCs w:val="24"/>
    </w:rPr>
  </w:style>
  <w:style w:type="paragraph" w:styleId="12">
    <w:name w:val="toc 2"/>
    <w:basedOn w:val="1"/>
    <w:next w:val="1"/>
    <w:unhideWhenUsed/>
    <w:qFormat/>
    <w:uiPriority w:val="39"/>
    <w:pPr>
      <w:widowControl/>
      <w:tabs>
        <w:tab w:val="left" w:pos="851"/>
        <w:tab w:val="right" w:leader="dot" w:pos="8296"/>
      </w:tabs>
      <w:ind w:left="560" w:leftChars="200"/>
      <w:jc w:val="left"/>
    </w:pPr>
    <w:rPr>
      <w:rFonts w:ascii="宋体" w:hAnsi="宋体" w:cs="宋体"/>
      <w:kern w:val="0"/>
      <w:sz w:val="28"/>
      <w:szCs w:val="24"/>
    </w:rPr>
  </w:style>
  <w:style w:type="paragraph" w:styleId="13">
    <w:name w:val="annotation subject"/>
    <w:basedOn w:val="6"/>
    <w:next w:val="6"/>
    <w:link w:val="65"/>
    <w:semiHidden/>
    <w:unhideWhenUsed/>
    <w:qFormat/>
    <w:uiPriority w:val="99"/>
    <w:rPr>
      <w:b/>
      <w:bCs/>
    </w:rPr>
  </w:style>
  <w:style w:type="table" w:styleId="15">
    <w:name w:val="Table Grid"/>
    <w:basedOn w:val="1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semiHidden/>
    <w:unhideWhenUsed/>
    <w:qFormat/>
    <w:uiPriority w:val="99"/>
    <w:rPr>
      <w:color w:val="800080"/>
      <w:u w:val="single"/>
    </w:rPr>
  </w:style>
  <w:style w:type="character" w:styleId="18">
    <w:name w:val="Hyperlink"/>
    <w:unhideWhenUsed/>
    <w:qFormat/>
    <w:uiPriority w:val="99"/>
    <w:rPr>
      <w:color w:val="0000FF"/>
      <w:u w:val="single"/>
    </w:rPr>
  </w:style>
  <w:style w:type="character" w:styleId="19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20">
    <w:name w:val="页眉 字符"/>
    <w:link w:val="10"/>
    <w:qFormat/>
    <w:uiPriority w:val="99"/>
    <w:rPr>
      <w:sz w:val="18"/>
      <w:szCs w:val="18"/>
    </w:rPr>
  </w:style>
  <w:style w:type="character" w:customStyle="1" w:styleId="21">
    <w:name w:val="页脚 字符"/>
    <w:link w:val="9"/>
    <w:qFormat/>
    <w:uiPriority w:val="99"/>
    <w:rPr>
      <w:sz w:val="18"/>
      <w:szCs w:val="18"/>
    </w:rPr>
  </w:style>
  <w:style w:type="character" w:customStyle="1" w:styleId="22">
    <w:name w:val="标题 1 字符"/>
    <w:link w:val="2"/>
    <w:qFormat/>
    <w:uiPriority w:val="9"/>
    <w:rPr>
      <w:rFonts w:ascii="Calibri" w:hAnsi="Calibri" w:eastAsia="宋体" w:cs="Times New Roman"/>
      <w:b/>
      <w:bCs/>
      <w:kern w:val="44"/>
      <w:sz w:val="32"/>
      <w:szCs w:val="44"/>
    </w:rPr>
  </w:style>
  <w:style w:type="paragraph" w:customStyle="1" w:styleId="23">
    <w:name w:val="条款正文"/>
    <w:basedOn w:val="1"/>
    <w:qFormat/>
    <w:uiPriority w:val="0"/>
    <w:pPr>
      <w:adjustRightInd w:val="0"/>
      <w:snapToGrid w:val="0"/>
      <w:ind w:left="840" w:leftChars="400" w:firstLine="420" w:firstLineChars="200"/>
    </w:pPr>
    <w:rPr>
      <w:rFonts w:ascii="Times New Roman" w:hAnsi="Times New Roman"/>
      <w:szCs w:val="24"/>
    </w:rPr>
  </w:style>
  <w:style w:type="paragraph" w:customStyle="1" w:styleId="24">
    <w:name w:val="条款标题"/>
    <w:basedOn w:val="23"/>
    <w:qFormat/>
    <w:uiPriority w:val="0"/>
    <w:pPr>
      <w:tabs>
        <w:tab w:val="left" w:pos="840"/>
      </w:tabs>
      <w:ind w:left="0" w:leftChars="0" w:firstLine="0" w:firstLineChars="0"/>
    </w:pPr>
    <w:rPr>
      <w:b/>
    </w:rPr>
  </w:style>
  <w:style w:type="character" w:customStyle="1" w:styleId="25">
    <w:name w:val="批注框文本 字符"/>
    <w:link w:val="8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6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7">
    <w:name w:val="标题 3 字符"/>
    <w:link w:val="4"/>
    <w:qFormat/>
    <w:uiPriority w:val="9"/>
    <w:rPr>
      <w:rFonts w:ascii="Calibri" w:hAnsi="Calibri" w:eastAsia="宋体" w:cs="Times New Roman"/>
      <w:b/>
      <w:bCs/>
      <w:sz w:val="32"/>
      <w:szCs w:val="32"/>
    </w:rPr>
  </w:style>
  <w:style w:type="paragraph" w:styleId="28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8"/>
      <w:szCs w:val="24"/>
    </w:rPr>
  </w:style>
  <w:style w:type="paragraph" w:customStyle="1" w:styleId="29">
    <w:name w:val="注解（小四，楷体）"/>
    <w:basedOn w:val="1"/>
    <w:link w:val="31"/>
    <w:qFormat/>
    <w:uiPriority w:val="0"/>
    <w:pPr>
      <w:widowControl/>
      <w:contextualSpacing/>
      <w:jc w:val="left"/>
    </w:pPr>
    <w:rPr>
      <w:rFonts w:ascii="楷体" w:hAnsi="楷体" w:eastAsia="楷体"/>
      <w:kern w:val="0"/>
      <w:sz w:val="24"/>
      <w:szCs w:val="24"/>
    </w:rPr>
  </w:style>
  <w:style w:type="paragraph" w:customStyle="1" w:styleId="30">
    <w:name w:val="表格（小四，宋体）"/>
    <w:basedOn w:val="1"/>
    <w:link w:val="32"/>
    <w:qFormat/>
    <w:uiPriority w:val="0"/>
    <w:pPr>
      <w:widowControl/>
      <w:contextualSpacing/>
      <w:jc w:val="left"/>
    </w:pPr>
    <w:rPr>
      <w:rFonts w:ascii="宋体" w:hAnsi="宋体"/>
      <w:kern w:val="0"/>
      <w:sz w:val="24"/>
      <w:szCs w:val="24"/>
    </w:rPr>
  </w:style>
  <w:style w:type="character" w:customStyle="1" w:styleId="31">
    <w:name w:val="注解（小四，楷体） Char"/>
    <w:link w:val="29"/>
    <w:qFormat/>
    <w:uiPriority w:val="0"/>
    <w:rPr>
      <w:rFonts w:ascii="楷体" w:hAnsi="楷体" w:eastAsia="楷体" w:cs="Times New Roman"/>
      <w:kern w:val="0"/>
      <w:sz w:val="24"/>
      <w:szCs w:val="24"/>
    </w:rPr>
  </w:style>
  <w:style w:type="character" w:customStyle="1" w:styleId="32">
    <w:name w:val="表格（小四，宋体） Char"/>
    <w:link w:val="30"/>
    <w:qFormat/>
    <w:uiPriority w:val="0"/>
    <w:rPr>
      <w:rFonts w:ascii="宋体" w:hAnsi="宋体" w:eastAsia="宋体" w:cs="Times New Roman"/>
      <w:kern w:val="0"/>
      <w:sz w:val="24"/>
      <w:szCs w:val="24"/>
    </w:rPr>
  </w:style>
  <w:style w:type="paragraph" w:styleId="33">
    <w:name w:val="No Spacing"/>
    <w:link w:val="34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34">
    <w:name w:val="无间隔 字符"/>
    <w:link w:val="33"/>
    <w:qFormat/>
    <w:uiPriority w:val="1"/>
    <w:rPr>
      <w:sz w:val="22"/>
      <w:szCs w:val="22"/>
      <w:lang w:bidi="ar-SA"/>
    </w:rPr>
  </w:style>
  <w:style w:type="paragraph" w:customStyle="1" w:styleId="35">
    <w:name w:val="TOC 标题1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6">
    <w:name w:val="_Style 30"/>
    <w:unhideWhenUsed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18"/>
      <w:szCs w:val="18"/>
    </w:rPr>
  </w:style>
  <w:style w:type="paragraph" w:customStyle="1" w:styleId="38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paragraph" w:customStyle="1" w:styleId="4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paragraph" w:customStyle="1" w:styleId="4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44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46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47">
    <w:name w:val="xl7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9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0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1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2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CE8C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8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CE8C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CE8C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88"/>
    <w:basedOn w:val="1"/>
    <w:qFormat/>
    <w:uiPriority w:val="0"/>
    <w:pPr>
      <w:widowControl/>
      <w:shd w:val="clear" w:color="000000" w:fill="CCE8C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1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62">
    <w:name w:val="Char1 Char Char Char"/>
    <w:next w:val="8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63">
    <w:name w:val="文档结构图 字符"/>
    <w:link w:val="5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64">
    <w:name w:val="批注文字 字符"/>
    <w:link w:val="6"/>
    <w:semiHidden/>
    <w:qFormat/>
    <w:uiPriority w:val="99"/>
    <w:rPr>
      <w:rFonts w:ascii="Calibri" w:hAnsi="Calibri" w:eastAsia="宋体" w:cs="Times New Roman"/>
    </w:rPr>
  </w:style>
  <w:style w:type="character" w:customStyle="1" w:styleId="65">
    <w:name w:val="批注主题 字符"/>
    <w:link w:val="13"/>
    <w:semiHidden/>
    <w:qFormat/>
    <w:uiPriority w:val="99"/>
    <w:rPr>
      <w:rFonts w:ascii="Calibri" w:hAnsi="Calibri" w:eastAsia="宋体" w:cs="Times New Roman"/>
      <w:b/>
      <w:bCs/>
    </w:rPr>
  </w:style>
  <w:style w:type="paragraph" w:customStyle="1" w:styleId="66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771</Words>
  <Characters>975</Characters>
  <Lines>11</Lines>
  <Paragraphs>3</Paragraphs>
  <TotalTime>4</TotalTime>
  <ScaleCrop>false</ScaleCrop>
  <LinksUpToDate>false</LinksUpToDate>
  <CharactersWithSpaces>975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2017-09-23T08:01:00Z</dcterms:created>
  <dc:creator>吴薇</dc:creator>
  <cp:lastModifiedBy>刘晴</cp:lastModifiedBy>
  <dcterms:modified xsi:type="dcterms:W3CDTF">2025-07-10T06:26:25Z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B2FEFFBAE6C74D3EBBF53FC9A56EEB51_13</vt:lpwstr>
  </property>
</Properties>
</file>