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89F47">
      <w:pPr>
        <w:jc w:val="center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华农财产保险股份有限公司家庭成员意外伤害保险B款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费率表</w:t>
      </w:r>
    </w:p>
    <w:p w14:paraId="46B88744">
      <w:pPr>
        <w:jc w:val="center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94F6E0E">
      <w:pPr>
        <w:pStyle w:val="14"/>
        <w:spacing w:line="360" w:lineRule="auto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一、基准费率</w:t>
      </w:r>
    </w:p>
    <w:tbl>
      <w:tblPr>
        <w:tblStyle w:val="7"/>
        <w:tblW w:w="498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9"/>
        <w:gridCol w:w="3159"/>
      </w:tblGrid>
      <w:tr w14:paraId="7AC46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FC8F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家庭保险金额分配方式</w:t>
            </w:r>
          </w:p>
        </w:tc>
        <w:tc>
          <w:tcPr>
            <w:tcW w:w="3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7003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基准费率（‰）</w:t>
            </w:r>
          </w:p>
        </w:tc>
      </w:tr>
      <w:tr w14:paraId="7A026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23E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均分家庭保险金额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C4B0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1.0</w:t>
            </w:r>
          </w:p>
        </w:tc>
      </w:tr>
      <w:tr w14:paraId="2E2A2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1B8A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共享家庭保险金额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D835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1.6</w:t>
            </w:r>
          </w:p>
        </w:tc>
      </w:tr>
    </w:tbl>
    <w:p w14:paraId="0396D48B">
      <w:pPr>
        <w:pStyle w:val="14"/>
        <w:spacing w:line="360" w:lineRule="auto"/>
        <w:jc w:val="center"/>
        <w:rPr>
          <w:rFonts w:hint="eastAsia" w:ascii="宋体" w:hAnsi="宋体" w:cs="宋体"/>
          <w:color w:val="FF0000"/>
          <w:szCs w:val="21"/>
        </w:rPr>
      </w:pPr>
    </w:p>
    <w:p w14:paraId="7208F7B9">
      <w:pPr>
        <w:pStyle w:val="14"/>
        <w:spacing w:line="360" w:lineRule="auto"/>
        <w:jc w:val="lef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二、费率调整系数</w:t>
      </w:r>
    </w:p>
    <w:p w14:paraId="786EA2EB">
      <w:pPr>
        <w:pStyle w:val="14"/>
        <w:spacing w:line="360" w:lineRule="auto"/>
        <w:jc w:val="left"/>
        <w:rPr>
          <w:rFonts w:hint="eastAsia" w:ascii="宋体" w:hAnsi="宋体" w:eastAsia="宋体" w:cs="宋体"/>
          <w:b/>
          <w:bCs w:val="0"/>
          <w:color w:val="auto"/>
          <w:szCs w:val="21"/>
          <w:lang w:eastAsia="zh-CN"/>
        </w:rPr>
      </w:pPr>
      <w:r>
        <w:rPr>
          <w:rFonts w:hint="eastAsia" w:ascii="宋体" w:hAnsi="宋体" w:cs="宋体"/>
          <w:b/>
          <w:color w:val="auto"/>
          <w:szCs w:val="21"/>
        </w:rPr>
        <w:t>1、被保险家庭成员人数调整系数（仅适用于共享家庭保险金额的分配方式）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F1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8"/>
        <w:tblW w:w="491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6"/>
        <w:gridCol w:w="3023"/>
      </w:tblGrid>
      <w:tr w14:paraId="265C4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5356" w:type="dxa"/>
          </w:tcPr>
          <w:p w14:paraId="7E232D1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被保险家庭成员人数（人）</w:t>
            </w:r>
          </w:p>
        </w:tc>
        <w:tc>
          <w:tcPr>
            <w:tcW w:w="3023" w:type="dxa"/>
          </w:tcPr>
          <w:p w14:paraId="1A16F36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调整系数</w:t>
            </w:r>
          </w:p>
        </w:tc>
      </w:tr>
      <w:tr w14:paraId="4F678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5356" w:type="dxa"/>
          </w:tcPr>
          <w:p w14:paraId="52ACD2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</w:t>
            </w:r>
          </w:p>
        </w:tc>
        <w:tc>
          <w:tcPr>
            <w:tcW w:w="3023" w:type="dxa"/>
          </w:tcPr>
          <w:p w14:paraId="7FEC2E0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0.</w:t>
            </w:r>
            <w:r>
              <w:rPr>
                <w:rFonts w:hint="eastAsia" w:ascii="宋体" w:hAnsi="宋体" w:eastAsia="PMingLiU" w:cs="宋体"/>
                <w:szCs w:val="21"/>
                <w:lang w:eastAsia="zh-TW"/>
              </w:rPr>
              <w:t>625</w:t>
            </w:r>
          </w:p>
        </w:tc>
      </w:tr>
      <w:tr w14:paraId="0CEF9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5356" w:type="dxa"/>
          </w:tcPr>
          <w:p w14:paraId="1684973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</w:t>
            </w:r>
          </w:p>
        </w:tc>
        <w:tc>
          <w:tcPr>
            <w:tcW w:w="3023" w:type="dxa"/>
          </w:tcPr>
          <w:p w14:paraId="22E11E9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1.0</w:t>
            </w:r>
          </w:p>
        </w:tc>
      </w:tr>
      <w:tr w14:paraId="40C2A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5356" w:type="dxa"/>
          </w:tcPr>
          <w:p w14:paraId="5E3E83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[3,6]</w:t>
            </w:r>
          </w:p>
        </w:tc>
        <w:tc>
          <w:tcPr>
            <w:tcW w:w="3023" w:type="dxa"/>
          </w:tcPr>
          <w:p w14:paraId="158EDC2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[1.2,2.0]</w:t>
            </w:r>
          </w:p>
        </w:tc>
      </w:tr>
      <w:tr w14:paraId="3ABF1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5356" w:type="dxa"/>
          </w:tcPr>
          <w:p w14:paraId="51FFCD3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＞6</w:t>
            </w:r>
          </w:p>
        </w:tc>
        <w:tc>
          <w:tcPr>
            <w:tcW w:w="3023" w:type="dxa"/>
          </w:tcPr>
          <w:p w14:paraId="66A9F4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,3.0]</w:t>
            </w:r>
          </w:p>
        </w:tc>
      </w:tr>
    </w:tbl>
    <w:p w14:paraId="2BDF7183">
      <w:pPr>
        <w:pStyle w:val="14"/>
        <w:spacing w:line="360" w:lineRule="auto"/>
        <w:rPr>
          <w:rFonts w:hint="eastAsia" w:ascii="宋体" w:hAnsi="宋体" w:cs="宋体"/>
          <w:color w:val="FF0000"/>
          <w:szCs w:val="21"/>
        </w:rPr>
      </w:pPr>
    </w:p>
    <w:p w14:paraId="3EE27BF7">
      <w:pPr>
        <w:pStyle w:val="14"/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2、被保险家庭成员职业类别调整系数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F2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5"/>
        <w:gridCol w:w="3157"/>
      </w:tblGrid>
      <w:tr w14:paraId="5A5C7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2" w:hRule="atLeast"/>
        </w:trPr>
        <w:tc>
          <w:tcPr>
            <w:tcW w:w="5365" w:type="dxa"/>
          </w:tcPr>
          <w:p w14:paraId="1AE303A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被保险家庭成员职业类别</w:t>
            </w:r>
          </w:p>
        </w:tc>
        <w:tc>
          <w:tcPr>
            <w:tcW w:w="3157" w:type="dxa"/>
          </w:tcPr>
          <w:p w14:paraId="6D2B51F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调整系数</w:t>
            </w:r>
          </w:p>
        </w:tc>
      </w:tr>
      <w:tr w14:paraId="1EF06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365" w:type="dxa"/>
          </w:tcPr>
          <w:p w14:paraId="470842C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家庭成员均为1-2类</w:t>
            </w:r>
          </w:p>
        </w:tc>
        <w:tc>
          <w:tcPr>
            <w:tcW w:w="3157" w:type="dxa"/>
          </w:tcPr>
          <w:p w14:paraId="796B89E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[0.5,0.8]</w:t>
            </w:r>
          </w:p>
        </w:tc>
      </w:tr>
      <w:tr w14:paraId="72CCD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365" w:type="dxa"/>
          </w:tcPr>
          <w:p w14:paraId="0F81C31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家庭成员均为1-3类</w:t>
            </w:r>
          </w:p>
        </w:tc>
        <w:tc>
          <w:tcPr>
            <w:tcW w:w="3157" w:type="dxa"/>
          </w:tcPr>
          <w:p w14:paraId="278FF41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(0.8,1.0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)</w:t>
            </w:r>
          </w:p>
        </w:tc>
      </w:tr>
      <w:tr w14:paraId="49D90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65" w:type="dxa"/>
          </w:tcPr>
          <w:p w14:paraId="760E32E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家庭成员均为1-4类</w:t>
            </w:r>
          </w:p>
        </w:tc>
        <w:tc>
          <w:tcPr>
            <w:tcW w:w="3157" w:type="dxa"/>
          </w:tcPr>
          <w:p w14:paraId="40EAD4B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1.0</w:t>
            </w:r>
          </w:p>
        </w:tc>
      </w:tr>
      <w:tr w14:paraId="547B2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365" w:type="dxa"/>
          </w:tcPr>
          <w:p w14:paraId="341E4A9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家庭成员存在5-6类</w:t>
            </w:r>
          </w:p>
        </w:tc>
        <w:tc>
          <w:tcPr>
            <w:tcW w:w="3157" w:type="dxa"/>
          </w:tcPr>
          <w:p w14:paraId="3736994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(1.0,3.0]</w:t>
            </w:r>
          </w:p>
        </w:tc>
      </w:tr>
      <w:tr w14:paraId="11CCC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365" w:type="dxa"/>
          </w:tcPr>
          <w:p w14:paraId="091E607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家庭成员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存在</w:t>
            </w:r>
            <w:r>
              <w:rPr>
                <w:rFonts w:hint="eastAsia" w:ascii="宋体" w:hAnsi="宋体" w:cs="宋体"/>
                <w:color w:val="auto"/>
                <w:szCs w:val="21"/>
              </w:rPr>
              <w:t>6类以上</w:t>
            </w:r>
          </w:p>
        </w:tc>
        <w:tc>
          <w:tcPr>
            <w:tcW w:w="3157" w:type="dxa"/>
          </w:tcPr>
          <w:p w14:paraId="563596E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（3.0,4.0]</w:t>
            </w:r>
          </w:p>
        </w:tc>
      </w:tr>
    </w:tbl>
    <w:p w14:paraId="55F742BF">
      <w:pPr>
        <w:pStyle w:val="13"/>
        <w:adjustRightInd w:val="0"/>
        <w:snapToGrid w:val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</w:t>
      </w:r>
    </w:p>
    <w:p w14:paraId="1062DE50">
      <w:pPr>
        <w:pStyle w:val="13"/>
        <w:adjustRightInd w:val="0"/>
        <w:snapToGrid w:val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（1）</w:t>
      </w:r>
      <w:r>
        <w:rPr>
          <w:rFonts w:hint="eastAsia" w:ascii="宋体" w:hAnsi="宋体" w:cs="宋体"/>
          <w:szCs w:val="21"/>
        </w:rPr>
        <w:t>根据被保险人的职业风险状况进行划分，职业类别以《</w:t>
      </w:r>
      <w:r>
        <w:rPr>
          <w:rFonts w:hint="eastAsia" w:ascii="宋体" w:hAnsi="宋体" w:cs="宋体"/>
          <w:szCs w:val="21"/>
          <w:lang w:val="en-US" w:eastAsia="zh-CN"/>
        </w:rPr>
        <w:t>华农保险</w:t>
      </w:r>
      <w:r>
        <w:rPr>
          <w:rFonts w:hint="eastAsia" w:ascii="宋体" w:hAnsi="宋体" w:cs="宋体"/>
          <w:szCs w:val="21"/>
        </w:rPr>
        <w:t>职业类别表》为准。</w:t>
      </w:r>
    </w:p>
    <w:p w14:paraId="396F969A">
      <w:pPr>
        <w:pStyle w:val="13"/>
        <w:adjustRightInd w:val="0"/>
        <w:snapToGrid w:val="0"/>
        <w:ind w:firstLine="0" w:firstLineChars="0"/>
        <w:jc w:val="left"/>
        <w:rPr>
          <w:rFonts w:ascii="宋体" w:hAnsi="宋体" w:eastAsia="PMingLiU" w:cs="宋体"/>
          <w:b/>
          <w:color w:val="FF0000"/>
          <w:szCs w:val="21"/>
          <w:lang w:eastAsia="zh-TW"/>
        </w:rPr>
      </w:pPr>
      <w:r>
        <w:rPr>
          <w:rFonts w:hint="eastAsia" w:ascii="宋体" w:hAnsi="宋体" w:cs="宋体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 xml:space="preserve">若被保险人的职业类别均属于1-2类，适用于“被保险人职业类别均属于1-2类”的调整系数，不适用于“被保险人职业类别均属于1-3类”的调整系数，以此类推。 </w:t>
      </w:r>
    </w:p>
    <w:p w14:paraId="6D39AC70">
      <w:pPr>
        <w:pStyle w:val="14"/>
        <w:spacing w:line="360" w:lineRule="auto"/>
        <w:rPr>
          <w:rFonts w:hint="eastAsia" w:ascii="宋体" w:hAnsi="宋体" w:eastAsia="PMingLiU" w:cs="宋体"/>
          <w:b/>
          <w:color w:val="FF0000"/>
          <w:szCs w:val="21"/>
        </w:rPr>
      </w:pPr>
    </w:p>
    <w:p w14:paraId="38EB311D">
      <w:pPr>
        <w:pStyle w:val="14"/>
        <w:spacing w:line="360" w:lineRule="auto"/>
        <w:rPr>
          <w:rFonts w:hint="eastAsia" w:ascii="宋体" w:hAnsi="宋体" w:eastAsia="宋体" w:cs="宋体"/>
          <w:b/>
          <w:color w:val="auto"/>
          <w:szCs w:val="21"/>
          <w:lang w:eastAsia="zh-CN"/>
        </w:rPr>
      </w:pPr>
      <w:r>
        <w:rPr>
          <w:rFonts w:hint="eastAsia" w:ascii="宋体" w:hAnsi="宋体" w:cs="宋体"/>
          <w:b/>
          <w:szCs w:val="21"/>
        </w:rPr>
        <w:t>3、被保险人综合风险水平调整系数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F3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7"/>
        <w:tblW w:w="82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276"/>
        <w:gridCol w:w="2914"/>
      </w:tblGrid>
      <w:tr w14:paraId="0D7F2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382" w:type="dxa"/>
            <w:gridSpan w:val="2"/>
            <w:vAlign w:val="center"/>
          </w:tcPr>
          <w:p w14:paraId="2563ADFE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被保险人综合风险水平</w:t>
            </w:r>
          </w:p>
        </w:tc>
        <w:tc>
          <w:tcPr>
            <w:tcW w:w="2914" w:type="dxa"/>
            <w:vAlign w:val="center"/>
          </w:tcPr>
          <w:p w14:paraId="7C16B087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 w14:paraId="53F5B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4106" w:type="dxa"/>
            <w:vMerge w:val="restart"/>
            <w:vAlign w:val="center"/>
          </w:tcPr>
          <w:p w14:paraId="612C92E8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根据连续投保年数、跨险种投保情况以及其他安全防范措施等综合评估 </w:t>
            </w:r>
          </w:p>
        </w:tc>
        <w:tc>
          <w:tcPr>
            <w:tcW w:w="1276" w:type="dxa"/>
          </w:tcPr>
          <w:p w14:paraId="060CC0A0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PMingLiU" w:hAnsi="PMingLiU" w:cs="宋体"/>
                <w:szCs w:val="21"/>
              </w:rPr>
              <w:t>低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324674A5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[0.7,0.9）</w:t>
            </w:r>
          </w:p>
        </w:tc>
      </w:tr>
      <w:tr w14:paraId="4F451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4106" w:type="dxa"/>
            <w:vMerge w:val="continue"/>
            <w:vAlign w:val="center"/>
          </w:tcPr>
          <w:p w14:paraId="13CC2E83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color w:val="FF0000"/>
                <w:szCs w:val="21"/>
                <w:lang w:eastAsia="zh-TW"/>
              </w:rPr>
            </w:pPr>
          </w:p>
        </w:tc>
        <w:tc>
          <w:tcPr>
            <w:tcW w:w="1276" w:type="dxa"/>
          </w:tcPr>
          <w:p w14:paraId="1B2122AC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PMingLiU" w:hAnsi="PMingLiU" w:cs="宋体"/>
                <w:szCs w:val="21"/>
              </w:rPr>
              <w:t>中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613BD41C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[0.9,1.0］</w:t>
            </w:r>
          </w:p>
        </w:tc>
      </w:tr>
      <w:tr w14:paraId="69685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4106" w:type="dxa"/>
            <w:vMerge w:val="continue"/>
            <w:vAlign w:val="center"/>
          </w:tcPr>
          <w:p w14:paraId="28616ACE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C4B2FD0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PMingLiU" w:hAnsi="PMingLiU" w:cs="宋体"/>
                <w:szCs w:val="21"/>
              </w:rPr>
              <w:t>高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2B760346">
            <w:pPr>
              <w:pStyle w:val="13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（1.0,1.3]</w:t>
            </w:r>
          </w:p>
        </w:tc>
      </w:tr>
    </w:tbl>
    <w:p w14:paraId="63DA1B93">
      <w:pPr>
        <w:pStyle w:val="13"/>
        <w:adjustRightInd w:val="0"/>
        <w:snapToGrid w:val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注：连续投保年数越长的、跨险种保障越充足的、有其他较完善的安全防范措施的费率下调，反之则予以上浮。若本项所需的被保险人相关信息无法有效获取，则本项系数取1.0。</w:t>
      </w:r>
    </w:p>
    <w:p w14:paraId="6267F12F">
      <w:pPr>
        <w:pStyle w:val="14"/>
        <w:spacing w:line="360" w:lineRule="auto"/>
        <w:rPr>
          <w:rFonts w:hint="eastAsia" w:ascii="宋体" w:hAnsi="宋体" w:eastAsia="PMingLiU" w:cs="宋体"/>
          <w:b/>
          <w:color w:val="FF0000"/>
          <w:szCs w:val="21"/>
        </w:rPr>
      </w:pPr>
    </w:p>
    <w:p w14:paraId="5D666A19">
      <w:pPr>
        <w:pStyle w:val="14"/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eastAsia="PMingLiU" w:cs="宋体"/>
          <w:b/>
          <w:szCs w:val="21"/>
        </w:rPr>
        <w:t>4</w:t>
      </w:r>
      <w:r>
        <w:rPr>
          <w:rFonts w:hint="eastAsia" w:ascii="宋体" w:hAnsi="宋体" w:cs="宋体"/>
          <w:b/>
          <w:color w:val="auto"/>
          <w:szCs w:val="21"/>
        </w:rPr>
        <w:t>、</w:t>
      </w:r>
      <w:r>
        <w:rPr>
          <w:rFonts w:hint="eastAsia" w:ascii="宋体" w:hAnsi="宋体" w:cs="宋体"/>
          <w:b/>
          <w:szCs w:val="21"/>
        </w:rPr>
        <w:t>渠道</w:t>
      </w:r>
      <w:r>
        <w:rPr>
          <w:rFonts w:hint="cs" w:ascii="宋体" w:hAnsi="宋体" w:eastAsia="宋体" w:cs="宋体"/>
          <w:b/>
          <w:szCs w:val="21"/>
        </w:rPr>
        <w:t>预</w:t>
      </w:r>
      <w:r>
        <w:rPr>
          <w:rFonts w:hint="eastAsia" w:ascii="宋体" w:hAnsi="宋体" w:eastAsia="宋体" w:cs="宋体"/>
          <w:b/>
          <w:szCs w:val="21"/>
        </w:rPr>
        <w:t>估年度</w:t>
      </w:r>
      <w:r>
        <w:rPr>
          <w:rFonts w:hint="eastAsia" w:ascii="宋体" w:hAnsi="宋体" w:cs="宋体"/>
          <w:b/>
          <w:szCs w:val="21"/>
        </w:rPr>
        <w:t>投保规模调整系数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F4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8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6"/>
        <w:gridCol w:w="3023"/>
      </w:tblGrid>
      <w:tr w14:paraId="47F44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496" w:type="dxa"/>
          </w:tcPr>
          <w:p w14:paraId="7DB1BA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渠道预估年度投保家庭数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家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）</w:t>
            </w:r>
          </w:p>
        </w:tc>
        <w:tc>
          <w:tcPr>
            <w:tcW w:w="3023" w:type="dxa"/>
          </w:tcPr>
          <w:p w14:paraId="266DB6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调整系数</w:t>
            </w:r>
          </w:p>
        </w:tc>
      </w:tr>
      <w:tr w14:paraId="09B64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5496" w:type="dxa"/>
          </w:tcPr>
          <w:p w14:paraId="0FB333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≥1000</w:t>
            </w:r>
          </w:p>
        </w:tc>
        <w:tc>
          <w:tcPr>
            <w:tcW w:w="3023" w:type="dxa"/>
          </w:tcPr>
          <w:p w14:paraId="385A3A8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[0.80,0.90]</w:t>
            </w:r>
          </w:p>
        </w:tc>
      </w:tr>
      <w:tr w14:paraId="1B84B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496" w:type="dxa"/>
          </w:tcPr>
          <w:p w14:paraId="778BC53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500（含）-1000</w:t>
            </w:r>
          </w:p>
        </w:tc>
        <w:tc>
          <w:tcPr>
            <w:tcW w:w="3023" w:type="dxa"/>
          </w:tcPr>
          <w:p w14:paraId="329E7DE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(0.90,0.95]</w:t>
            </w:r>
          </w:p>
        </w:tc>
      </w:tr>
      <w:tr w14:paraId="4E9F9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5496" w:type="dxa"/>
          </w:tcPr>
          <w:p w14:paraId="2701FE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100（含）-500</w:t>
            </w:r>
          </w:p>
        </w:tc>
        <w:tc>
          <w:tcPr>
            <w:tcW w:w="3023" w:type="dxa"/>
          </w:tcPr>
          <w:p w14:paraId="3AF4F32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(0.95,1.00]</w:t>
            </w:r>
          </w:p>
        </w:tc>
      </w:tr>
      <w:tr w14:paraId="2973F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5496" w:type="dxa"/>
          </w:tcPr>
          <w:p w14:paraId="5F9C1DC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＜100</w:t>
            </w:r>
          </w:p>
        </w:tc>
        <w:tc>
          <w:tcPr>
            <w:tcW w:w="3023" w:type="dxa"/>
          </w:tcPr>
          <w:p w14:paraId="13DC214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(1.00,1.20]</w:t>
            </w:r>
          </w:p>
        </w:tc>
      </w:tr>
    </w:tbl>
    <w:p w14:paraId="1240D80E">
      <w:pPr>
        <w:pStyle w:val="14"/>
        <w:spacing w:line="360" w:lineRule="auto"/>
        <w:rPr>
          <w:rFonts w:hint="eastAsia" w:ascii="宋体" w:hAnsi="宋体" w:cs="宋体"/>
          <w:b/>
          <w:color w:val="FF0000"/>
          <w:szCs w:val="21"/>
        </w:rPr>
      </w:pPr>
    </w:p>
    <w:p w14:paraId="61187BEF">
      <w:pPr>
        <w:pStyle w:val="14"/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eastAsia="PMingLiU" w:cs="宋体"/>
          <w:b/>
          <w:szCs w:val="21"/>
        </w:rPr>
        <w:t>5</w:t>
      </w:r>
      <w:r>
        <w:rPr>
          <w:rFonts w:hint="eastAsia" w:ascii="宋体" w:hAnsi="宋体" w:cs="宋体"/>
          <w:b/>
          <w:color w:val="auto"/>
          <w:szCs w:val="21"/>
        </w:rPr>
        <w:t>、经验/预期赔付率调整系数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F5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3"/>
        <w:gridCol w:w="3079"/>
      </w:tblGrid>
      <w:tr w14:paraId="60658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5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520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经验/预期赔付率</w:t>
            </w:r>
          </w:p>
        </w:tc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D2B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2581D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131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0%-65%（含）</w:t>
            </w:r>
          </w:p>
        </w:tc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10E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[0.7,1.0]</w:t>
            </w:r>
          </w:p>
        </w:tc>
      </w:tr>
      <w:tr w14:paraId="3F490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D2A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65%以上</w:t>
            </w:r>
          </w:p>
        </w:tc>
        <w:tc>
          <w:tcPr>
            <w:tcW w:w="3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DED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(1.0,1.3]</w:t>
            </w:r>
          </w:p>
        </w:tc>
      </w:tr>
    </w:tbl>
    <w:p w14:paraId="3CE6D0CE">
      <w:pPr>
        <w:pStyle w:val="14"/>
        <w:spacing w:line="360" w:lineRule="auto"/>
        <w:rPr>
          <w:rFonts w:hint="eastAsia" w:ascii="宋体" w:hAnsi="宋体" w:cs="宋体"/>
          <w:b/>
          <w:color w:val="FF0000"/>
          <w:szCs w:val="21"/>
        </w:rPr>
      </w:pPr>
    </w:p>
    <w:p w14:paraId="14A2A8D5">
      <w:pPr>
        <w:pStyle w:val="14"/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eastAsia="PMingLiU" w:cs="宋体"/>
          <w:b/>
          <w:szCs w:val="21"/>
        </w:rPr>
        <w:t>6</w:t>
      </w:r>
      <w:r>
        <w:rPr>
          <w:rFonts w:hint="eastAsia" w:ascii="宋体" w:hAnsi="宋体" w:cs="宋体"/>
          <w:b/>
          <w:color w:val="auto"/>
          <w:szCs w:val="21"/>
        </w:rPr>
        <w:t>、被保险人常住地风险状况调整系数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F6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8"/>
        <w:tblW w:w="498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5"/>
        <w:gridCol w:w="2971"/>
      </w:tblGrid>
      <w:tr w14:paraId="1201B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5526" w:type="dxa"/>
          </w:tcPr>
          <w:p w14:paraId="15727A3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Cs w:val="21"/>
              </w:rPr>
              <w:t>常住地风险状况</w:t>
            </w:r>
          </w:p>
        </w:tc>
        <w:tc>
          <w:tcPr>
            <w:tcW w:w="2972" w:type="dxa"/>
          </w:tcPr>
          <w:p w14:paraId="105AB26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Cs w:val="21"/>
              </w:rPr>
              <w:t>调整系数</w:t>
            </w:r>
          </w:p>
        </w:tc>
      </w:tr>
      <w:tr w14:paraId="3D981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526" w:type="dxa"/>
          </w:tcPr>
          <w:p w14:paraId="24B1F5D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低风险</w:t>
            </w:r>
          </w:p>
        </w:tc>
        <w:tc>
          <w:tcPr>
            <w:tcW w:w="2972" w:type="dxa"/>
          </w:tcPr>
          <w:p w14:paraId="039879A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[0.7,0.8]</w:t>
            </w:r>
          </w:p>
        </w:tc>
      </w:tr>
      <w:tr w14:paraId="189BA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5526" w:type="dxa"/>
          </w:tcPr>
          <w:p w14:paraId="6E3BB17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中风险</w:t>
            </w:r>
          </w:p>
        </w:tc>
        <w:tc>
          <w:tcPr>
            <w:tcW w:w="2972" w:type="dxa"/>
          </w:tcPr>
          <w:p w14:paraId="04AA163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(0.8,1.0]</w:t>
            </w:r>
          </w:p>
        </w:tc>
      </w:tr>
      <w:tr w14:paraId="2C591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526" w:type="dxa"/>
          </w:tcPr>
          <w:p w14:paraId="081F8FA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高风险</w:t>
            </w:r>
          </w:p>
        </w:tc>
        <w:tc>
          <w:tcPr>
            <w:tcW w:w="2972" w:type="dxa"/>
          </w:tcPr>
          <w:p w14:paraId="4239F79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(1.0,1.3]</w:t>
            </w:r>
          </w:p>
        </w:tc>
      </w:tr>
    </w:tbl>
    <w:p w14:paraId="6332A9D9">
      <w:pPr>
        <w:pStyle w:val="14"/>
        <w:spacing w:line="360" w:lineRule="auto"/>
        <w:rPr>
          <w:rFonts w:hint="eastAsia" w:ascii="宋体" w:hAnsi="宋体" w:eastAsia="PMingLiU" w:cs="宋体"/>
          <w:bCs/>
          <w:color w:val="auto"/>
          <w:szCs w:val="21"/>
          <w:lang w:eastAsia="zh-CN"/>
        </w:rPr>
      </w:pPr>
      <w:r>
        <w:rPr>
          <w:rFonts w:hint="eastAsia" w:ascii="宋体" w:hAnsi="宋体" w:cs="宋体"/>
          <w:bCs/>
          <w:color w:val="auto"/>
          <w:szCs w:val="21"/>
        </w:rPr>
        <w:t>注：常住地的风险状况根据常住地的社会治安、交通秩序、安全设施等进行划分。</w:t>
      </w:r>
    </w:p>
    <w:p w14:paraId="2DF8E20E">
      <w:pPr>
        <w:pStyle w:val="14"/>
        <w:spacing w:line="360" w:lineRule="auto"/>
        <w:rPr>
          <w:rFonts w:hint="eastAsia" w:ascii="宋体" w:hAnsi="宋体" w:eastAsia="PMingLiU" w:cs="宋体"/>
          <w:bCs/>
          <w:color w:val="FF0000"/>
          <w:szCs w:val="21"/>
        </w:rPr>
      </w:pPr>
    </w:p>
    <w:p w14:paraId="5BFEF372">
      <w:pPr>
        <w:pStyle w:val="14"/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eastAsia="PMingLiU" w:cs="宋体"/>
          <w:b/>
          <w:szCs w:val="21"/>
          <w:lang w:eastAsia="zh-TW"/>
        </w:rPr>
        <w:t>7</w:t>
      </w:r>
      <w:r>
        <w:rPr>
          <w:rFonts w:hint="eastAsia" w:ascii="宋体" w:hAnsi="宋体" w:cs="宋体"/>
          <w:b/>
          <w:szCs w:val="21"/>
          <w:lang w:eastAsia="zh-TW"/>
        </w:rPr>
        <w:t>、</w:t>
      </w:r>
      <w:r>
        <w:rPr>
          <w:rFonts w:hint="eastAsia" w:ascii="宋体" w:hAnsi="宋体" w:cs="宋体"/>
          <w:b/>
          <w:color w:val="auto"/>
          <w:szCs w:val="21"/>
        </w:rPr>
        <w:t>渠道调整系数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color w:val="auto"/>
          <w:szCs w:val="21"/>
          <w:lang w:val="en-US" w:eastAsia="zh-CN"/>
        </w:rPr>
        <w:t>F7</w:t>
      </w:r>
      <w:r>
        <w:rPr>
          <w:rFonts w:hint="eastAsia" w:ascii="宋体" w:hAnsi="宋体" w:cs="宋体"/>
          <w:b/>
          <w:color w:val="auto"/>
          <w:szCs w:val="21"/>
          <w:lang w:eastAsia="zh-CN"/>
        </w:rPr>
        <w:t>）</w:t>
      </w: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4"/>
        <w:gridCol w:w="3108"/>
      </w:tblGrid>
      <w:tr w14:paraId="42D80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AC5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渠道类型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3D9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64CC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510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直销（或销售费用率等同直销的渠道）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D5D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[0.7,1.0]</w:t>
            </w:r>
          </w:p>
        </w:tc>
      </w:tr>
      <w:tr w14:paraId="6F0A9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1F9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其他第三方渠道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76E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1.0,1.3]</w:t>
            </w:r>
          </w:p>
        </w:tc>
      </w:tr>
    </w:tbl>
    <w:p w14:paraId="4A503678">
      <w:pPr>
        <w:pStyle w:val="13"/>
        <w:adjustRightInd w:val="0"/>
        <w:snapToGrid w:val="0"/>
        <w:jc w:val="left"/>
        <w:rPr>
          <w:rFonts w:hint="default" w:ascii="宋体" w:hAnsi="宋体" w:eastAsia="宋体"/>
          <w:b w:val="0"/>
          <w:bCs w:val="0"/>
          <w:color w:val="auto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Cs w:val="21"/>
          <w:lang w:val="en-US" w:eastAsia="zh-CN"/>
        </w:rPr>
        <w:t>注：根据渠道销售费用率水平按比例调整。</w:t>
      </w:r>
    </w:p>
    <w:p w14:paraId="76AE2DE8">
      <w:pPr>
        <w:pStyle w:val="14"/>
        <w:numPr>
          <w:ilvl w:val="255"/>
          <w:numId w:val="0"/>
        </w:numPr>
        <w:spacing w:line="360" w:lineRule="auto"/>
        <w:rPr>
          <w:rFonts w:hint="eastAsia" w:ascii="宋体" w:hAnsi="宋体" w:eastAsia="PMingLiU" w:cs="宋体"/>
          <w:b/>
          <w:color w:val="FF0000"/>
          <w:szCs w:val="21"/>
        </w:rPr>
      </w:pPr>
    </w:p>
    <w:p w14:paraId="7FD2FBF6">
      <w:pPr>
        <w:pStyle w:val="14"/>
        <w:spacing w:line="360" w:lineRule="auto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三、保险费计算</w:t>
      </w:r>
    </w:p>
    <w:p w14:paraId="49EA35EC">
      <w:pPr>
        <w:pStyle w:val="14"/>
        <w:spacing w:line="360" w:lineRule="auto"/>
        <w:ind w:firstLine="420" w:firstLineChars="200"/>
        <w:jc w:val="right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单位：元</w:t>
      </w:r>
    </w:p>
    <w:p w14:paraId="6EDA7E13">
      <w:pPr>
        <w:pStyle w:val="14"/>
        <w:spacing w:line="360" w:lineRule="auto"/>
        <w:rPr>
          <w:rFonts w:hint="eastAsia" w:ascii="宋体" w:hAnsi="宋体" w:eastAsia="PMingLiU" w:cs="宋体"/>
          <w:bCs/>
        </w:rPr>
      </w:pPr>
      <w:r>
        <w:rPr>
          <w:rFonts w:hint="eastAsia" w:ascii="宋体" w:hAnsi="宋体" w:cs="宋体"/>
          <w:bCs/>
          <w:color w:val="auto"/>
          <w:szCs w:val="21"/>
        </w:rPr>
        <w:t>每个家庭的保险费=</w:t>
      </w:r>
      <w:r>
        <w:rPr>
          <w:rFonts w:hint="eastAsia" w:ascii="宋体" w:hAnsi="宋体" w:cs="宋体"/>
          <w:bCs/>
          <w:szCs w:val="24"/>
        </w:rPr>
        <w:t>保险金额×基准费率×</w:t>
      </w:r>
      <w:r>
        <w:rPr>
          <w:rFonts w:hint="eastAsia" w:ascii="宋体" w:hAnsi="宋体" w:cs="宋体"/>
          <w:bCs/>
          <w:color w:val="auto"/>
          <w:szCs w:val="21"/>
        </w:rPr>
        <w:t>F1×F2×F3×F4×F5×F</w:t>
      </w:r>
      <w:r>
        <w:rPr>
          <w:rFonts w:hint="eastAsia" w:ascii="宋体" w:hAnsi="宋体" w:eastAsia="PMingLiU" w:cs="宋体"/>
          <w:bCs/>
          <w:color w:val="auto"/>
          <w:szCs w:val="21"/>
        </w:rPr>
        <w:t>6</w:t>
      </w:r>
      <w:r>
        <w:rPr>
          <w:rFonts w:hint="eastAsia" w:ascii="宋体" w:hAnsi="宋体" w:cs="宋体"/>
          <w:bCs/>
          <w:color w:val="auto"/>
          <w:szCs w:val="21"/>
        </w:rPr>
        <w:t>×F</w:t>
      </w:r>
      <w:r>
        <w:rPr>
          <w:rFonts w:hint="eastAsia" w:ascii="宋体" w:hAnsi="宋体" w:eastAsia="PMingLiU" w:cs="宋体"/>
          <w:bCs/>
          <w:color w:val="auto"/>
          <w:szCs w:val="21"/>
        </w:rPr>
        <w:t>7</w:t>
      </w:r>
    </w:p>
    <w:p w14:paraId="0648BAF4">
      <w:pPr>
        <w:pStyle w:val="14"/>
        <w:spacing w:line="360" w:lineRule="auto"/>
        <w:rPr>
          <w:rFonts w:hint="eastAsia" w:ascii="宋体" w:hAnsi="宋体" w:cs="宋体"/>
          <w:b/>
          <w:color w:val="FF0000"/>
          <w:szCs w:val="21"/>
        </w:rPr>
      </w:pPr>
    </w:p>
    <w:p w14:paraId="7325E377">
      <w:pPr>
        <w:pStyle w:val="14"/>
        <w:spacing w:line="360" w:lineRule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四、短期费率表</w:t>
      </w:r>
    </w:p>
    <w:p w14:paraId="3073BD8F">
      <w:pPr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 w14:paraId="01EA0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4114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746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CFBF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3738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2D37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7536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90F3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4DCC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EB91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3874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1DA3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53F3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20AC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</w:t>
            </w:r>
          </w:p>
          <w:p w14:paraId="2552730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</w:t>
            </w:r>
          </w:p>
          <w:p w14:paraId="21C5F00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个</w:t>
            </w:r>
          </w:p>
          <w:p w14:paraId="5809593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月</w:t>
            </w:r>
          </w:p>
        </w:tc>
      </w:tr>
      <w:tr w14:paraId="2BBC0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43CC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年保险费的百分比</w:t>
            </w:r>
            <w:bookmarkStart w:id="0" w:name="_GoBack"/>
            <w:bookmarkEnd w:id="0"/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7A0DD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5B739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61392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32530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FD691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4AD84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74F4F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4E294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AF61C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45430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54BB8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B3403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100%</w:t>
            </w:r>
          </w:p>
        </w:tc>
      </w:tr>
    </w:tbl>
    <w:p w14:paraId="3B4A7F0F">
      <w:pPr>
        <w:spacing w:line="360" w:lineRule="auto"/>
        <w:rPr>
          <w:rFonts w:hint="eastAsia" w:ascii="宋体" w:hAnsi="宋体" w:eastAsia="宋体" w:cs="宋体"/>
          <w:color w:val="FF0000"/>
        </w:rPr>
      </w:pPr>
    </w:p>
    <w:p w14:paraId="3EA01560">
      <w:pPr>
        <w:spacing w:line="360" w:lineRule="auto"/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38532"/>
    </w:sdtPr>
    <w:sdtContent>
      <w:p w14:paraId="6A2EA60B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242D82A">
    <w:pPr>
      <w:pStyle w:val="4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DNhZmI4YWY4ZmYzMmUwNTU4NzQ2MTJhZGM5MGYifQ=="/>
  </w:docVars>
  <w:rsids>
    <w:rsidRoot w:val="007B2B0B"/>
    <w:rsid w:val="00001CC4"/>
    <w:rsid w:val="00063B96"/>
    <w:rsid w:val="00121C13"/>
    <w:rsid w:val="002156D9"/>
    <w:rsid w:val="002C7273"/>
    <w:rsid w:val="002D4324"/>
    <w:rsid w:val="002D6291"/>
    <w:rsid w:val="00303B45"/>
    <w:rsid w:val="00325802"/>
    <w:rsid w:val="003700AD"/>
    <w:rsid w:val="003F1450"/>
    <w:rsid w:val="00471281"/>
    <w:rsid w:val="00596470"/>
    <w:rsid w:val="005B08D7"/>
    <w:rsid w:val="005B122F"/>
    <w:rsid w:val="005B7A4E"/>
    <w:rsid w:val="00650035"/>
    <w:rsid w:val="006E52AA"/>
    <w:rsid w:val="006E7E53"/>
    <w:rsid w:val="007443E2"/>
    <w:rsid w:val="007B2B0B"/>
    <w:rsid w:val="00813A67"/>
    <w:rsid w:val="00867879"/>
    <w:rsid w:val="00883465"/>
    <w:rsid w:val="0089439F"/>
    <w:rsid w:val="008F1FCE"/>
    <w:rsid w:val="00A2088B"/>
    <w:rsid w:val="00A24AF0"/>
    <w:rsid w:val="00AF3145"/>
    <w:rsid w:val="00B34198"/>
    <w:rsid w:val="00B9216A"/>
    <w:rsid w:val="00B9700E"/>
    <w:rsid w:val="00B970F5"/>
    <w:rsid w:val="00BC092A"/>
    <w:rsid w:val="00C13F1C"/>
    <w:rsid w:val="00CA31A5"/>
    <w:rsid w:val="00D46774"/>
    <w:rsid w:val="00EC7B26"/>
    <w:rsid w:val="00F343A0"/>
    <w:rsid w:val="00F67801"/>
    <w:rsid w:val="00FD0B7C"/>
    <w:rsid w:val="0A5E32B7"/>
    <w:rsid w:val="0B7C114D"/>
    <w:rsid w:val="17135596"/>
    <w:rsid w:val="28C130D1"/>
    <w:rsid w:val="30A12362"/>
    <w:rsid w:val="3AD60107"/>
    <w:rsid w:val="43597CA2"/>
    <w:rsid w:val="48CF0C21"/>
    <w:rsid w:val="4ADF3512"/>
    <w:rsid w:val="4D5C78F3"/>
    <w:rsid w:val="4FD801DF"/>
    <w:rsid w:val="548F3A5F"/>
    <w:rsid w:val="5A87106F"/>
    <w:rsid w:val="5D5C1A16"/>
    <w:rsid w:val="672369FF"/>
    <w:rsid w:val="6AC54D3D"/>
    <w:rsid w:val="6B3F2775"/>
    <w:rsid w:val="6E1137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1080</Words>
  <Characters>1412</Characters>
  <Lines>10</Lines>
  <Paragraphs>3</Paragraphs>
  <TotalTime>1</TotalTime>
  <ScaleCrop>false</ScaleCrop>
  <LinksUpToDate>false</LinksUpToDate>
  <CharactersWithSpaces>1414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2024-12-27T02:44:00Z</dcterms:created>
  <dc:creator>王文成</dc:creator>
  <cp:lastModifiedBy>刘晴</cp:lastModifiedBy>
  <dcterms:modified xsi:type="dcterms:W3CDTF">2025-05-22T07:48:57Z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C3DC2F82A51E4AE290D19D479E667040_13</vt:lpwstr>
  </property>
  <property fmtid="{D5CDD505-2E9C-101B-9397-08002B2CF9AE}" pid="4" name="KSOTemplateDocerSaveRecord">
    <vt:lpwstr>eyJoZGlkIjoiNDliYjdkZTVmYzhmY2M2ZjVlNTI4ZjRlOGI0ZGE3NTYiLCJ1c2VySWQiOiIzNTMwMjI3ODQifQ==</vt:lpwstr>
  </property>
</Properties>
</file>