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4A855"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华农财产保险股份有限公司</w:t>
      </w:r>
    </w:p>
    <w:p w14:paraId="24C32E4E">
      <w:pPr>
        <w:jc w:val="center"/>
        <w:rPr>
          <w:rFonts w:hint="eastAsia" w:ascii="宋体" w:hAnsi="宋体" w:eastAsia="宋体" w:cs="宋体"/>
          <w:b/>
          <w:sz w:val="28"/>
          <w:szCs w:val="28"/>
          <w:lang w:eastAsia="zh-Hans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摩托车驾驶员意外伤害保险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B款</w:t>
      </w:r>
      <w:r>
        <w:rPr>
          <w:rFonts w:hint="eastAsia" w:ascii="宋体" w:hAnsi="宋体" w:eastAsia="宋体" w:cs="宋体"/>
          <w:b/>
          <w:sz w:val="28"/>
          <w:szCs w:val="28"/>
        </w:rPr>
        <w:t>费率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表</w:t>
      </w:r>
    </w:p>
    <w:p w14:paraId="03442EB9">
      <w:pPr>
        <w:spacing w:after="156" w:afterLines="50" w:line="276" w:lineRule="auto"/>
        <w:rPr>
          <w:rFonts w:hint="eastAsia" w:ascii="宋体" w:hAnsi="宋体" w:eastAsia="宋体" w:cs="宋体"/>
          <w:color w:val="FF0000"/>
          <w:szCs w:val="21"/>
        </w:rPr>
      </w:pPr>
    </w:p>
    <w:p w14:paraId="7A0C4060">
      <w:pPr>
        <w:spacing w:after="156" w:afterLines="50" w:line="276" w:lineRule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eastAsia="zh-Hans"/>
        </w:rPr>
        <w:t>一、基准</w:t>
      </w:r>
      <w:r>
        <w:rPr>
          <w:rFonts w:hint="eastAsia" w:ascii="宋体" w:hAnsi="宋体" w:eastAsia="宋体" w:cs="宋体"/>
          <w:b/>
          <w:bCs/>
          <w:szCs w:val="21"/>
        </w:rPr>
        <w:t>费率</w:t>
      </w:r>
    </w:p>
    <w:tbl>
      <w:tblPr>
        <w:tblStyle w:val="2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3315"/>
        <w:gridCol w:w="3151"/>
      </w:tblGrid>
      <w:tr w14:paraId="7BE9C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8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45A27B">
            <w:pPr>
              <w:widowControl/>
              <w:spacing w:before="62" w:beforeLines="20" w:after="62" w:afterLines="20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</w:pPr>
            <w:bookmarkStart w:id="0" w:name="OLE_LINK1" w:colFirst="0" w:colLast="2"/>
            <w:r>
              <w:rPr>
                <w:rFonts w:hint="eastAsia" w:ascii="宋体" w:hAnsi="宋体" w:eastAsia="宋体" w:cs="宋体"/>
                <w:kern w:val="0"/>
                <w:szCs w:val="21"/>
              </w:rPr>
              <w:t>保障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项目</w:t>
            </w: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6A7F0">
            <w:pPr>
              <w:widowControl/>
              <w:spacing w:before="62" w:beforeLines="20" w:after="62" w:afterLines="20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必选责任</w:t>
            </w:r>
          </w:p>
        </w:tc>
        <w:tc>
          <w:tcPr>
            <w:tcW w:w="3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B2C64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可选责任</w:t>
            </w:r>
          </w:p>
        </w:tc>
      </w:tr>
      <w:tr w14:paraId="43250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8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3D8ED">
            <w:pPr>
              <w:widowControl/>
              <w:spacing w:before="62" w:beforeLines="20" w:after="62" w:afterLines="20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E4F76">
            <w:pPr>
              <w:widowControl/>
              <w:spacing w:before="62" w:beforeLines="20" w:after="62" w:afterLines="20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意外伤害身故保险责任</w:t>
            </w:r>
          </w:p>
        </w:tc>
        <w:tc>
          <w:tcPr>
            <w:tcW w:w="3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FDFCA">
            <w:pPr>
              <w:widowControl/>
              <w:spacing w:before="62" w:beforeLines="20" w:after="62" w:afterLines="20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意外伤害伤残保险责任</w:t>
            </w:r>
          </w:p>
        </w:tc>
      </w:tr>
      <w:tr w14:paraId="27332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CF8B8">
            <w:pPr>
              <w:widowControl/>
              <w:spacing w:before="62" w:beforeLines="20" w:after="62" w:afterLines="20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费率</w:t>
            </w: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E077E">
            <w:pPr>
              <w:widowControl/>
              <w:spacing w:before="62" w:beforeLines="20" w:after="62" w:afterLines="20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0.7‰</w:t>
            </w:r>
          </w:p>
        </w:tc>
        <w:tc>
          <w:tcPr>
            <w:tcW w:w="3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AB7F2">
            <w:pPr>
              <w:widowControl/>
              <w:spacing w:before="62" w:beforeLines="20" w:after="62" w:afterLines="20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‰</w:t>
            </w:r>
          </w:p>
        </w:tc>
      </w:tr>
      <w:bookmarkEnd w:id="0"/>
    </w:tbl>
    <w:p w14:paraId="34AEA69D">
      <w:pPr>
        <w:spacing w:after="156" w:afterLines="50" w:line="276" w:lineRule="auto"/>
        <w:rPr>
          <w:rFonts w:hint="eastAsia" w:ascii="宋体" w:hAnsi="宋体" w:eastAsia="宋体" w:cs="宋体"/>
          <w:b/>
          <w:bCs/>
          <w:color w:val="FF0000"/>
          <w:szCs w:val="21"/>
        </w:rPr>
      </w:pPr>
    </w:p>
    <w:p w14:paraId="7EBEAAF0">
      <w:pPr>
        <w:adjustRightInd w:val="0"/>
        <w:snapToGrid w:val="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二、费率调整系数</w:t>
      </w:r>
    </w:p>
    <w:p w14:paraId="51CC2DE2">
      <w:pPr>
        <w:numPr>
          <w:ilvl w:val="0"/>
          <w:numId w:val="0"/>
        </w:numPr>
        <w:adjustRightInd w:val="0"/>
        <w:snapToGrid w:val="0"/>
        <w:rPr>
          <w:rFonts w:hint="eastAsia" w:ascii="宋体" w:hAnsi="宋体" w:eastAsia="宋体" w:cs="宋体"/>
          <w:szCs w:val="21"/>
        </w:rPr>
      </w:pPr>
      <w:bookmarkStart w:id="1" w:name="OLE_LINK2"/>
      <w:r>
        <w:rPr>
          <w:rFonts w:hint="eastAsia" w:ascii="宋体" w:hAnsi="宋体" w:eastAsia="宋体" w:cs="宋体"/>
          <w:szCs w:val="21"/>
        </w:rPr>
        <w:t>1、投保地区风险调整系数（F1）</w:t>
      </w:r>
    </w:p>
    <w:tbl>
      <w:tblPr>
        <w:tblStyle w:val="27"/>
        <w:tblW w:w="82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1"/>
        <w:gridCol w:w="3014"/>
      </w:tblGrid>
      <w:tr w14:paraId="67117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231" w:type="dxa"/>
            <w:vAlign w:val="center"/>
          </w:tcPr>
          <w:p w14:paraId="182E15E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投保地区风险</w:t>
            </w:r>
          </w:p>
        </w:tc>
        <w:tc>
          <w:tcPr>
            <w:tcW w:w="3014" w:type="dxa"/>
            <w:vAlign w:val="center"/>
          </w:tcPr>
          <w:p w14:paraId="192DC85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调整系数</w:t>
            </w:r>
          </w:p>
        </w:tc>
      </w:tr>
      <w:tr w14:paraId="7931C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5231" w:type="dxa"/>
            <w:vAlign w:val="center"/>
          </w:tcPr>
          <w:p w14:paraId="0F226C6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高风险</w:t>
            </w:r>
          </w:p>
        </w:tc>
        <w:tc>
          <w:tcPr>
            <w:tcW w:w="3014" w:type="dxa"/>
            <w:vAlign w:val="center"/>
          </w:tcPr>
          <w:p w14:paraId="4BCCFDF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(1.0,1.3]</w:t>
            </w:r>
          </w:p>
        </w:tc>
      </w:tr>
      <w:tr w14:paraId="4E87C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231" w:type="dxa"/>
            <w:vAlign w:val="center"/>
          </w:tcPr>
          <w:p w14:paraId="17A0209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中等风险</w:t>
            </w:r>
          </w:p>
        </w:tc>
        <w:tc>
          <w:tcPr>
            <w:tcW w:w="3014" w:type="dxa"/>
            <w:vAlign w:val="center"/>
          </w:tcPr>
          <w:p w14:paraId="118ACF1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(0.8,1.0]</w:t>
            </w:r>
          </w:p>
        </w:tc>
      </w:tr>
      <w:tr w14:paraId="7D6B2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5231" w:type="dxa"/>
            <w:vAlign w:val="center"/>
          </w:tcPr>
          <w:p w14:paraId="083EBB3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低风险</w:t>
            </w:r>
          </w:p>
        </w:tc>
        <w:tc>
          <w:tcPr>
            <w:tcW w:w="3014" w:type="dxa"/>
            <w:vAlign w:val="center"/>
          </w:tcPr>
          <w:p w14:paraId="66E3028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[0.7,0.8]</w:t>
            </w:r>
          </w:p>
        </w:tc>
      </w:tr>
    </w:tbl>
    <w:p w14:paraId="2CEB858B">
      <w:pPr>
        <w:adjustRightInd w:val="0"/>
        <w:snapToGrid w:val="0"/>
        <w:rPr>
          <w:rFonts w:hint="eastAsia" w:ascii="宋体" w:hAnsi="宋体" w:eastAsia="宋体" w:cs="宋体"/>
          <w:color w:val="auto"/>
          <w:kern w:val="0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lang w:bidi="ar"/>
        </w:rPr>
        <w:t>注：本项根据投保地</w:t>
      </w:r>
      <w:r>
        <w:rPr>
          <w:rFonts w:hint="eastAsia" w:ascii="宋体" w:hAnsi="宋体" w:eastAsia="宋体" w:cs="宋体"/>
          <w:color w:val="auto"/>
          <w:kern w:val="0"/>
          <w:szCs w:val="21"/>
          <w:lang w:bidi="ar"/>
        </w:rPr>
        <w:t>区经济发展水平、道路建设与交通规划情况、自然灾害风险等因素综合判断。</w:t>
      </w:r>
    </w:p>
    <w:p w14:paraId="39D99368">
      <w:pPr>
        <w:adjustRightInd w:val="0"/>
        <w:snapToGrid w:val="0"/>
        <w:rPr>
          <w:rFonts w:hint="eastAsia" w:ascii="宋体" w:hAnsi="宋体" w:eastAsia="宋体" w:cs="宋体"/>
          <w:color w:val="FF0000"/>
          <w:szCs w:val="21"/>
        </w:rPr>
      </w:pPr>
      <w:bookmarkStart w:id="3" w:name="_GoBack"/>
      <w:bookmarkEnd w:id="3"/>
    </w:p>
    <w:p w14:paraId="595BE15C">
      <w:pPr>
        <w:numPr>
          <w:ilvl w:val="0"/>
          <w:numId w:val="0"/>
        </w:numPr>
        <w:adjustRightInd w:val="0"/>
        <w:snapToGrid w:val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 w:cs="宋体"/>
          <w:szCs w:val="21"/>
        </w:rPr>
        <w:t>被保险人年龄调整系数（F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）</w:t>
      </w:r>
    </w:p>
    <w:tbl>
      <w:tblPr>
        <w:tblStyle w:val="27"/>
        <w:tblW w:w="82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0"/>
        <w:gridCol w:w="2962"/>
      </w:tblGrid>
      <w:tr w14:paraId="339FB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240" w:type="dxa"/>
            <w:vAlign w:val="center"/>
          </w:tcPr>
          <w:p w14:paraId="1FF38B7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被保险人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年龄（周岁）</w:t>
            </w:r>
          </w:p>
        </w:tc>
        <w:tc>
          <w:tcPr>
            <w:tcW w:w="2962" w:type="dxa"/>
            <w:vAlign w:val="center"/>
          </w:tcPr>
          <w:p w14:paraId="0808379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调整系数</w:t>
            </w:r>
          </w:p>
        </w:tc>
      </w:tr>
      <w:tr w14:paraId="56331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240" w:type="dxa"/>
            <w:vAlign w:val="center"/>
          </w:tcPr>
          <w:p w14:paraId="0ADC8EF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18≤年龄≤30</w:t>
            </w:r>
          </w:p>
        </w:tc>
        <w:tc>
          <w:tcPr>
            <w:tcW w:w="2962" w:type="dxa"/>
            <w:vAlign w:val="center"/>
          </w:tcPr>
          <w:p w14:paraId="1F688C1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（1.0,1.5]</w:t>
            </w:r>
          </w:p>
        </w:tc>
      </w:tr>
      <w:tr w14:paraId="56ED2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240" w:type="dxa"/>
            <w:vAlign w:val="center"/>
          </w:tcPr>
          <w:p w14:paraId="2B619BC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0＜年龄≤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0</w:t>
            </w:r>
          </w:p>
        </w:tc>
        <w:tc>
          <w:tcPr>
            <w:tcW w:w="2962" w:type="dxa"/>
            <w:vAlign w:val="center"/>
          </w:tcPr>
          <w:p w14:paraId="5635474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[0.8,1.0)</w:t>
            </w:r>
          </w:p>
        </w:tc>
      </w:tr>
      <w:tr w14:paraId="77B75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240" w:type="dxa"/>
            <w:vAlign w:val="center"/>
          </w:tcPr>
          <w:p w14:paraId="14604AD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0＜年龄≤70</w:t>
            </w:r>
          </w:p>
        </w:tc>
        <w:tc>
          <w:tcPr>
            <w:tcW w:w="2962" w:type="dxa"/>
            <w:vAlign w:val="center"/>
          </w:tcPr>
          <w:p w14:paraId="7033D12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[1.0,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 w:bidi="ar"/>
              </w:rPr>
              <w:t>2.0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]</w:t>
            </w:r>
          </w:p>
        </w:tc>
      </w:tr>
    </w:tbl>
    <w:p w14:paraId="1B22F6D3">
      <w:pPr>
        <w:adjustRightInd w:val="0"/>
        <w:snapToGrid w:val="0"/>
        <w:rPr>
          <w:rFonts w:hint="eastAsia" w:ascii="宋体" w:hAnsi="宋体" w:eastAsia="宋体" w:cs="宋体"/>
          <w:color w:val="FF0000"/>
          <w:szCs w:val="21"/>
        </w:rPr>
      </w:pPr>
    </w:p>
    <w:p w14:paraId="2245A10C">
      <w:pPr>
        <w:numPr>
          <w:ilvl w:val="0"/>
          <w:numId w:val="0"/>
        </w:numPr>
        <w:adjustRightInd w:val="0"/>
        <w:snapToGrid w:val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3、</w:t>
      </w:r>
      <w:r>
        <w:rPr>
          <w:rFonts w:hint="eastAsia" w:ascii="宋体" w:hAnsi="宋体" w:eastAsia="宋体" w:cs="宋体"/>
          <w:color w:val="auto"/>
          <w:szCs w:val="21"/>
        </w:rPr>
        <w:t>被保险人</w:t>
      </w:r>
      <w:r>
        <w:rPr>
          <w:rFonts w:hint="eastAsia" w:ascii="宋体" w:hAnsi="宋体" w:eastAsia="宋体" w:cs="宋体"/>
          <w:szCs w:val="21"/>
        </w:rPr>
        <w:t>驾龄调整系数（F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）</w:t>
      </w:r>
    </w:p>
    <w:tbl>
      <w:tblPr>
        <w:tblStyle w:val="27"/>
        <w:tblW w:w="822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0"/>
        <w:gridCol w:w="2982"/>
      </w:tblGrid>
      <w:tr w14:paraId="3DBB5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0378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被保险人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驾龄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51D0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调整系数</w:t>
            </w:r>
          </w:p>
        </w:tc>
      </w:tr>
      <w:tr w14:paraId="67927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528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驾龄≤1年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DAA6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1.0,1.3]</w:t>
            </w:r>
          </w:p>
        </w:tc>
      </w:tr>
      <w:tr w14:paraId="4CC50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78C9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1年＜驾龄≤3年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1BDD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 w:bidi="ar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,1.0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)</w:t>
            </w:r>
          </w:p>
        </w:tc>
      </w:tr>
      <w:tr w14:paraId="0F6CB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  <w:jc w:val="center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3B8A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驾龄＞3年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FBC7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[0.7,0.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 w:bidi="ar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)</w:t>
            </w:r>
          </w:p>
        </w:tc>
      </w:tr>
    </w:tbl>
    <w:p w14:paraId="6195F53B">
      <w:pPr>
        <w:adjustRightInd w:val="0"/>
        <w:snapToGrid w:val="0"/>
        <w:rPr>
          <w:rFonts w:hint="eastAsia" w:ascii="宋体" w:hAnsi="宋体" w:eastAsia="宋体" w:cs="宋体"/>
          <w:color w:val="FF0000"/>
          <w:szCs w:val="21"/>
        </w:rPr>
      </w:pPr>
    </w:p>
    <w:p w14:paraId="6337E032">
      <w:pPr>
        <w:adjustRightInd w:val="0"/>
        <w:snapToGrid w:val="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被保险人出行风险调整系数（F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tbl>
      <w:tblPr>
        <w:tblStyle w:val="27"/>
        <w:tblW w:w="825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1"/>
        <w:gridCol w:w="2988"/>
      </w:tblGrid>
      <w:tr w14:paraId="46C41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5FF1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被保险人出行风险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784F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调整系数</w:t>
            </w:r>
          </w:p>
        </w:tc>
      </w:tr>
      <w:tr w14:paraId="0BEF1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19C0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高风险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C21F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（1.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1.3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]</w:t>
            </w:r>
          </w:p>
        </w:tc>
      </w:tr>
      <w:tr w14:paraId="3B347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3C3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中等风险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855E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0.9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,1.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]</w:t>
            </w:r>
          </w:p>
        </w:tc>
      </w:tr>
      <w:tr w14:paraId="29B2B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EE9B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bidi="ar"/>
              </w:rPr>
              <w:t>低风险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8C88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[0.7,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0.9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]</w:t>
            </w:r>
          </w:p>
        </w:tc>
      </w:tr>
    </w:tbl>
    <w:p w14:paraId="05B93D9B">
      <w:pPr>
        <w:adjustRightInd w:val="0"/>
        <w:snapToGrid w:val="0"/>
        <w:rPr>
          <w:rFonts w:hint="eastAsia" w:ascii="宋体" w:hAnsi="宋体" w:eastAsia="宋体" w:cs="宋体"/>
          <w:kern w:val="0"/>
          <w:szCs w:val="21"/>
          <w:highlight w:val="none"/>
          <w:lang w:eastAsia="zh-CN" w:bidi="ar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注：本项根据以下信息综合判断：</w:t>
      </w:r>
    </w:p>
    <w:p w14:paraId="59986E9C">
      <w:pPr>
        <w:adjustRightInd w:val="0"/>
        <w:snapToGrid w:val="0"/>
        <w:rPr>
          <w:rFonts w:hint="eastAsia" w:ascii="宋体" w:hAnsi="宋体" w:eastAsia="宋体" w:cs="宋体"/>
          <w:kern w:val="0"/>
          <w:szCs w:val="21"/>
          <w:highlight w:val="none"/>
          <w:lang w:eastAsia="zh-CN" w:bidi="ar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（1）被保险人名下是否有摩托车，或是以单位车辆或出租车辆为主，有自用摩托车的被保险人，风险低于以单位车辆或出租车辆为主的被保险人；</w:t>
      </w:r>
    </w:p>
    <w:p w14:paraId="6E18A8E0">
      <w:pPr>
        <w:adjustRightInd w:val="0"/>
        <w:snapToGrid w:val="0"/>
        <w:rPr>
          <w:rFonts w:hint="eastAsia" w:ascii="宋体" w:hAnsi="宋体" w:eastAsia="宋体" w:cs="宋体"/>
          <w:kern w:val="0"/>
          <w:szCs w:val="21"/>
          <w:highlight w:val="none"/>
          <w:lang w:bidi="ar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（2）有自用摩托车的，属全国知名品牌的、排量较小的，风险较低，反之则风险较高</w:t>
      </w:r>
      <w:r>
        <w:rPr>
          <w:rFonts w:hint="eastAsia" w:ascii="宋体" w:hAnsi="宋体" w:eastAsia="宋体" w:cs="宋体"/>
          <w:kern w:val="0"/>
          <w:szCs w:val="21"/>
          <w:lang w:eastAsia="zh-CN" w:bidi="ar"/>
        </w:rPr>
        <w:t>。</w:t>
      </w:r>
    </w:p>
    <w:p w14:paraId="5D7B8E81">
      <w:pPr>
        <w:adjustRightInd w:val="0"/>
        <w:snapToGrid w:val="0"/>
        <w:rPr>
          <w:rFonts w:hint="eastAsia" w:ascii="宋体" w:hAnsi="宋体" w:eastAsia="宋体" w:cs="宋体"/>
          <w:color w:val="FF0000"/>
          <w:szCs w:val="21"/>
          <w:lang w:eastAsia="zh-TW"/>
        </w:rPr>
      </w:pPr>
    </w:p>
    <w:p w14:paraId="2AAD6CA9">
      <w:pPr>
        <w:numPr>
          <w:ilvl w:val="0"/>
          <w:numId w:val="0"/>
        </w:numPr>
        <w:adjustRightInd w:val="0"/>
        <w:snapToGrid w:val="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渠道预计投保人数调整系数（F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tbl>
      <w:tblPr>
        <w:tblStyle w:val="27"/>
        <w:tblW w:w="834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0"/>
        <w:gridCol w:w="3102"/>
      </w:tblGrid>
      <w:tr w14:paraId="2BF5C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CAF84">
            <w:pPr>
              <w:widowControl/>
              <w:adjustRightInd w:val="0"/>
              <w:snapToGrid w:val="0"/>
              <w:ind w:firstLine="21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渠道预计投保人数</w:t>
            </w:r>
          </w:p>
        </w:tc>
        <w:tc>
          <w:tcPr>
            <w:tcW w:w="3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CBCE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 w14:paraId="6EEF7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53AD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[1,100]</w:t>
            </w:r>
          </w:p>
        </w:tc>
        <w:tc>
          <w:tcPr>
            <w:tcW w:w="3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336C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[1.1,1.3]</w:t>
            </w:r>
          </w:p>
        </w:tc>
      </w:tr>
      <w:tr w14:paraId="608E7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A30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(100,300]</w:t>
            </w:r>
          </w:p>
        </w:tc>
        <w:tc>
          <w:tcPr>
            <w:tcW w:w="3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0FE1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[1.0,1.1)</w:t>
            </w:r>
          </w:p>
        </w:tc>
      </w:tr>
      <w:tr w14:paraId="71681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5C7A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(300,500]</w:t>
            </w:r>
          </w:p>
        </w:tc>
        <w:tc>
          <w:tcPr>
            <w:tcW w:w="3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3547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[0.8,1.0)</w:t>
            </w:r>
          </w:p>
        </w:tc>
      </w:tr>
      <w:tr w14:paraId="263CA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52A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500以上</w:t>
            </w:r>
          </w:p>
        </w:tc>
        <w:tc>
          <w:tcPr>
            <w:tcW w:w="3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CBDC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[0.7,0.8)</w:t>
            </w:r>
          </w:p>
        </w:tc>
      </w:tr>
    </w:tbl>
    <w:p w14:paraId="27CD41A6">
      <w:pPr>
        <w:adjustRightInd w:val="0"/>
        <w:snapToGrid w:val="0"/>
        <w:rPr>
          <w:rFonts w:hint="eastAsia" w:ascii="宋体" w:hAnsi="宋体" w:eastAsia="宋体" w:cs="宋体"/>
          <w:color w:val="FF0000"/>
          <w:szCs w:val="21"/>
        </w:rPr>
      </w:pPr>
    </w:p>
    <w:p w14:paraId="754B5A2D">
      <w:pPr>
        <w:adjustRightInd w:val="0"/>
        <w:snapToGrid w:val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  <w:lang w:eastAsia="zh-Hans"/>
        </w:rPr>
        <w:t>、</w:t>
      </w:r>
      <w:bookmarkStart w:id="2" w:name="OLE_LINK4"/>
      <w:r>
        <w:rPr>
          <w:rFonts w:hint="eastAsia" w:ascii="宋体" w:hAnsi="宋体" w:eastAsia="宋体" w:cs="宋体"/>
          <w:szCs w:val="21"/>
        </w:rPr>
        <w:t>经验/预期赔付率调整系数（F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）</w:t>
      </w:r>
    </w:p>
    <w:tbl>
      <w:tblPr>
        <w:tblStyle w:val="2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2"/>
        <w:gridCol w:w="3180"/>
      </w:tblGrid>
      <w:tr w14:paraId="1B99E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62BB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经验/预期赔付率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AC58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调整系数</w:t>
            </w:r>
          </w:p>
        </w:tc>
      </w:tr>
      <w:tr w14:paraId="290D9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18E0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0%-65%（含）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6E06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[0.7,1.0]</w:t>
            </w:r>
          </w:p>
        </w:tc>
      </w:tr>
      <w:tr w14:paraId="5CBA2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E513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65%以上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14D4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(1.0,1.3]</w:t>
            </w:r>
          </w:p>
        </w:tc>
      </w:tr>
    </w:tbl>
    <w:p w14:paraId="14E31ACE">
      <w:pPr>
        <w:pStyle w:val="54"/>
        <w:adjustRightInd w:val="0"/>
        <w:snapToGrid w:val="0"/>
        <w:jc w:val="left"/>
        <w:rPr>
          <w:rFonts w:hint="eastAsia" w:ascii="宋体" w:hAnsi="宋体" w:eastAsia="宋体" w:cs="宋体"/>
          <w:b/>
          <w:bCs/>
          <w:color w:val="FF0000"/>
          <w:szCs w:val="21"/>
        </w:rPr>
      </w:pPr>
    </w:p>
    <w:p w14:paraId="2E59E456">
      <w:pPr>
        <w:pStyle w:val="54"/>
        <w:adjustRightInd w:val="0"/>
        <w:snapToGrid w:val="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Cs w:val="21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渠道调整系数</w:t>
      </w:r>
      <w:r>
        <w:rPr>
          <w:rFonts w:hint="eastAsia" w:ascii="宋体" w:hAnsi="宋体" w:eastAsia="宋体" w:cs="宋体"/>
          <w:bCs/>
          <w:color w:val="auto"/>
          <w:szCs w:val="21"/>
        </w:rPr>
        <w:t>（F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color w:val="auto"/>
          <w:szCs w:val="21"/>
        </w:rPr>
        <w:t>）</w:t>
      </w:r>
    </w:p>
    <w:tbl>
      <w:tblPr>
        <w:tblStyle w:val="27"/>
        <w:tblW w:w="828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3"/>
        <w:gridCol w:w="3182"/>
      </w:tblGrid>
      <w:tr w14:paraId="451B32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103" w:type="dxa"/>
            <w:vAlign w:val="center"/>
          </w:tcPr>
          <w:p w14:paraId="120A3E98">
            <w:pPr>
              <w:pStyle w:val="54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渠道类型</w:t>
            </w:r>
          </w:p>
        </w:tc>
        <w:tc>
          <w:tcPr>
            <w:tcW w:w="3182" w:type="dxa"/>
            <w:vAlign w:val="center"/>
          </w:tcPr>
          <w:p w14:paraId="5FE45604">
            <w:pPr>
              <w:pStyle w:val="54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调整系数</w:t>
            </w:r>
          </w:p>
        </w:tc>
      </w:tr>
      <w:tr w14:paraId="3A479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5103" w:type="dxa"/>
            <w:vAlign w:val="center"/>
          </w:tcPr>
          <w:p w14:paraId="3465CAF6">
            <w:pPr>
              <w:pStyle w:val="54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直销（或销售费用率等同直销的渠道）</w:t>
            </w:r>
          </w:p>
        </w:tc>
        <w:tc>
          <w:tcPr>
            <w:tcW w:w="3182" w:type="dxa"/>
            <w:vAlign w:val="center"/>
          </w:tcPr>
          <w:p w14:paraId="25290C81">
            <w:pPr>
              <w:pStyle w:val="54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[0.7,1.0]</w:t>
            </w:r>
          </w:p>
        </w:tc>
      </w:tr>
      <w:tr w14:paraId="449EB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5103" w:type="dxa"/>
            <w:vAlign w:val="center"/>
          </w:tcPr>
          <w:p w14:paraId="22EAB4F6">
            <w:pPr>
              <w:pStyle w:val="54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其他第三方渠道</w:t>
            </w:r>
          </w:p>
        </w:tc>
        <w:tc>
          <w:tcPr>
            <w:tcW w:w="3182" w:type="dxa"/>
            <w:vAlign w:val="center"/>
          </w:tcPr>
          <w:p w14:paraId="7E481F09">
            <w:pPr>
              <w:pStyle w:val="54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1.0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,1.3]</w:t>
            </w:r>
          </w:p>
        </w:tc>
      </w:tr>
      <w:bookmarkEnd w:id="1"/>
      <w:bookmarkEnd w:id="2"/>
    </w:tbl>
    <w:p w14:paraId="71C63C30">
      <w:pPr>
        <w:adjustRightInd w:val="0"/>
        <w:snapToGrid w:val="0"/>
        <w:rPr>
          <w:rFonts w:hint="eastAsia" w:ascii="宋体" w:hAnsi="宋体" w:eastAsia="宋体" w:cs="宋体"/>
          <w:b/>
          <w:bCs/>
          <w:color w:val="FF0000"/>
          <w:szCs w:val="21"/>
        </w:rPr>
      </w:pPr>
    </w:p>
    <w:p w14:paraId="5065808D">
      <w:pPr>
        <w:numPr>
          <w:ilvl w:val="0"/>
          <w:numId w:val="1"/>
        </w:numPr>
        <w:adjustRightInd w:val="0"/>
        <w:snapToGrid w:val="0"/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保险费计算公式</w:t>
      </w:r>
    </w:p>
    <w:p w14:paraId="1700DCC7">
      <w:pPr>
        <w:pStyle w:val="54"/>
        <w:adjustRightInd w:val="0"/>
        <w:snapToGrid w:val="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1、必选责任保险费=意外伤害保险金额×意外伤害身故责任基</w:t>
      </w:r>
      <w:r>
        <w:rPr>
          <w:rFonts w:hint="eastAsia" w:ascii="宋体" w:hAnsi="宋体" w:eastAsia="宋体" w:cs="宋体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准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费率×F1×F2×F3×F4×F5×F6×F7</w:t>
      </w:r>
    </w:p>
    <w:p w14:paraId="63D2BB73">
      <w:pPr>
        <w:pStyle w:val="54"/>
        <w:adjustRightInd w:val="0"/>
        <w:snapToGrid w:val="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2、可选责任保险费=意外伤害保险金额×意外伤害伤残责任基</w:t>
      </w:r>
      <w:r>
        <w:rPr>
          <w:rFonts w:hint="eastAsia" w:ascii="宋体" w:hAnsi="宋体" w:eastAsia="宋体" w:cs="宋体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准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费率×F1×F2×F3×F4×F5×F6×F7</w:t>
      </w:r>
    </w:p>
    <w:p w14:paraId="5402635D">
      <w:pPr>
        <w:adjustRightInd w:val="0"/>
        <w:snapToGrid w:val="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3、保险费=必选责任保险费+可选责任保险费</w:t>
      </w:r>
    </w:p>
    <w:p w14:paraId="3668F460">
      <w:pPr>
        <w:adjustRightInd w:val="0"/>
        <w:snapToGrid w:val="0"/>
        <w:rPr>
          <w:rFonts w:hint="eastAsia" w:ascii="宋体" w:hAnsi="宋体" w:eastAsia="宋体" w:cs="宋体"/>
          <w:b/>
          <w:bCs/>
          <w:color w:val="FF0000"/>
          <w:szCs w:val="21"/>
        </w:rPr>
      </w:pPr>
    </w:p>
    <w:p w14:paraId="1C3915FA">
      <w:pPr>
        <w:adjustRightInd w:val="0"/>
        <w:snapToGrid w:val="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短期费率表</w:t>
      </w: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540"/>
        <w:gridCol w:w="540"/>
        <w:gridCol w:w="540"/>
        <w:gridCol w:w="540"/>
        <w:gridCol w:w="540"/>
        <w:gridCol w:w="540"/>
        <w:gridCol w:w="540"/>
        <w:gridCol w:w="540"/>
        <w:gridCol w:w="541"/>
        <w:gridCol w:w="541"/>
        <w:gridCol w:w="541"/>
        <w:gridCol w:w="667"/>
      </w:tblGrid>
      <w:tr w14:paraId="6F5E2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exact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6E9B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保险期间（个月）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5D8B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23B9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D0F1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BB0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30EE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4615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E104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8168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9F8E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96FB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A639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E244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 w14:paraId="2A69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exact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CA47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年保险费的百分比（%）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1093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1AB4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1FD5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98BC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D93F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6C4C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EB71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FF0F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C259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A6D2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CB8F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F6ED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 w14:paraId="09D65DBE">
      <w:pPr>
        <w:adjustRightInd w:val="0"/>
        <w:snapToGrid w:val="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注：保险期间不足1个月的，按1个月计算；保险期间在1个月以上，不足2个月的</w:t>
      </w:r>
      <w:r>
        <w:rPr>
          <w:rFonts w:hint="eastAsia" w:ascii="宋体" w:hAnsi="宋体" w:eastAsia="宋体" w:cs="宋体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按2个月计算；保险期间在2个月以上，不足3个月的，按3个月计算，依此类推。</w:t>
      </w:r>
    </w:p>
    <w:p w14:paraId="6E43032A">
      <w:pPr>
        <w:adjustRightInd w:val="0"/>
        <w:snapToGrid w:val="0"/>
        <w:ind w:firstLine="424" w:firstLineChars="202"/>
        <w:rPr>
          <w:rFonts w:hint="eastAsia" w:ascii="宋体" w:hAnsi="宋体" w:eastAsia="宋体" w:cs="宋体"/>
          <w:color w:val="FF0000"/>
          <w:szCs w:val="21"/>
        </w:rPr>
      </w:pPr>
    </w:p>
    <w:p w14:paraId="67802D72">
      <w:pPr>
        <w:adjustRightInd w:val="0"/>
        <w:snapToGrid w:val="0"/>
        <w:rPr>
          <w:rFonts w:hint="eastAsia" w:ascii="宋体" w:hAnsi="宋体" w:eastAsia="宋体" w:cs="宋体"/>
          <w:color w:val="FF0000"/>
        </w:rPr>
      </w:pPr>
    </w:p>
    <w:p w14:paraId="037C76A5">
      <w:pPr>
        <w:adjustRightInd w:val="0"/>
        <w:snapToGrid w:val="0"/>
        <w:rPr>
          <w:rFonts w:hint="eastAsia" w:ascii="宋体" w:hAnsi="宋体" w:eastAsia="宋体" w:cs="宋体"/>
          <w:color w:val="FF0000"/>
        </w:rPr>
      </w:pP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B31780">
    <w:pPr>
      <w:pStyle w:val="1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C387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7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Wf6dL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79C387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DC3301">
    <w:pPr>
      <w:pStyle w:val="16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5AA15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7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G1H4T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5AA15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28DE554">
    <w:pPr>
      <w:pStyle w:val="1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2D3A98"/>
    <w:multiLevelType w:val="singleLevel"/>
    <w:tmpl w:val="822D3A9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DNhZmI4YWY4ZmYzMmUwNTU4NzQ2MTJhZGM5MGYifQ=="/>
  </w:docVars>
  <w:rsids>
    <w:rsidRoot w:val="002B434E"/>
    <w:rsid w:val="00065759"/>
    <w:rsid w:val="00090CAC"/>
    <w:rsid w:val="000B0839"/>
    <w:rsid w:val="0013327E"/>
    <w:rsid w:val="00135B6D"/>
    <w:rsid w:val="0016076A"/>
    <w:rsid w:val="0018046F"/>
    <w:rsid w:val="001C4208"/>
    <w:rsid w:val="00255AE9"/>
    <w:rsid w:val="002646C0"/>
    <w:rsid w:val="002825EE"/>
    <w:rsid w:val="002B434E"/>
    <w:rsid w:val="002F65DD"/>
    <w:rsid w:val="003330EC"/>
    <w:rsid w:val="00374A26"/>
    <w:rsid w:val="003F547D"/>
    <w:rsid w:val="0044704F"/>
    <w:rsid w:val="00492C89"/>
    <w:rsid w:val="00505F1F"/>
    <w:rsid w:val="00541C2C"/>
    <w:rsid w:val="005578EB"/>
    <w:rsid w:val="005B0F20"/>
    <w:rsid w:val="005E23A9"/>
    <w:rsid w:val="006037DA"/>
    <w:rsid w:val="00690693"/>
    <w:rsid w:val="006E7D70"/>
    <w:rsid w:val="00784ACE"/>
    <w:rsid w:val="007D146C"/>
    <w:rsid w:val="007E4D3D"/>
    <w:rsid w:val="008131CB"/>
    <w:rsid w:val="008331E5"/>
    <w:rsid w:val="00884927"/>
    <w:rsid w:val="008B3770"/>
    <w:rsid w:val="008D57C1"/>
    <w:rsid w:val="008F40A4"/>
    <w:rsid w:val="00927BA3"/>
    <w:rsid w:val="009572A8"/>
    <w:rsid w:val="00975A1B"/>
    <w:rsid w:val="00982F6E"/>
    <w:rsid w:val="00991474"/>
    <w:rsid w:val="009E36B2"/>
    <w:rsid w:val="009F507B"/>
    <w:rsid w:val="00A200AB"/>
    <w:rsid w:val="00A32E62"/>
    <w:rsid w:val="00AB30B8"/>
    <w:rsid w:val="00AD2767"/>
    <w:rsid w:val="00B341A4"/>
    <w:rsid w:val="00BD570B"/>
    <w:rsid w:val="00C3302C"/>
    <w:rsid w:val="00C61F74"/>
    <w:rsid w:val="00C67F33"/>
    <w:rsid w:val="00C82066"/>
    <w:rsid w:val="00CB6372"/>
    <w:rsid w:val="00D04DD7"/>
    <w:rsid w:val="00D4344F"/>
    <w:rsid w:val="00DC44DD"/>
    <w:rsid w:val="00DD1BA0"/>
    <w:rsid w:val="00DE68B8"/>
    <w:rsid w:val="00E07D7A"/>
    <w:rsid w:val="00E35CEF"/>
    <w:rsid w:val="00EE4AC9"/>
    <w:rsid w:val="00EE7980"/>
    <w:rsid w:val="00F264F7"/>
    <w:rsid w:val="00F410B0"/>
    <w:rsid w:val="00F56A7E"/>
    <w:rsid w:val="00F816EC"/>
    <w:rsid w:val="034E310E"/>
    <w:rsid w:val="064269F3"/>
    <w:rsid w:val="078F75D5"/>
    <w:rsid w:val="0CE81A6B"/>
    <w:rsid w:val="0FA1520F"/>
    <w:rsid w:val="11A76D82"/>
    <w:rsid w:val="13400EC5"/>
    <w:rsid w:val="1A3B4991"/>
    <w:rsid w:val="1FEA3486"/>
    <w:rsid w:val="278C716B"/>
    <w:rsid w:val="2CB76741"/>
    <w:rsid w:val="2F8E0BFD"/>
    <w:rsid w:val="38AF51D3"/>
    <w:rsid w:val="394E5D95"/>
    <w:rsid w:val="397C029B"/>
    <w:rsid w:val="49A97FAB"/>
    <w:rsid w:val="4D3D7613"/>
    <w:rsid w:val="4F83759C"/>
    <w:rsid w:val="53E553CC"/>
    <w:rsid w:val="54DD7275"/>
    <w:rsid w:val="58004619"/>
    <w:rsid w:val="58B41F25"/>
    <w:rsid w:val="5A9258E5"/>
    <w:rsid w:val="61FD00F2"/>
    <w:rsid w:val="653C12FB"/>
    <w:rsid w:val="65524929"/>
    <w:rsid w:val="662E3DA6"/>
    <w:rsid w:val="6A2D2C78"/>
    <w:rsid w:val="6D0A2AD8"/>
    <w:rsid w:val="74C7295C"/>
    <w:rsid w:val="76AAE408"/>
    <w:rsid w:val="78B8560D"/>
    <w:rsid w:val="7B777AB2"/>
    <w:rsid w:val="7C07489C"/>
    <w:rsid w:val="7FABBE50"/>
    <w:rsid w:val="7FB84B75"/>
    <w:rsid w:val="7FEF3056"/>
    <w:rsid w:val="BBFED084"/>
    <w:rsid w:val="BF9F1647"/>
    <w:rsid w:val="BFF458D7"/>
    <w:rsid w:val="D17D7AC2"/>
    <w:rsid w:val="D6EF44D0"/>
    <w:rsid w:val="DF41D9D7"/>
    <w:rsid w:val="FEFE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0"/>
    <w:pPr>
      <w:keepNext/>
      <w:keepLines/>
      <w:tabs>
        <w:tab w:val="left" w:pos="720"/>
      </w:tabs>
      <w:adjustRightInd w:val="0"/>
      <w:jc w:val="left"/>
      <w:textAlignment w:val="baseline"/>
      <w:outlineLvl w:val="2"/>
    </w:pPr>
    <w:rPr>
      <w:rFonts w:ascii="宋体" w:hAnsi="宋体"/>
      <w:b/>
      <w:bCs/>
      <w:sz w:val="24"/>
      <w:szCs w:val="24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0"/>
    <w:pPr>
      <w:ind w:left="2520" w:leftChars="120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link w:val="36"/>
    <w:qFormat/>
    <w:uiPriority w:val="0"/>
    <w:pPr>
      <w:spacing w:after="120"/>
    </w:pPr>
  </w:style>
  <w:style w:type="paragraph" w:styleId="8">
    <w:name w:val="Body Text Indent"/>
    <w:basedOn w:val="1"/>
    <w:link w:val="37"/>
    <w:qFormat/>
    <w:uiPriority w:val="0"/>
    <w:pPr>
      <w:spacing w:line="360" w:lineRule="auto"/>
      <w:ind w:firstLine="480" w:firstLineChars="200"/>
    </w:pPr>
    <w:rPr>
      <w:rFonts w:ascii="仿宋_GB2312" w:eastAsia="仿宋_GB2312"/>
      <w:kern w:val="0"/>
      <w:sz w:val="24"/>
    </w:rPr>
  </w:style>
  <w:style w:type="paragraph" w:styleId="9">
    <w:name w:val="Block Text"/>
    <w:basedOn w:val="1"/>
    <w:qFormat/>
    <w:uiPriority w:val="0"/>
    <w:pPr>
      <w:spacing w:before="120"/>
      <w:ind w:left="79" w:right="57"/>
    </w:pPr>
    <w:rPr>
      <w:rFonts w:ascii="宋体" w:hAnsi="宋体"/>
      <w:szCs w:val="20"/>
    </w:rPr>
  </w:style>
  <w:style w:type="paragraph" w:styleId="10">
    <w:name w:val="toc 5"/>
    <w:basedOn w:val="1"/>
    <w:next w:val="1"/>
    <w:qFormat/>
    <w:uiPriority w:val="0"/>
    <w:pPr>
      <w:ind w:left="1680" w:leftChars="800"/>
    </w:pPr>
  </w:style>
  <w:style w:type="paragraph" w:styleId="11">
    <w:name w:val="toc 3"/>
    <w:basedOn w:val="1"/>
    <w:next w:val="1"/>
    <w:qFormat/>
    <w:uiPriority w:val="0"/>
    <w:pPr>
      <w:widowControl/>
      <w:tabs>
        <w:tab w:val="left" w:pos="1418"/>
        <w:tab w:val="right" w:leader="dot" w:pos="8296"/>
      </w:tabs>
      <w:ind w:left="848" w:leftChars="303" w:firstLine="3" w:firstLineChars="1"/>
      <w:jc w:val="left"/>
    </w:pPr>
    <w:rPr>
      <w:rFonts w:ascii="宋体" w:hAnsi="宋体" w:cs="宋体"/>
      <w:kern w:val="0"/>
      <w:sz w:val="28"/>
      <w:szCs w:val="24"/>
    </w:rPr>
  </w:style>
  <w:style w:type="paragraph" w:styleId="12">
    <w:name w:val="Plain Text"/>
    <w:basedOn w:val="1"/>
    <w:link w:val="38"/>
    <w:qFormat/>
    <w:uiPriority w:val="0"/>
    <w:rPr>
      <w:rFonts w:ascii="宋体" w:hAnsi="Courier New"/>
      <w:szCs w:val="20"/>
    </w:rPr>
  </w:style>
  <w:style w:type="paragraph" w:styleId="13">
    <w:name w:val="toc 8"/>
    <w:basedOn w:val="1"/>
    <w:next w:val="1"/>
    <w:qFormat/>
    <w:uiPriority w:val="0"/>
    <w:pPr>
      <w:ind w:left="2940" w:leftChars="1400"/>
    </w:pPr>
  </w:style>
  <w:style w:type="paragraph" w:styleId="14">
    <w:name w:val="Body Text Indent 2"/>
    <w:basedOn w:val="1"/>
    <w:link w:val="39"/>
    <w:qFormat/>
    <w:uiPriority w:val="0"/>
    <w:pPr>
      <w:ind w:firstLine="422"/>
    </w:pPr>
    <w:rPr>
      <w:rFonts w:ascii="仿宋_GB2312" w:eastAsia="仿宋_GB2312"/>
      <w:b/>
      <w:kern w:val="0"/>
      <w:szCs w:val="20"/>
    </w:rPr>
  </w:style>
  <w:style w:type="paragraph" w:styleId="15">
    <w:name w:val="Balloon Text"/>
    <w:basedOn w:val="1"/>
    <w:link w:val="40"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4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4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/>
      <w:jc w:val="left"/>
    </w:pPr>
    <w:rPr>
      <w:rFonts w:ascii="宋体" w:hAnsi="宋体" w:cs="宋体"/>
      <w:kern w:val="0"/>
      <w:sz w:val="28"/>
      <w:szCs w:val="24"/>
    </w:rPr>
  </w:style>
  <w:style w:type="paragraph" w:styleId="19">
    <w:name w:val="toc 4"/>
    <w:basedOn w:val="1"/>
    <w:next w:val="1"/>
    <w:qFormat/>
    <w:uiPriority w:val="0"/>
    <w:pPr>
      <w:ind w:left="1260" w:leftChars="600"/>
    </w:pPr>
  </w:style>
  <w:style w:type="paragraph" w:styleId="20">
    <w:name w:val="Subtitle"/>
    <w:basedOn w:val="1"/>
    <w:next w:val="1"/>
    <w:link w:val="43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1">
    <w:name w:val="toc 6"/>
    <w:basedOn w:val="1"/>
    <w:next w:val="1"/>
    <w:qFormat/>
    <w:uiPriority w:val="0"/>
    <w:pPr>
      <w:ind w:left="2100" w:leftChars="1000"/>
    </w:pPr>
  </w:style>
  <w:style w:type="paragraph" w:styleId="22">
    <w:name w:val="Body Text Indent 3"/>
    <w:basedOn w:val="1"/>
    <w:link w:val="44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toc 2"/>
    <w:basedOn w:val="1"/>
    <w:next w:val="1"/>
    <w:qFormat/>
    <w:uiPriority w:val="0"/>
    <w:pPr>
      <w:widowControl/>
      <w:tabs>
        <w:tab w:val="left" w:pos="851"/>
        <w:tab w:val="right" w:leader="dot" w:pos="8296"/>
      </w:tabs>
      <w:ind w:left="560" w:leftChars="200"/>
      <w:jc w:val="left"/>
    </w:pPr>
    <w:rPr>
      <w:rFonts w:ascii="宋体" w:hAnsi="宋体" w:cs="宋体"/>
      <w:kern w:val="0"/>
      <w:sz w:val="28"/>
      <w:szCs w:val="24"/>
    </w:rPr>
  </w:style>
  <w:style w:type="paragraph" w:styleId="24">
    <w:name w:val="toc 9"/>
    <w:basedOn w:val="1"/>
    <w:next w:val="1"/>
    <w:qFormat/>
    <w:uiPriority w:val="0"/>
    <w:pPr>
      <w:ind w:left="3360" w:leftChars="1600"/>
    </w:pPr>
  </w:style>
  <w:style w:type="paragraph" w:styleId="2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6">
    <w:name w:val="Title"/>
    <w:basedOn w:val="2"/>
    <w:next w:val="1"/>
    <w:link w:val="45"/>
    <w:qFormat/>
    <w:uiPriority w:val="0"/>
    <w:pPr>
      <w:spacing w:before="240" w:after="60"/>
      <w:jc w:val="center"/>
    </w:pPr>
    <w:rPr>
      <w:rFonts w:ascii="Cambria" w:hAnsi="Cambria"/>
      <w:kern w:val="2"/>
      <w:sz w:val="32"/>
      <w:szCs w:val="32"/>
    </w:rPr>
  </w:style>
  <w:style w:type="table" w:styleId="28">
    <w:name w:val="Table Grid"/>
    <w:basedOn w:val="2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0">
    <w:name w:val="page number"/>
    <w:qFormat/>
    <w:uiPriority w:val="0"/>
  </w:style>
  <w:style w:type="character" w:styleId="31">
    <w:name w:val="Hyperlink"/>
    <w:qFormat/>
    <w:uiPriority w:val="0"/>
    <w:rPr>
      <w:color w:val="0000FF"/>
      <w:u w:val="single"/>
    </w:rPr>
  </w:style>
  <w:style w:type="character" w:styleId="32">
    <w:name w:val="annotation reference"/>
    <w:basedOn w:val="29"/>
    <w:semiHidden/>
    <w:unhideWhenUsed/>
    <w:uiPriority w:val="99"/>
    <w:rPr>
      <w:sz w:val="21"/>
      <w:szCs w:val="21"/>
    </w:rPr>
  </w:style>
  <w:style w:type="character" w:customStyle="1" w:styleId="33">
    <w:name w:val="标题 1 字符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4">
    <w:name w:val="标题 2 字符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5">
    <w:name w:val="标题 3 字符"/>
    <w:link w:val="4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36">
    <w:name w:val="正文文本 字符"/>
    <w:link w:val="7"/>
    <w:qFormat/>
    <w:uiPriority w:val="0"/>
    <w:rPr>
      <w:rFonts w:ascii="Times New Roman" w:hAnsi="Times New Roman" w:eastAsia="宋体" w:cs="Times New Roman"/>
    </w:rPr>
  </w:style>
  <w:style w:type="character" w:customStyle="1" w:styleId="37">
    <w:name w:val="正文文本缩进 字符"/>
    <w:link w:val="8"/>
    <w:qFormat/>
    <w:uiPriority w:val="0"/>
    <w:rPr>
      <w:rFonts w:ascii="仿宋_GB2312" w:hAnsi="Times New Roman" w:eastAsia="仿宋_GB2312" w:cs="Times New Roman"/>
      <w:kern w:val="0"/>
      <w:sz w:val="24"/>
    </w:rPr>
  </w:style>
  <w:style w:type="character" w:customStyle="1" w:styleId="38">
    <w:name w:val="纯文本 字符"/>
    <w:link w:val="12"/>
    <w:qFormat/>
    <w:uiPriority w:val="0"/>
    <w:rPr>
      <w:rFonts w:ascii="宋体" w:hAnsi="Courier New" w:eastAsia="宋体" w:cs="Times New Roman"/>
      <w:szCs w:val="20"/>
    </w:rPr>
  </w:style>
  <w:style w:type="character" w:customStyle="1" w:styleId="39">
    <w:name w:val="正文文本缩进 2 字符"/>
    <w:link w:val="14"/>
    <w:qFormat/>
    <w:uiPriority w:val="0"/>
    <w:rPr>
      <w:rFonts w:ascii="仿宋_GB2312" w:hAnsi="Times New Roman" w:eastAsia="仿宋_GB2312" w:cs="Times New Roman"/>
      <w:b/>
      <w:kern w:val="0"/>
      <w:szCs w:val="20"/>
    </w:rPr>
  </w:style>
  <w:style w:type="character" w:customStyle="1" w:styleId="40">
    <w:name w:val="批注框文本 字符"/>
    <w:link w:val="15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41">
    <w:name w:val="页脚 字符"/>
    <w:link w:val="16"/>
    <w:semiHidden/>
    <w:qFormat/>
    <w:uiPriority w:val="99"/>
    <w:rPr>
      <w:sz w:val="18"/>
      <w:szCs w:val="18"/>
    </w:rPr>
  </w:style>
  <w:style w:type="character" w:customStyle="1" w:styleId="42">
    <w:name w:val="页眉 字符"/>
    <w:link w:val="17"/>
    <w:qFormat/>
    <w:uiPriority w:val="99"/>
    <w:rPr>
      <w:sz w:val="18"/>
      <w:szCs w:val="18"/>
    </w:rPr>
  </w:style>
  <w:style w:type="character" w:customStyle="1" w:styleId="43">
    <w:name w:val="副标题 字符"/>
    <w:link w:val="20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4">
    <w:name w:val="正文文本缩进 3 字符"/>
    <w:link w:val="2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45">
    <w:name w:val="标题 字符"/>
    <w:link w:val="26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46">
    <w:name w:val="副标题 Char1"/>
    <w:qFormat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47">
    <w:name w:val="apple-style-span"/>
    <w:qFormat/>
    <w:uiPriority w:val="0"/>
  </w:style>
  <w:style w:type="character" w:customStyle="1" w:styleId="48">
    <w:name w:val="标题 Char1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49">
    <w:name w:val="tf1"/>
    <w:qFormat/>
    <w:uiPriority w:val="0"/>
    <w:rPr>
      <w:spacing w:val="300"/>
      <w:sz w:val="18"/>
      <w:szCs w:val="18"/>
    </w:rPr>
  </w:style>
  <w:style w:type="character" w:customStyle="1" w:styleId="50">
    <w:name w:val="tb"/>
    <w:qFormat/>
    <w:uiPriority w:val="0"/>
  </w:style>
  <w:style w:type="character" w:customStyle="1" w:styleId="51">
    <w:name w:val="条款大标题 Char"/>
    <w:link w:val="52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paragraph" w:customStyle="1" w:styleId="52">
    <w:name w:val="条款大标题"/>
    <w:basedOn w:val="26"/>
    <w:link w:val="51"/>
    <w:qFormat/>
    <w:uiPriority w:val="0"/>
    <w:pPr>
      <w:snapToGrid w:val="0"/>
    </w:pPr>
  </w:style>
  <w:style w:type="paragraph" w:customStyle="1" w:styleId="53">
    <w:name w:val="条款标题"/>
    <w:basedOn w:val="1"/>
    <w:qFormat/>
    <w:uiPriority w:val="0"/>
    <w:pPr>
      <w:tabs>
        <w:tab w:val="left" w:pos="840"/>
      </w:tabs>
    </w:pPr>
    <w:rPr>
      <w:b/>
    </w:rPr>
  </w:style>
  <w:style w:type="paragraph" w:styleId="5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注解（小四，楷体）"/>
    <w:basedOn w:val="1"/>
    <w:qFormat/>
    <w:uiPriority w:val="0"/>
    <w:pPr>
      <w:widowControl/>
      <w:contextualSpacing/>
      <w:jc w:val="left"/>
    </w:pPr>
    <w:rPr>
      <w:rFonts w:ascii="楷体" w:hAnsi="楷体" w:eastAsia="楷体"/>
      <w:kern w:val="0"/>
      <w:sz w:val="24"/>
      <w:szCs w:val="24"/>
    </w:rPr>
  </w:style>
  <w:style w:type="paragraph" w:customStyle="1" w:styleId="56">
    <w:name w:val="正文文本 22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57">
    <w:name w:val="条款正文"/>
    <w:basedOn w:val="1"/>
    <w:qFormat/>
    <w:uiPriority w:val="0"/>
    <w:pPr>
      <w:adjustRightInd w:val="0"/>
      <w:snapToGrid w:val="0"/>
      <w:ind w:left="840" w:leftChars="400" w:firstLine="420" w:firstLineChars="200"/>
    </w:pPr>
    <w:rPr>
      <w:szCs w:val="24"/>
    </w:rPr>
  </w:style>
  <w:style w:type="paragraph" w:customStyle="1" w:styleId="58">
    <w:name w:val="正文文本 21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styleId="59">
    <w:name w:val="List Paragraph"/>
    <w:basedOn w:val="1"/>
    <w:qFormat/>
    <w:uiPriority w:val="34"/>
    <w:pPr>
      <w:ind w:firstLine="420" w:firstLineChars="200"/>
    </w:pPr>
  </w:style>
  <w:style w:type="paragraph" w:customStyle="1" w:styleId="60">
    <w:name w:val="列出段落1"/>
    <w:basedOn w:val="1"/>
    <w:qFormat/>
    <w:uiPriority w:val="34"/>
    <w:pPr>
      <w:ind w:firstLine="420" w:firstLineChars="200"/>
    </w:pPr>
  </w:style>
  <w:style w:type="paragraph" w:customStyle="1" w:styleId="61">
    <w:name w:val="表格（小四，宋体）"/>
    <w:basedOn w:val="1"/>
    <w:qFormat/>
    <w:uiPriority w:val="0"/>
    <w:pPr>
      <w:widowControl/>
      <w:contextualSpacing/>
      <w:jc w:val="left"/>
    </w:pPr>
    <w:rPr>
      <w:rFonts w:ascii="宋体" w:hAnsi="宋体"/>
      <w:kern w:val="0"/>
      <w:sz w:val="24"/>
      <w:szCs w:val="24"/>
    </w:rPr>
  </w:style>
  <w:style w:type="paragraph" w:customStyle="1" w:styleId="62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63">
    <w:name w:val="正文文本 2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64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a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_Style 64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789</Words>
  <Characters>1024</Characters>
  <Lines>13</Lines>
  <Paragraphs>3</Paragraphs>
  <TotalTime>156</TotalTime>
  <ScaleCrop>false</ScaleCrop>
  <LinksUpToDate>false</LinksUpToDate>
  <CharactersWithSpaces>1025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2025-02-18T07:51:00Z</dcterms:created>
  <dc:creator>封树静</dc:creator>
  <cp:lastModifiedBy>刘晴</cp:lastModifiedBy>
  <dcterms:modified xsi:type="dcterms:W3CDTF">2025-03-17T06:08:38Z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BBE9164A7D7649A8AF8EFC86468080C5_13</vt:lpwstr>
  </property>
</Properties>
</file>