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28519">
      <w:pPr>
        <w:adjustRightInd w:val="0"/>
        <w:snapToGrid w:val="0"/>
        <w:spacing w:after="156" w:afterLines="50" w:line="312" w:lineRule="auto"/>
        <w:jc w:val="center"/>
        <w:outlineLvl w:val="9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华农财产保险股份有限公司机动车驾驶人员意外伤害保险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/>
        </w:rPr>
        <w:t>B款</w:t>
      </w:r>
    </w:p>
    <w:p w14:paraId="420A6258">
      <w:pPr>
        <w:adjustRightInd w:val="0"/>
        <w:snapToGrid w:val="0"/>
        <w:spacing w:after="156" w:afterLines="50" w:line="312" w:lineRule="auto"/>
        <w:jc w:val="center"/>
        <w:outlineLvl w:val="9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费率表</w:t>
      </w:r>
    </w:p>
    <w:p w14:paraId="2DB0CA84">
      <w:pPr>
        <w:adjustRightInd w:val="0"/>
        <w:snapToGrid w:val="0"/>
        <w:spacing w:after="156" w:afterLines="50"/>
        <w:jc w:val="center"/>
        <w:rPr>
          <w:rFonts w:hint="eastAsia" w:ascii="宋体" w:hAnsi="宋体" w:eastAsia="宋体" w:cs="宋体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 xml:space="preserve"> </w:t>
      </w:r>
    </w:p>
    <w:p w14:paraId="21886AB3">
      <w:pPr>
        <w:spacing w:after="156" w:afterLines="50"/>
        <w:rPr>
          <w:rFonts w:hint="eastAsia" w:ascii="宋体" w:hAnsi="宋体" w:eastAsia="宋体" w:cs="宋体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一、基准费率</w:t>
      </w:r>
    </w:p>
    <w:tbl>
      <w:tblPr>
        <w:tblStyle w:val="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8"/>
        <w:gridCol w:w="1974"/>
        <w:gridCol w:w="2087"/>
      </w:tblGrid>
      <w:tr w14:paraId="0D4F1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机动车种类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C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意外伤害身故保险责任（必选责任）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意外伤害伤残保险责任（可选责任）</w:t>
            </w:r>
          </w:p>
        </w:tc>
      </w:tr>
      <w:tr w14:paraId="40AB9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企业、党政机关、事业团体非营业客车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0.187‰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1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0.093‰</w:t>
            </w:r>
          </w:p>
        </w:tc>
      </w:tr>
      <w:tr w14:paraId="4AC9E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家庭自用汽车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B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0.267‰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5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0.133‰</w:t>
            </w:r>
          </w:p>
        </w:tc>
      </w:tr>
      <w:tr w14:paraId="1DEA2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非营业货车，出租、租赁城市公交营业客车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6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‰</w:t>
            </w:r>
          </w:p>
        </w:tc>
      </w:tr>
      <w:tr w14:paraId="58374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公路客运营业客车，特种车，拖拉机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C1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0.533‰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8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0.267‰</w:t>
            </w:r>
          </w:p>
        </w:tc>
      </w:tr>
      <w:tr w14:paraId="45FE3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摩托车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0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‰</w:t>
            </w:r>
          </w:p>
        </w:tc>
      </w:tr>
      <w:tr w14:paraId="320CC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2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营业货车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4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1.067‰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0.533‰</w:t>
            </w:r>
          </w:p>
        </w:tc>
      </w:tr>
    </w:tbl>
    <w:p w14:paraId="7A6541E2">
      <w:pPr>
        <w:spacing w:after="156" w:afterLines="50"/>
        <w:rPr>
          <w:rFonts w:hint="default" w:hAnsi="宋体" w:eastAsia="宋体" w:cs="宋体"/>
          <w:b/>
          <w:kern w:val="2"/>
          <w:sz w:val="21"/>
          <w:szCs w:val="21"/>
          <w:lang w:val="en-US" w:eastAsia="zh-CN"/>
        </w:rPr>
      </w:pPr>
    </w:p>
    <w:p w14:paraId="47C4657B">
      <w:pPr>
        <w:spacing w:after="156" w:afterLines="50"/>
        <w:rPr>
          <w:rFonts w:hint="eastAsia" w:hAnsi="宋体" w:eastAsia="宋体" w:cs="宋体"/>
          <w:b/>
          <w:kern w:val="2"/>
          <w:sz w:val="21"/>
          <w:szCs w:val="21"/>
        </w:rPr>
      </w:pPr>
      <w:r>
        <w:rPr>
          <w:rFonts w:hint="eastAsia" w:hAnsi="宋体" w:eastAsia="宋体" w:cs="宋体"/>
          <w:b/>
          <w:kern w:val="2"/>
          <w:sz w:val="21"/>
          <w:szCs w:val="21"/>
        </w:rPr>
        <w:t>二、费率调整系数</w:t>
      </w:r>
    </w:p>
    <w:p w14:paraId="787E10CF">
      <w:pPr>
        <w:spacing w:after="0" w:afterLines="0" w:line="240" w:lineRule="auto"/>
        <w:rPr>
          <w:rFonts w:hint="eastAsia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1</w:t>
      </w:r>
      <w:r>
        <w:rPr>
          <w:rFonts w:hint="eastAsia" w:hAnsi="宋体" w:eastAsia="宋体" w:cs="宋体"/>
          <w:kern w:val="2"/>
          <w:sz w:val="21"/>
          <w:szCs w:val="21"/>
        </w:rPr>
        <w:t>、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被保险人</w:t>
      </w:r>
      <w:r>
        <w:rPr>
          <w:rFonts w:hint="eastAsia" w:hAnsi="宋体" w:eastAsia="宋体" w:cs="宋体"/>
          <w:kern w:val="2"/>
          <w:sz w:val="21"/>
          <w:szCs w:val="21"/>
        </w:rPr>
        <w:t>年龄调整系数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）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9"/>
        <w:gridCol w:w="3283"/>
      </w:tblGrid>
      <w:tr w14:paraId="7C873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B19D7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被保险人年龄（周岁）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80C5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1E4F8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D1928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[18,25]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51C1E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</w:tr>
      <w:tr w14:paraId="465AC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01EEF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(25,30]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9D4EB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</w:tr>
      <w:tr w14:paraId="23328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4D90F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(30,40]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A3896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</w:t>
            </w:r>
          </w:p>
        </w:tc>
      </w:tr>
      <w:tr w14:paraId="2E66F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4ED44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(40,50]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6A3DD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</w:tr>
      <w:tr w14:paraId="6AFFA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4B304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(50,60]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708B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</w:tr>
      <w:tr w14:paraId="0D8F3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CEDBB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(60,70]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17B34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</w:tr>
    </w:tbl>
    <w:p w14:paraId="265D7FB7">
      <w:pPr>
        <w:spacing w:after="0" w:afterLines="0"/>
        <w:rPr>
          <w:rFonts w:hint="eastAsia" w:hAnsi="宋体" w:eastAsia="宋体" w:cs="宋体"/>
          <w:kern w:val="2"/>
          <w:sz w:val="21"/>
          <w:szCs w:val="21"/>
          <w:lang w:val="en-US" w:eastAsia="zh-CN"/>
        </w:rPr>
      </w:pPr>
    </w:p>
    <w:p w14:paraId="0773597E">
      <w:pPr>
        <w:spacing w:after="0" w:afterLines="0"/>
        <w:rPr>
          <w:rFonts w:hint="eastAsia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2</w:t>
      </w:r>
      <w:r>
        <w:rPr>
          <w:rFonts w:hint="eastAsia" w:hAnsi="宋体" w:eastAsia="宋体" w:cs="宋体"/>
          <w:kern w:val="2"/>
          <w:sz w:val="21"/>
          <w:szCs w:val="21"/>
        </w:rPr>
        <w:t>、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经验/预期</w:t>
      </w:r>
      <w:r>
        <w:rPr>
          <w:rFonts w:hint="eastAsia" w:hAnsi="宋体" w:eastAsia="宋体" w:cs="宋体"/>
          <w:kern w:val="2"/>
          <w:sz w:val="21"/>
          <w:szCs w:val="21"/>
        </w:rPr>
        <w:t>赔付率调整系数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）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4"/>
        <w:gridCol w:w="3268"/>
      </w:tblGrid>
      <w:tr w14:paraId="68AFD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355CE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经验/预期赔付率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52F1B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0F95B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52458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0%-65%（含）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7F723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54EC5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C8660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65%以上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363C5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1E3E6308">
      <w:pPr>
        <w:pStyle w:val="18"/>
        <w:numPr>
          <w:ilvl w:val="0"/>
          <w:numId w:val="0"/>
        </w:numPr>
        <w:spacing w:afterLines="0"/>
        <w:ind w:left="0" w:firstLine="0"/>
        <w:jc w:val="left"/>
        <w:rPr>
          <w:rFonts w:hint="default" w:ascii="宋体" w:hAnsi="宋体" w:cs="宋体"/>
          <w:b w:val="0"/>
          <w:bCs/>
          <w:kern w:val="2"/>
          <w:sz w:val="21"/>
          <w:szCs w:val="21"/>
          <w:lang w:val="en-US" w:eastAsia="zh-CN"/>
        </w:rPr>
      </w:pPr>
    </w:p>
    <w:p w14:paraId="0A4B7D91">
      <w:pPr>
        <w:pStyle w:val="18"/>
        <w:numPr>
          <w:ilvl w:val="0"/>
          <w:numId w:val="0"/>
        </w:numPr>
        <w:spacing w:afterLines="0"/>
        <w:ind w:left="0" w:firstLine="0"/>
        <w:jc w:val="left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1"/>
          <w:szCs w:val="21"/>
          <w:lang w:val="en-US" w:eastAsia="zh-CN"/>
        </w:rPr>
        <w:t>3、</w:t>
      </w:r>
      <w:r>
        <w:rPr>
          <w:rFonts w:hint="eastAsia" w:ascii="宋体" w:hAnsi="宋体" w:cs="宋体"/>
          <w:b w:val="0"/>
          <w:bCs/>
          <w:color w:val="000000"/>
          <w:szCs w:val="21"/>
          <w:lang w:val="en-US" w:eastAsia="zh-CN"/>
        </w:rPr>
        <w:t>渠道调整系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数（F3）</w:t>
      </w:r>
    </w:p>
    <w:tbl>
      <w:tblPr>
        <w:tblStyle w:val="8"/>
        <w:tblW w:w="498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4"/>
        <w:gridCol w:w="3231"/>
      </w:tblGrid>
      <w:tr w14:paraId="7DC6C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5265" w:type="dxa"/>
            <w:noWrap w:val="0"/>
            <w:vAlign w:val="center"/>
          </w:tcPr>
          <w:p w14:paraId="3F2768C7">
            <w:pPr>
              <w:pStyle w:val="18"/>
              <w:spacing w:afterLine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Cs w:val="21"/>
                <w:lang w:val="en-US" w:eastAsia="zh-CN"/>
              </w:rPr>
              <w:t>渠道类型</w:t>
            </w:r>
          </w:p>
        </w:tc>
        <w:tc>
          <w:tcPr>
            <w:tcW w:w="3231" w:type="dxa"/>
            <w:noWrap w:val="0"/>
            <w:vAlign w:val="center"/>
          </w:tcPr>
          <w:p w14:paraId="5C1F2192">
            <w:pPr>
              <w:pStyle w:val="18"/>
              <w:spacing w:afterLines="0"/>
              <w:jc w:val="center"/>
              <w:rPr>
                <w:rFonts w:ascii="宋体" w:hAnsi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Cs w:val="21"/>
              </w:rPr>
              <w:t>调整系数</w:t>
            </w:r>
          </w:p>
        </w:tc>
      </w:tr>
      <w:tr w14:paraId="0A498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265" w:type="dxa"/>
            <w:noWrap w:val="0"/>
            <w:vAlign w:val="center"/>
          </w:tcPr>
          <w:p w14:paraId="4805CAF2">
            <w:pPr>
              <w:pStyle w:val="18"/>
              <w:spacing w:afterLines="0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直销（或销售费用率等同直销的渠道）</w:t>
            </w:r>
          </w:p>
        </w:tc>
        <w:tc>
          <w:tcPr>
            <w:tcW w:w="3231" w:type="dxa"/>
            <w:noWrap w:val="0"/>
            <w:vAlign w:val="center"/>
          </w:tcPr>
          <w:p w14:paraId="47B5F200">
            <w:pPr>
              <w:pStyle w:val="18"/>
              <w:spacing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[0.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]</w:t>
            </w:r>
          </w:p>
        </w:tc>
      </w:tr>
      <w:tr w14:paraId="47D4C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65" w:type="dxa"/>
            <w:noWrap w:val="0"/>
            <w:vAlign w:val="center"/>
          </w:tcPr>
          <w:p w14:paraId="457F6F77">
            <w:pPr>
              <w:pStyle w:val="18"/>
              <w:spacing w:afterLines="0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其他第三方渠道</w:t>
            </w:r>
          </w:p>
        </w:tc>
        <w:tc>
          <w:tcPr>
            <w:tcW w:w="3231" w:type="dxa"/>
            <w:noWrap w:val="0"/>
            <w:vAlign w:val="center"/>
          </w:tcPr>
          <w:p w14:paraId="0CD293E1">
            <w:pPr>
              <w:pStyle w:val="18"/>
              <w:spacing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(1.0,1.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]</w:t>
            </w:r>
          </w:p>
        </w:tc>
      </w:tr>
    </w:tbl>
    <w:p w14:paraId="629CFE26">
      <w:pPr>
        <w:spacing w:after="0" w:afterLines="0"/>
        <w:rPr>
          <w:rFonts w:hint="eastAsia" w:hAnsi="宋体" w:eastAsia="宋体" w:cs="宋体"/>
          <w:kern w:val="2"/>
          <w:sz w:val="21"/>
          <w:szCs w:val="21"/>
        </w:rPr>
      </w:pPr>
      <w:r>
        <w:rPr>
          <w:rFonts w:hint="eastAsia" w:hAnsi="宋体" w:eastAsia="宋体" w:cs="宋体"/>
          <w:kern w:val="2"/>
          <w:sz w:val="21"/>
          <w:szCs w:val="21"/>
        </w:rPr>
        <w:t>注：根据渠道销售费用率水平按比例调整。</w:t>
      </w:r>
    </w:p>
    <w:p w14:paraId="0DC315F5">
      <w:pPr>
        <w:pStyle w:val="18"/>
        <w:numPr>
          <w:ilvl w:val="0"/>
          <w:numId w:val="0"/>
        </w:numPr>
        <w:spacing w:afterLines="0"/>
        <w:jc w:val="left"/>
        <w:rPr>
          <w:rFonts w:hint="default" w:hAnsi="宋体" w:eastAsia="宋体" w:cs="宋体"/>
          <w:kern w:val="2"/>
          <w:sz w:val="21"/>
          <w:szCs w:val="21"/>
          <w:lang w:val="en-US"/>
        </w:rPr>
      </w:pPr>
    </w:p>
    <w:p w14:paraId="11AFC0AE">
      <w:pPr>
        <w:pStyle w:val="18"/>
        <w:numPr>
          <w:ilvl w:val="0"/>
          <w:numId w:val="0"/>
        </w:numPr>
        <w:spacing w:afterLines="0"/>
        <w:jc w:val="left"/>
        <w:rPr>
          <w:rFonts w:hint="default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4</w:t>
      </w:r>
      <w:r>
        <w:rPr>
          <w:rFonts w:hint="eastAsia" w:hAnsi="宋体" w:eastAsia="宋体" w:cs="宋体"/>
          <w:kern w:val="2"/>
          <w:sz w:val="21"/>
          <w:szCs w:val="21"/>
        </w:rPr>
        <w:t>、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渠道预估</w:t>
      </w:r>
      <w:r>
        <w:rPr>
          <w:rFonts w:hint="eastAsia" w:hAnsi="宋体" w:eastAsia="宋体" w:cs="宋体"/>
          <w:kern w:val="2"/>
          <w:sz w:val="21"/>
          <w:szCs w:val="21"/>
        </w:rPr>
        <w:t>人数规模调整系数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（F4）</w:t>
      </w:r>
    </w:p>
    <w:tbl>
      <w:tblPr>
        <w:tblStyle w:val="8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3311"/>
      </w:tblGrid>
      <w:tr w14:paraId="4B6EA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45A0B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/>
              </w:rPr>
              <w:t>渠道预估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人数规模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B02A2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调整系数</w:t>
            </w:r>
          </w:p>
        </w:tc>
      </w:tr>
      <w:tr w14:paraId="5CC34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8A223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1万人以上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4CC7E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[0.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eastAsia="宋体"/>
                <w:sz w:val="21"/>
                <w:szCs w:val="21"/>
              </w:rPr>
              <w:t>,0.8)</w:t>
            </w:r>
          </w:p>
        </w:tc>
      </w:tr>
      <w:tr w14:paraId="27C8A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C1CC2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5000人</w:t>
            </w:r>
            <w:r>
              <w:rPr>
                <w:rFonts w:hint="eastAsia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kern w:val="2"/>
                <w:sz w:val="21"/>
                <w:szCs w:val="21"/>
                <w:lang w:val="en-US" w:eastAsia="zh-CN"/>
              </w:rPr>
              <w:t>不含</w:t>
            </w:r>
            <w:r>
              <w:rPr>
                <w:rFonts w:hint="eastAsia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-1万人（含）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F8B64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[0.8,1,0)</w:t>
            </w:r>
          </w:p>
        </w:tc>
      </w:tr>
      <w:tr w14:paraId="6D177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36926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2000人</w:t>
            </w:r>
            <w:r>
              <w:rPr>
                <w:rFonts w:hint="eastAsia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kern w:val="2"/>
                <w:sz w:val="21"/>
                <w:szCs w:val="21"/>
                <w:lang w:val="en-US" w:eastAsia="zh-CN"/>
              </w:rPr>
              <w:t>不含</w:t>
            </w:r>
            <w:r>
              <w:rPr>
                <w:rFonts w:hint="eastAsia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-5000人（含）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7178D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[1.0,1.2)</w:t>
            </w:r>
          </w:p>
        </w:tc>
      </w:tr>
      <w:tr w14:paraId="2DDB7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5200D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2000人及以下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F403">
            <w:pPr>
              <w:pStyle w:val="6"/>
              <w:spacing w:before="0" w:beforeAutospacing="0" w:after="0" w:afterLines="0" w:afterAutospacing="0"/>
              <w:jc w:val="center"/>
              <w:rPr>
                <w:rFonts w:hint="eastAsia"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[1.2,1.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eastAsia="宋体"/>
                <w:sz w:val="21"/>
                <w:szCs w:val="21"/>
              </w:rPr>
              <w:t>]</w:t>
            </w:r>
          </w:p>
        </w:tc>
      </w:tr>
    </w:tbl>
    <w:p w14:paraId="1CFBFF50">
      <w:pPr>
        <w:pStyle w:val="18"/>
        <w:numPr>
          <w:ilvl w:val="0"/>
          <w:numId w:val="0"/>
        </w:numPr>
        <w:spacing w:afterLines="0"/>
        <w:rPr>
          <w:rFonts w:hint="eastAsia" w:ascii="宋体" w:hAnsi="宋体" w:eastAsia="宋体" w:cs="宋体"/>
          <w:kern w:val="2"/>
          <w:sz w:val="21"/>
          <w:szCs w:val="21"/>
          <w:lang w:val="en-US"/>
        </w:rPr>
      </w:pPr>
    </w:p>
    <w:p w14:paraId="11E47B06">
      <w:pPr>
        <w:numPr>
          <w:ilvl w:val="0"/>
          <w:numId w:val="0"/>
        </w:numPr>
        <w:spacing w:after="0" w:afterLines="0" w:line="240" w:lineRule="auto"/>
        <w:rPr>
          <w:rFonts w:hint="eastAsia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eastAsia="宋体" w:cs="宋体"/>
          <w:b w:val="0"/>
          <w:bCs/>
          <w:kern w:val="2"/>
          <w:sz w:val="21"/>
          <w:szCs w:val="21"/>
        </w:rPr>
        <w:t>、</w:t>
      </w:r>
      <w:r>
        <w:rPr>
          <w:rFonts w:hint="eastAsia" w:hAnsi="宋体" w:eastAsia="宋体" w:cs="宋体"/>
          <w:kern w:val="2"/>
          <w:sz w:val="21"/>
          <w:szCs w:val="21"/>
        </w:rPr>
        <w:t>行驶区域交通情况调整系数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）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1"/>
        <w:gridCol w:w="3321"/>
      </w:tblGrid>
      <w:tr w14:paraId="784A7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1" w:type="dxa"/>
            <w:noWrap w:val="0"/>
            <w:vAlign w:val="top"/>
          </w:tcPr>
          <w:p w14:paraId="730F5B7D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行驶区域交通情况</w:t>
            </w:r>
          </w:p>
        </w:tc>
        <w:tc>
          <w:tcPr>
            <w:tcW w:w="3321" w:type="dxa"/>
            <w:noWrap w:val="0"/>
            <w:vAlign w:val="top"/>
          </w:tcPr>
          <w:p w14:paraId="18257EAB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调整系数</w:t>
            </w:r>
          </w:p>
        </w:tc>
      </w:tr>
      <w:tr w14:paraId="53A6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1" w:type="dxa"/>
            <w:noWrap w:val="0"/>
            <w:vAlign w:val="top"/>
          </w:tcPr>
          <w:p w14:paraId="3A60A2DE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交通规划合理、发生意外事故风险很低</w:t>
            </w:r>
          </w:p>
        </w:tc>
        <w:tc>
          <w:tcPr>
            <w:tcW w:w="3321" w:type="dxa"/>
            <w:noWrap w:val="0"/>
            <w:vAlign w:val="top"/>
          </w:tcPr>
          <w:p w14:paraId="72DB5FCF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0.7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,0.8)</w:t>
            </w:r>
          </w:p>
        </w:tc>
      </w:tr>
      <w:tr w14:paraId="7835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1" w:type="dxa"/>
            <w:noWrap w:val="0"/>
            <w:vAlign w:val="top"/>
          </w:tcPr>
          <w:p w14:paraId="1F154ECF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交通规划较好、发生意外事故风险较低</w:t>
            </w:r>
          </w:p>
        </w:tc>
        <w:tc>
          <w:tcPr>
            <w:tcW w:w="3321" w:type="dxa"/>
            <w:noWrap w:val="0"/>
            <w:vAlign w:val="top"/>
          </w:tcPr>
          <w:p w14:paraId="53161F63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[0.8,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1.0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)</w:t>
            </w:r>
          </w:p>
        </w:tc>
      </w:tr>
      <w:tr w14:paraId="5846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1" w:type="dxa"/>
            <w:noWrap w:val="0"/>
            <w:vAlign w:val="top"/>
          </w:tcPr>
          <w:p w14:paraId="5BE0CEF4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交通规划不合理、发生意外事故风险较高</w:t>
            </w:r>
          </w:p>
        </w:tc>
        <w:tc>
          <w:tcPr>
            <w:tcW w:w="3321" w:type="dxa"/>
            <w:noWrap w:val="0"/>
            <w:vAlign w:val="top"/>
          </w:tcPr>
          <w:p w14:paraId="13F7518A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[1.0,1.3]</w:t>
            </w:r>
          </w:p>
        </w:tc>
      </w:tr>
    </w:tbl>
    <w:p w14:paraId="3F5E4C85">
      <w:pPr>
        <w:spacing w:after="0" w:afterLines="0" w:line="240" w:lineRule="auto"/>
        <w:rPr>
          <w:rFonts w:hint="default" w:hAnsi="宋体" w:eastAsia="宋体" w:cs="宋体"/>
          <w:kern w:val="2"/>
          <w:sz w:val="21"/>
          <w:szCs w:val="21"/>
          <w:lang w:val="en-US"/>
        </w:rPr>
      </w:pPr>
    </w:p>
    <w:p w14:paraId="084ED3E4">
      <w:pPr>
        <w:spacing w:after="0" w:afterLines="0" w:line="240" w:lineRule="auto"/>
        <w:rPr>
          <w:rFonts w:hint="default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hAnsi="宋体" w:eastAsia="宋体" w:cs="宋体"/>
          <w:kern w:val="2"/>
          <w:sz w:val="21"/>
          <w:szCs w:val="21"/>
        </w:rPr>
        <w:t>、被保险人驾龄调整系数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hAnsi="宋体" w:eastAsia="宋体" w:cs="宋体"/>
          <w:kern w:val="2"/>
          <w:sz w:val="21"/>
          <w:szCs w:val="21"/>
          <w:lang w:eastAsia="zh-CN"/>
        </w:rPr>
        <w:t>）</w:t>
      </w:r>
    </w:p>
    <w:tbl>
      <w:tblPr>
        <w:tblStyle w:val="8"/>
        <w:tblW w:w="49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3289"/>
      </w:tblGrid>
      <w:tr w14:paraId="3916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5211" w:type="dxa"/>
            <w:noWrap w:val="0"/>
            <w:vAlign w:val="top"/>
          </w:tcPr>
          <w:p w14:paraId="068F18A8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被保险人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驾龄</w:t>
            </w:r>
          </w:p>
        </w:tc>
        <w:tc>
          <w:tcPr>
            <w:tcW w:w="3289" w:type="dxa"/>
            <w:noWrap w:val="0"/>
            <w:vAlign w:val="top"/>
          </w:tcPr>
          <w:p w14:paraId="2B5D69AB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调整系数</w:t>
            </w:r>
          </w:p>
        </w:tc>
      </w:tr>
      <w:tr w14:paraId="4ACF8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5211" w:type="dxa"/>
            <w:noWrap w:val="0"/>
            <w:vAlign w:val="top"/>
          </w:tcPr>
          <w:p w14:paraId="5841FCB6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驾龄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hAnsi="宋体" w:eastAsia="宋体" w:cs="宋体"/>
                <w:sz w:val="21"/>
                <w:szCs w:val="21"/>
              </w:rPr>
              <w:t>1年</w:t>
            </w:r>
          </w:p>
        </w:tc>
        <w:tc>
          <w:tcPr>
            <w:tcW w:w="3289" w:type="dxa"/>
            <w:noWrap w:val="0"/>
            <w:vAlign w:val="top"/>
          </w:tcPr>
          <w:p w14:paraId="6356FA56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1.2,1.</w:t>
            </w:r>
            <w:r>
              <w:rPr>
                <w:rFonts w:hint="eastAsia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]</w:t>
            </w:r>
          </w:p>
        </w:tc>
      </w:tr>
      <w:tr w14:paraId="1D979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5211" w:type="dxa"/>
            <w:noWrap w:val="0"/>
            <w:vAlign w:val="top"/>
          </w:tcPr>
          <w:p w14:paraId="0B87ED9D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1年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hAnsi="宋体" w:eastAsia="宋体" w:cs="宋体"/>
                <w:sz w:val="21"/>
                <w:szCs w:val="21"/>
              </w:rPr>
              <w:t>驾龄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hAnsi="宋体" w:eastAsia="宋体" w:cs="宋体"/>
                <w:sz w:val="21"/>
                <w:szCs w:val="21"/>
              </w:rPr>
              <w:t>2年</w:t>
            </w:r>
          </w:p>
        </w:tc>
        <w:tc>
          <w:tcPr>
            <w:tcW w:w="3289" w:type="dxa"/>
            <w:noWrap w:val="0"/>
            <w:vAlign w:val="top"/>
          </w:tcPr>
          <w:p w14:paraId="3C740C25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(1.0,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]</w:t>
            </w:r>
          </w:p>
        </w:tc>
      </w:tr>
      <w:tr w14:paraId="44BA3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5211" w:type="dxa"/>
            <w:noWrap w:val="0"/>
            <w:vAlign w:val="top"/>
          </w:tcPr>
          <w:p w14:paraId="1AF422D8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2年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hAnsi="宋体" w:eastAsia="宋体" w:cs="宋体"/>
                <w:sz w:val="21"/>
                <w:szCs w:val="21"/>
              </w:rPr>
              <w:t>驾龄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hAnsi="宋体" w:eastAsia="宋体" w:cs="宋体"/>
                <w:sz w:val="21"/>
                <w:szCs w:val="21"/>
              </w:rPr>
              <w:t>3年</w:t>
            </w:r>
          </w:p>
        </w:tc>
        <w:tc>
          <w:tcPr>
            <w:tcW w:w="3289" w:type="dxa"/>
            <w:noWrap w:val="0"/>
            <w:vAlign w:val="top"/>
          </w:tcPr>
          <w:p w14:paraId="54AAFCA2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(0.8,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]</w:t>
            </w:r>
          </w:p>
        </w:tc>
      </w:tr>
      <w:tr w14:paraId="0A6D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5211" w:type="dxa"/>
            <w:noWrap w:val="0"/>
            <w:vAlign w:val="top"/>
          </w:tcPr>
          <w:p w14:paraId="3F31E57E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驾龄</w:t>
            </w: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hAnsi="宋体" w:eastAsia="宋体" w:cs="宋体"/>
                <w:sz w:val="21"/>
                <w:szCs w:val="21"/>
              </w:rPr>
              <w:t>3年</w:t>
            </w:r>
          </w:p>
        </w:tc>
        <w:tc>
          <w:tcPr>
            <w:tcW w:w="3289" w:type="dxa"/>
            <w:noWrap w:val="0"/>
            <w:vAlign w:val="top"/>
          </w:tcPr>
          <w:p w14:paraId="60C212AD">
            <w:pPr>
              <w:spacing w:after="0" w:afterLines="0" w:line="240" w:lineRule="auto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0.7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,0.8]</w:t>
            </w:r>
          </w:p>
        </w:tc>
      </w:tr>
    </w:tbl>
    <w:p w14:paraId="4F4C0AEE">
      <w:pPr>
        <w:spacing w:after="156" w:afterLines="50"/>
        <w:rPr>
          <w:rFonts w:hint="eastAsia" w:hAnsi="宋体" w:eastAsia="宋体" w:cs="宋体"/>
          <w:b/>
          <w:kern w:val="2"/>
          <w:sz w:val="21"/>
          <w:szCs w:val="21"/>
          <w:lang w:val="en-US" w:eastAsia="zh-CN"/>
        </w:rPr>
      </w:pPr>
    </w:p>
    <w:p w14:paraId="35492C32">
      <w:pPr>
        <w:spacing w:after="156" w:afterLines="50"/>
        <w:rPr>
          <w:rFonts w:hint="eastAsia" w:hAnsi="宋体" w:eastAsia="宋体" w:cs="宋体"/>
          <w:b/>
          <w:kern w:val="2"/>
          <w:sz w:val="21"/>
          <w:szCs w:val="21"/>
        </w:rPr>
      </w:pPr>
      <w:r>
        <w:rPr>
          <w:rFonts w:hint="eastAsia" w:hAnsi="宋体" w:eastAsia="宋体" w:cs="宋体"/>
          <w:b/>
          <w:kern w:val="2"/>
          <w:sz w:val="21"/>
          <w:szCs w:val="21"/>
        </w:rPr>
        <w:t>三、保险费计算</w:t>
      </w:r>
    </w:p>
    <w:p w14:paraId="3115BB0C">
      <w:pPr>
        <w:spacing w:after="0" w:afterLines="0"/>
        <w:jc w:val="right"/>
        <w:rPr>
          <w:rFonts w:hint="default" w:hAnsi="宋体" w:eastAsia="宋体" w:cs="宋体"/>
          <w:b w:val="0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/>
        </w:rPr>
        <w:t>单位：元</w:t>
      </w:r>
    </w:p>
    <w:p w14:paraId="54268A7A">
      <w:pPr>
        <w:spacing w:after="0" w:afterLines="0"/>
        <w:ind w:firstLine="0" w:firstLineChars="0"/>
        <w:rPr>
          <w:rFonts w:hint="default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1、必选</w:t>
      </w:r>
      <w:r>
        <w:rPr>
          <w:rFonts w:hint="eastAsia" w:hAnsi="宋体" w:eastAsia="宋体" w:cs="宋体"/>
          <w:kern w:val="2"/>
          <w:sz w:val="21"/>
          <w:szCs w:val="21"/>
        </w:rPr>
        <w:t>责任保险费=意外伤害保险金额×意外伤害身故基准费率×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F1</w:t>
      </w:r>
      <w:r>
        <w:rPr>
          <w:rFonts w:hint="eastAsia" w:hAnsi="宋体" w:eastAsia="宋体" w:cs="宋体"/>
          <w:kern w:val="2"/>
          <w:sz w:val="21"/>
          <w:szCs w:val="21"/>
        </w:rPr>
        <w:t>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F2</w:t>
      </w:r>
      <w:r>
        <w:rPr>
          <w:rFonts w:hint="eastAsia" w:hAnsi="宋体" w:eastAsia="宋体" w:cs="宋体"/>
          <w:kern w:val="2"/>
          <w:sz w:val="21"/>
          <w:szCs w:val="21"/>
        </w:rPr>
        <w:t>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F3</w:t>
      </w:r>
      <w:r>
        <w:rPr>
          <w:rFonts w:hint="eastAsia" w:hAnsi="宋体" w:eastAsia="宋体" w:cs="宋体"/>
          <w:kern w:val="2"/>
          <w:sz w:val="21"/>
          <w:szCs w:val="21"/>
        </w:rPr>
        <w:t>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F4</w:t>
      </w:r>
      <w:r>
        <w:rPr>
          <w:rFonts w:hint="eastAsia" w:hAnsi="宋体" w:eastAsia="宋体" w:cs="宋体"/>
          <w:kern w:val="2"/>
          <w:sz w:val="21"/>
          <w:szCs w:val="21"/>
        </w:rPr>
        <w:t>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F5</w:t>
      </w:r>
      <w:r>
        <w:rPr>
          <w:rFonts w:hint="eastAsia" w:hAnsi="宋体" w:eastAsia="宋体" w:cs="宋体"/>
          <w:kern w:val="2"/>
          <w:sz w:val="21"/>
          <w:szCs w:val="21"/>
        </w:rPr>
        <w:t>×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F6</w:t>
      </w:r>
    </w:p>
    <w:p w14:paraId="6925B890">
      <w:pPr>
        <w:spacing w:after="0" w:afterLines="0"/>
        <w:ind w:firstLine="0" w:firstLineChars="0"/>
        <w:rPr>
          <w:rFonts w:hint="eastAsia" w:hAnsi="宋体" w:eastAsia="宋体" w:cs="宋体"/>
          <w:kern w:val="2"/>
          <w:sz w:val="21"/>
          <w:szCs w:val="21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2、</w:t>
      </w:r>
      <w:r>
        <w:rPr>
          <w:rFonts w:hint="eastAsia" w:hAnsi="宋体" w:eastAsia="宋体" w:cs="宋体"/>
          <w:kern w:val="2"/>
          <w:sz w:val="21"/>
          <w:szCs w:val="21"/>
        </w:rPr>
        <w:t>可选责任保险费=意外伤害保险金额×意外伤害伤残基准费率×F1×F2×F3×F4×F5×F6</w:t>
      </w:r>
    </w:p>
    <w:p w14:paraId="2FC32E2B">
      <w:pPr>
        <w:spacing w:after="0" w:afterLines="0"/>
        <w:ind w:firstLine="0" w:firstLineChars="0"/>
        <w:rPr>
          <w:rFonts w:hint="eastAsia" w:hAnsi="宋体" w:eastAsia="宋体" w:cs="宋体"/>
          <w:kern w:val="2"/>
          <w:sz w:val="21"/>
          <w:szCs w:val="21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3、</w:t>
      </w:r>
      <w:r>
        <w:rPr>
          <w:rFonts w:hint="eastAsia" w:hAnsi="宋体" w:eastAsia="宋体" w:cs="宋体"/>
          <w:kern w:val="2"/>
          <w:sz w:val="21"/>
          <w:szCs w:val="21"/>
        </w:rPr>
        <w:t>保险费=</w:t>
      </w:r>
      <w:r>
        <w:rPr>
          <w:rFonts w:hint="eastAsia" w:hAnsi="宋体" w:eastAsia="宋体" w:cs="宋体"/>
          <w:kern w:val="2"/>
          <w:sz w:val="21"/>
          <w:szCs w:val="21"/>
          <w:lang w:val="en-US" w:eastAsia="zh-CN"/>
        </w:rPr>
        <w:t>必选</w:t>
      </w:r>
      <w:r>
        <w:rPr>
          <w:rFonts w:hint="eastAsia" w:hAnsi="宋体" w:eastAsia="宋体" w:cs="宋体"/>
          <w:kern w:val="2"/>
          <w:sz w:val="21"/>
          <w:szCs w:val="21"/>
        </w:rPr>
        <w:t>责任保险费+可选责任保险费</w:t>
      </w:r>
    </w:p>
    <w:p w14:paraId="764F22F6">
      <w:pPr>
        <w:spacing w:after="156" w:afterLines="50"/>
        <w:jc w:val="left"/>
        <w:rPr>
          <w:rFonts w:hint="eastAsia" w:hAnsi="宋体" w:eastAsia="宋体" w:cs="宋体"/>
          <w:b/>
          <w:kern w:val="2"/>
          <w:sz w:val="21"/>
          <w:szCs w:val="21"/>
        </w:rPr>
      </w:pPr>
    </w:p>
    <w:p w14:paraId="01BA8AA8">
      <w:pPr>
        <w:spacing w:after="156" w:afterLines="50"/>
        <w:jc w:val="left"/>
        <w:rPr>
          <w:rFonts w:hint="eastAsia" w:hAnsi="宋体" w:eastAsia="宋体" w:cs="宋体"/>
          <w:b/>
          <w:kern w:val="2"/>
          <w:sz w:val="21"/>
          <w:szCs w:val="21"/>
        </w:rPr>
      </w:pPr>
      <w:r>
        <w:rPr>
          <w:rFonts w:hint="eastAsia" w:hAnsi="宋体" w:eastAsia="宋体" w:cs="宋体"/>
          <w:b/>
          <w:kern w:val="2"/>
          <w:sz w:val="21"/>
          <w:szCs w:val="21"/>
        </w:rPr>
        <w:t>四、短期费率表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6"/>
      </w:tblGrid>
      <w:tr w14:paraId="45C48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5625C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62BC6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7CDA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E92D2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C153F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CE78B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5889C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D484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C5B5A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B0CF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54277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D603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十一个月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5E856">
            <w:pPr>
              <w:spacing w:beforeLines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十</w:t>
            </w:r>
          </w:p>
          <w:p w14:paraId="2F3D8867">
            <w:pPr>
              <w:spacing w:beforeLines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二</w:t>
            </w:r>
          </w:p>
          <w:p w14:paraId="43175F4D">
            <w:pPr>
              <w:spacing w:beforeLines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个</w:t>
            </w:r>
          </w:p>
          <w:p w14:paraId="609CA2FC">
            <w:pPr>
              <w:spacing w:beforeLines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月</w:t>
            </w:r>
          </w:p>
        </w:tc>
      </w:tr>
      <w:tr w14:paraId="008B8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AD31D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年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  <w:lang w:val="en-US" w:eastAsia="zh-CN"/>
              </w:rPr>
              <w:t>保险费</w:t>
            </w: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D7926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19667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6A8BA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FDDE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71406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7AB97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6F43B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9F33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38615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D945F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D226D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95%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DFF18">
            <w:pPr>
              <w:spacing w:beforeLines="0" w:after="0"/>
              <w:jc w:val="center"/>
              <w:rPr>
                <w:rFonts w:hint="eastAsia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宋体"/>
                <w:kern w:val="2"/>
                <w:sz w:val="21"/>
                <w:szCs w:val="21"/>
              </w:rPr>
              <w:t>100%</w:t>
            </w:r>
          </w:p>
        </w:tc>
      </w:tr>
    </w:tbl>
    <w:p w14:paraId="4FE25A5F">
      <w:pPr>
        <w:spacing w:before="0" w:beforeLines="0" w:after="0" w:line="240" w:lineRule="auto"/>
        <w:ind w:firstLine="424" w:firstLineChars="202"/>
        <w:rPr>
          <w:rFonts w:hint="eastAsia" w:hAnsi="宋体" w:eastAsia="宋体" w:cs="宋体"/>
        </w:rPr>
      </w:pPr>
      <w:r>
        <w:rPr>
          <w:rFonts w:hint="eastAsia" w:hAnsi="宋体" w:eastAsia="宋体" w:cs="宋体"/>
          <w:color w:val="000000"/>
          <w:kern w:val="2"/>
          <w:sz w:val="21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C4EA9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632038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632038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743BA0"/>
    <w:rsid w:val="00330A56"/>
    <w:rsid w:val="0064787F"/>
    <w:rsid w:val="006C50C5"/>
    <w:rsid w:val="006D3FEF"/>
    <w:rsid w:val="00743BA0"/>
    <w:rsid w:val="00815729"/>
    <w:rsid w:val="00B731E1"/>
    <w:rsid w:val="00CB7F62"/>
    <w:rsid w:val="00CC5EB4"/>
    <w:rsid w:val="00E4081B"/>
    <w:rsid w:val="00EF0D19"/>
    <w:rsid w:val="00F52263"/>
    <w:rsid w:val="02A90921"/>
    <w:rsid w:val="03EA08A3"/>
    <w:rsid w:val="07484181"/>
    <w:rsid w:val="0C273E89"/>
    <w:rsid w:val="0C9C0319"/>
    <w:rsid w:val="0FE73BF5"/>
    <w:rsid w:val="10941404"/>
    <w:rsid w:val="128F62D9"/>
    <w:rsid w:val="15CD1890"/>
    <w:rsid w:val="19DD1056"/>
    <w:rsid w:val="1C2D2D08"/>
    <w:rsid w:val="27892B78"/>
    <w:rsid w:val="2AA2632F"/>
    <w:rsid w:val="2F4C6F89"/>
    <w:rsid w:val="35174FFE"/>
    <w:rsid w:val="357D0C39"/>
    <w:rsid w:val="3A00476D"/>
    <w:rsid w:val="43170A67"/>
    <w:rsid w:val="45990C13"/>
    <w:rsid w:val="46C20BBE"/>
    <w:rsid w:val="4D522AC9"/>
    <w:rsid w:val="4F8435C1"/>
    <w:rsid w:val="50BC3475"/>
    <w:rsid w:val="50C7509B"/>
    <w:rsid w:val="594F417A"/>
    <w:rsid w:val="5AF82D1F"/>
    <w:rsid w:val="5B1F61CF"/>
    <w:rsid w:val="5FFF6152"/>
    <w:rsid w:val="60297094"/>
    <w:rsid w:val="60342A1E"/>
    <w:rsid w:val="6859510C"/>
    <w:rsid w:val="6D1C379E"/>
    <w:rsid w:val="7A2F7EC2"/>
    <w:rsid w:val="7BE42D59"/>
    <w:rsid w:val="7F091139"/>
    <w:rsid w:val="D77F506F"/>
    <w:rsid w:val="DFCE01B8"/>
    <w:rsid w:val="FDD31B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qFormat/>
    <w:uiPriority w:val="59"/>
    <w:rPr>
      <w:lang w:val="en-US" w:eastAsia="zh-CN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qFormat/>
    <w:uiPriority w:val="0"/>
    <w:rPr>
      <w:rFonts w:ascii="宋体"/>
      <w:sz w:val="34"/>
      <w:szCs w:val="22"/>
    </w:rPr>
  </w:style>
  <w:style w:type="character" w:customStyle="1" w:styleId="13">
    <w:name w:val="批注框文本 字符"/>
    <w:link w:val="3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link w:val="4"/>
    <w:qFormat/>
    <w:uiPriority w:val="0"/>
    <w:rPr>
      <w:rFonts w:ascii="宋体"/>
      <w:sz w:val="18"/>
      <w:szCs w:val="18"/>
    </w:rPr>
  </w:style>
  <w:style w:type="character" w:customStyle="1" w:styleId="15">
    <w:name w:val="页眉 字符"/>
    <w:link w:val="5"/>
    <w:qFormat/>
    <w:uiPriority w:val="0"/>
    <w:rPr>
      <w:rFonts w:ascii="宋体"/>
      <w:sz w:val="18"/>
      <w:szCs w:val="18"/>
    </w:rPr>
  </w:style>
  <w:style w:type="character" w:customStyle="1" w:styleId="16">
    <w:name w:val="批注主题 字符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7">
    <w:name w:val="_Style 16"/>
    <w:unhideWhenUsed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styleId="1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777</Words>
  <Characters>1057</Characters>
  <Lines>10</Lines>
  <Paragraphs>2</Paragraphs>
  <TotalTime>0</TotalTime>
  <ScaleCrop>false</ScaleCrop>
  <LinksUpToDate>false</LinksUpToDate>
  <CharactersWithSpaces>1058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LiPanpan</dc:creator>
  <cp:lastModifiedBy>刘晴</cp:lastModifiedBy>
  <dcterms:modified xsi:type="dcterms:W3CDTF">2025-07-16T06:39:29Z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36217085ACFB44CB8A5CC92CF9637F66_13</vt:lpwstr>
  </property>
</Properties>
</file>