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insoku/>
        <w:autoSpaceDE/>
        <w:autoSpaceDN/>
        <w:spacing w:after="120" w:afterLines="50"/>
        <w:ind w:left="0" w:leftChars="0" w:firstLine="0" w:firstLineChars="0"/>
        <w:jc w:val="center"/>
        <w:textAlignment w:val="auto"/>
        <w:rPr>
          <w:rFonts w:eastAsia="宋体" w:cs="Times New Roman"/>
          <w:b/>
          <w:snapToGrid/>
          <w:kern w:val="2"/>
          <w:sz w:val="28"/>
          <w:szCs w:val="28"/>
          <w:lang w:eastAsia="zh-CN"/>
        </w:rPr>
      </w:pPr>
      <w:r>
        <w:rPr>
          <w:rFonts w:hint="eastAsia" w:eastAsia="宋体" w:cs="Times New Roman"/>
          <w:b/>
          <w:snapToGrid/>
          <w:kern w:val="2"/>
          <w:sz w:val="28"/>
          <w:szCs w:val="28"/>
          <w:lang w:eastAsia="zh-CN"/>
        </w:rPr>
        <w:t>华农财产保险股份有限公司</w:t>
      </w:r>
    </w:p>
    <w:p>
      <w:pPr>
        <w:pStyle w:val="6"/>
        <w:kinsoku/>
        <w:autoSpaceDE/>
        <w:autoSpaceDN/>
        <w:spacing w:after="120" w:afterLines="50"/>
        <w:ind w:left="0" w:leftChars="0" w:firstLine="0" w:firstLineChars="0"/>
        <w:jc w:val="center"/>
        <w:textAlignment w:val="auto"/>
        <w:rPr>
          <w:rFonts w:eastAsia="宋体" w:cs="Times New Roman"/>
          <w:b/>
          <w:snapToGrid/>
          <w:kern w:val="2"/>
          <w:sz w:val="28"/>
          <w:szCs w:val="28"/>
          <w:lang w:eastAsia="zh-CN"/>
        </w:rPr>
      </w:pPr>
      <w:r>
        <w:rPr>
          <w:rFonts w:hint="eastAsia" w:eastAsia="宋体" w:cs="Times New Roman"/>
          <w:b/>
          <w:snapToGrid/>
          <w:kern w:val="2"/>
          <w:sz w:val="28"/>
          <w:szCs w:val="28"/>
          <w:lang w:eastAsia="zh-CN"/>
        </w:rPr>
        <w:t>特定心脑血管疾病医疗保险费率表（互联网专属）</w:t>
      </w:r>
    </w:p>
    <w:p>
      <w:pPr>
        <w:pStyle w:val="2"/>
        <w:spacing w:line="360" w:lineRule="auto"/>
        <w:ind w:firstLine="442" w:firstLineChars="200"/>
        <w:rPr>
          <w:rFonts w:ascii="宋体" w:hAnsi="宋体" w:eastAsia="宋体" w:cs="宋体"/>
          <w:b/>
          <w:bCs/>
          <w:spacing w:val="5"/>
          <w:sz w:val="21"/>
          <w:szCs w:val="21"/>
          <w:lang w:eastAsia="zh-CN"/>
        </w:rPr>
      </w:pPr>
    </w:p>
    <w:p>
      <w:pPr>
        <w:pStyle w:val="2"/>
        <w:spacing w:line="360" w:lineRule="auto"/>
        <w:ind w:firstLine="442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1"/>
          <w:szCs w:val="21"/>
          <w:lang w:eastAsia="zh-CN"/>
        </w:rPr>
        <w:t>一、基准赔付标准和基准保险费</w:t>
      </w:r>
    </w:p>
    <w:p>
      <w:pPr>
        <w:pStyle w:val="2"/>
        <w:spacing w:line="360" w:lineRule="auto"/>
        <w:ind w:firstLine="42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（一）基准赔付标准</w:t>
      </w:r>
    </w:p>
    <w:p>
      <w:pPr>
        <w:pStyle w:val="2"/>
        <w:spacing w:line="360" w:lineRule="auto"/>
        <w:ind w:firstLine="428" w:firstLineChars="200"/>
        <w:outlineLvl w:val="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1.基准保险金额</w:t>
      </w:r>
    </w:p>
    <w:p>
      <w:pPr>
        <w:pStyle w:val="2"/>
        <w:spacing w:line="360" w:lineRule="auto"/>
        <w:ind w:firstLine="424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（1）脑卒中住院医疗保险责任：50万元</w:t>
      </w:r>
    </w:p>
    <w:p>
      <w:pPr>
        <w:pStyle w:val="2"/>
        <w:spacing w:line="360" w:lineRule="auto"/>
        <w:ind w:firstLine="432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（2）急性心肌梗死住院医疗保险责任：50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万元</w:t>
      </w:r>
    </w:p>
    <w:p>
      <w:pPr>
        <w:pStyle w:val="2"/>
        <w:spacing w:line="360" w:lineRule="auto"/>
        <w:ind w:firstLine="42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2.基准等待期：60天</w:t>
      </w:r>
    </w:p>
    <w:p>
      <w:pPr>
        <w:pStyle w:val="2"/>
        <w:spacing w:line="360" w:lineRule="auto"/>
        <w:ind w:firstLine="424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3.基准免赔额：0元</w:t>
      </w:r>
    </w:p>
    <w:p>
      <w:pPr>
        <w:pStyle w:val="2"/>
        <w:spacing w:line="360" w:lineRule="auto"/>
        <w:ind w:firstLine="436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4.基准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赔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付比例：</w:t>
      </w:r>
    </w:p>
    <w:p>
      <w:pPr>
        <w:pStyle w:val="2"/>
        <w:spacing w:line="360" w:lineRule="auto"/>
        <w:ind w:firstLine="46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0"/>
          <w:sz w:val="21"/>
          <w:szCs w:val="21"/>
          <w:lang w:eastAsia="zh-CN"/>
        </w:rPr>
        <w:t>（1）被保险人以参加</w:t>
      </w:r>
      <w:r>
        <w:rPr>
          <w:rFonts w:hint="eastAsia" w:ascii="宋体" w:hAnsi="宋体" w:eastAsia="宋体" w:cs="宋体"/>
          <w:color w:val="auto"/>
          <w:spacing w:val="10"/>
          <w:sz w:val="21"/>
          <w:szCs w:val="21"/>
          <w:u w:color="0000EE"/>
          <w:lang w:eastAsia="zh-CN"/>
        </w:rPr>
        <w:t>基本医疗保险</w:t>
      </w:r>
      <w:r>
        <w:rPr>
          <w:rFonts w:hint="eastAsia" w:ascii="宋体" w:hAnsi="宋体" w:eastAsia="宋体" w:cs="宋体"/>
          <w:spacing w:val="10"/>
          <w:sz w:val="21"/>
          <w:szCs w:val="21"/>
          <w:lang w:eastAsia="zh-CN"/>
        </w:rPr>
        <w:t>或者公费医疗身份投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保，并以参加基本医疗保险或者公费医疗身份就诊并结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算的：</w:t>
      </w:r>
    </w:p>
    <w:p>
      <w:pPr>
        <w:pStyle w:val="2"/>
        <w:spacing w:line="360" w:lineRule="auto"/>
        <w:ind w:firstLine="44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①符合基本医疗保险报销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范围的项目赔付比例为100%；</w:t>
      </w:r>
    </w:p>
    <w:p>
      <w:pPr>
        <w:pStyle w:val="2"/>
        <w:spacing w:line="360" w:lineRule="auto"/>
        <w:ind w:firstLine="44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②不符合基本医疗保险报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销范围的项目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赔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付比例为80%。</w:t>
      </w:r>
    </w:p>
    <w:p>
      <w:pPr>
        <w:pStyle w:val="2"/>
        <w:spacing w:line="360" w:lineRule="auto"/>
        <w:ind w:firstLine="44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（2）被保险人未以参加基本医疗保险或公费医疗身份投保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：</w:t>
      </w:r>
    </w:p>
    <w:p>
      <w:pPr>
        <w:pStyle w:val="2"/>
        <w:spacing w:line="360" w:lineRule="auto"/>
        <w:ind w:firstLine="44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①符合基本医疗保险报销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范围的项目赔付比例为100%；</w:t>
      </w:r>
    </w:p>
    <w:p>
      <w:pPr>
        <w:pStyle w:val="2"/>
        <w:spacing w:line="360" w:lineRule="auto"/>
        <w:ind w:firstLine="44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②不符合基本医疗保险报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销范围的项目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赔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付比例为80%。</w:t>
      </w:r>
    </w:p>
    <w:p>
      <w:pPr>
        <w:pStyle w:val="2"/>
        <w:spacing w:line="360" w:lineRule="auto"/>
        <w:ind w:firstLine="436" w:firstLineChars="20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（3）被保险人以参加基本医疗保险或者公</w:t>
      </w: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费医疗身份投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保，但未以参加基本医疗保险或者公费医疗身份就诊并结算的，赔付比例为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50%。</w:t>
      </w:r>
    </w:p>
    <w:p>
      <w:pPr>
        <w:pStyle w:val="2"/>
        <w:spacing w:line="360" w:lineRule="auto"/>
        <w:ind w:firstLine="436" w:firstLineChars="200"/>
        <w:jc w:val="both"/>
        <w:rPr>
          <w:rFonts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（二）年基准保险费（单位：元）</w:t>
      </w:r>
    </w:p>
    <w:p>
      <w:pPr>
        <w:pStyle w:val="2"/>
        <w:spacing w:line="360" w:lineRule="auto"/>
        <w:ind w:firstLine="436" w:firstLineChars="200"/>
        <w:jc w:val="both"/>
        <w:rPr>
          <w:rFonts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1．脑卒中住院医疗保险责任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539"/>
        <w:gridCol w:w="13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Style w:val="7"/>
                <w:rFonts w:hint="default"/>
                <w:lang w:eastAsia="zh-CN" w:bidi="ar"/>
              </w:rPr>
              <w:t>年龄（周岁）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Style w:val="7"/>
                <w:rFonts w:hint="default"/>
                <w:lang w:eastAsia="zh-CN" w:bidi="ar"/>
              </w:rPr>
              <w:t>有社保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Style w:val="7"/>
                <w:rFonts w:hint="default"/>
                <w:lang w:eastAsia="zh-CN" w:bidi="ar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0-4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5-10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11-15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16-20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21-25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26-30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31-35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36-40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41-45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46-50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51-55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56-60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61-65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66-70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291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71-75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76-80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768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81-85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1114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86-90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1385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3077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91-95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1654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3674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96-99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1900 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4223 </w:t>
            </w:r>
          </w:p>
        </w:tc>
      </w:tr>
    </w:tbl>
    <w:p>
      <w:pPr>
        <w:pStyle w:val="2"/>
        <w:spacing w:line="360" w:lineRule="auto"/>
        <w:ind w:firstLine="432" w:firstLineChars="200"/>
        <w:outlineLvl w:val="0"/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注：0周岁指出生满28天且健康出院。</w:t>
      </w:r>
    </w:p>
    <w:p>
      <w:pPr>
        <w:pStyle w:val="2"/>
        <w:spacing w:line="360" w:lineRule="auto"/>
        <w:ind w:firstLine="436" w:firstLineChars="200"/>
        <w:jc w:val="both"/>
        <w:rPr>
          <w:rFonts w:ascii="宋体" w:hAnsi="宋体" w:eastAsia="宋体" w:cs="宋体"/>
          <w:spacing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2.急性心肌梗死住院医疗保险责任</w:t>
      </w:r>
    </w:p>
    <w:tbl>
      <w:tblPr>
        <w:tblStyle w:val="3"/>
        <w:tblW w:w="468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649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年龄（周岁）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有社保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0-4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5-10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11-15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16-20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21-25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26-30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31-35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36-40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41-45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46-50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51-55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294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56-60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445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61-65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622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66-70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875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71-75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1329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76-80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1875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81-85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2511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86-90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2891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91-95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3251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96-99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3585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7965 </w:t>
            </w:r>
          </w:p>
        </w:tc>
      </w:tr>
    </w:tbl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注：0周岁指出生满28天且健康出院。</w:t>
      </w:r>
    </w:p>
    <w:p>
      <w:pPr>
        <w:pStyle w:val="2"/>
        <w:spacing w:line="360" w:lineRule="auto"/>
        <w:ind w:firstLine="43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  <w:t>二、费率调整系数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1.免赔额调整系数（F1)</w:t>
      </w:r>
    </w:p>
    <w:tbl>
      <w:tblPr>
        <w:tblStyle w:val="9"/>
        <w:tblW w:w="49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33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免赔额（元）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6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6"/>
                <w:sz w:val="21"/>
                <w:szCs w:val="21"/>
              </w:rPr>
              <w:t>1,000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6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1"/>
                <w:sz w:val="21"/>
                <w:szCs w:val="21"/>
              </w:rPr>
              <w:t>5,000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10,000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  <w:vAlign w:val="center"/>
          </w:tcPr>
          <w:p>
            <w:pPr>
              <w:pStyle w:val="8"/>
              <w:spacing w:before="2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4"/>
                <w:sz w:val="21"/>
                <w:szCs w:val="21"/>
              </w:rPr>
              <w:t>调整系数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4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4"/>
                <w:sz w:val="21"/>
                <w:szCs w:val="21"/>
              </w:rPr>
              <w:t>1.0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0.95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1"/>
                <w:sz w:val="21"/>
                <w:szCs w:val="21"/>
              </w:rPr>
              <w:t>0.73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autoSpaceDE/>
              <w:autoSpaceDN/>
              <w:spacing w:before="4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1"/>
                <w:sz w:val="21"/>
                <w:szCs w:val="21"/>
              </w:rPr>
              <w:t>0.45</w:t>
            </w:r>
          </w:p>
        </w:tc>
      </w:tr>
    </w:tbl>
    <w:p>
      <w:pPr>
        <w:spacing w:before="15" w:line="360" w:lineRule="exact"/>
        <w:ind w:left="420" w:left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注：免赔额在两档之间的，采用线性插值的方式计算免赔额调整系数。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2.赔付比例调整系数(F2)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（1）被保险人以参加基本医疗保险或者公费医疗身份投保，并以参加基本医疗保险或者公费医疗身份就诊并结算的：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①符合本保险基本医疗保险报销范围的项目赔付比例</w:t>
      </w:r>
    </w:p>
    <w:tbl>
      <w:tblPr>
        <w:tblStyle w:val="9"/>
        <w:tblW w:w="59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33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赔付比例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60%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70%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80%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90%</w:t>
            </w:r>
          </w:p>
        </w:tc>
        <w:tc>
          <w:tcPr>
            <w:tcW w:w="91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0.86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0.89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0.93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0.96</w:t>
            </w:r>
          </w:p>
        </w:tc>
        <w:tc>
          <w:tcPr>
            <w:tcW w:w="91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60" w:lineRule="exact"/>
              <w:ind w:left="0"/>
              <w:jc w:val="center"/>
              <w:textAlignment w:val="baseline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1.00</w:t>
            </w:r>
          </w:p>
        </w:tc>
      </w:tr>
    </w:tbl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②不符合本保险基本医疗保险报销范围的项目赔付比例</w:t>
      </w:r>
    </w:p>
    <w:tbl>
      <w:tblPr>
        <w:tblStyle w:val="9"/>
        <w:tblW w:w="59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338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赔</w:t>
            </w:r>
            <w:r>
              <w:rPr>
                <w:rFonts w:hint="eastAsia"/>
                <w:sz w:val="21"/>
                <w:szCs w:val="21"/>
              </w:rPr>
              <w:t>付比例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60%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70%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80%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90%</w:t>
            </w:r>
          </w:p>
        </w:tc>
        <w:tc>
          <w:tcPr>
            <w:tcW w:w="918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调整系数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0.90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0.95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1.00</w:t>
            </w:r>
          </w:p>
        </w:tc>
        <w:tc>
          <w:tcPr>
            <w:tcW w:w="912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1.05</w:t>
            </w:r>
          </w:p>
        </w:tc>
        <w:tc>
          <w:tcPr>
            <w:tcW w:w="918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1.10</w:t>
            </w:r>
          </w:p>
        </w:tc>
      </w:tr>
    </w:tbl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被保险人未以参加基本医疗保险或公费医疗身份投保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：</w:t>
      </w:r>
    </w:p>
    <w:p>
      <w:pPr>
        <w:pStyle w:val="2"/>
        <w:spacing w:line="360" w:lineRule="auto"/>
        <w:ind w:firstLine="432" w:firstLineChars="200"/>
        <w:outlineLvl w:val="0"/>
        <w:rPr>
          <w:rFonts w:ascii="宋体" w:hAnsi="宋体" w:eastAsia="宋体" w:cs="宋体"/>
          <w:spacing w:val="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  <w:t>①符合基本医疗保险报销范围的项目赔付比例</w:t>
      </w:r>
    </w:p>
    <w:tbl>
      <w:tblPr>
        <w:tblStyle w:val="9"/>
        <w:tblW w:w="59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338" w:type="dxa"/>
          </w:tcPr>
          <w:p>
            <w:pPr>
              <w:pStyle w:val="8"/>
              <w:spacing w:before="29" w:line="360" w:lineRule="exact"/>
              <w:ind w:left="287"/>
              <w:rPr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赔</w:t>
            </w:r>
            <w:r>
              <w:rPr>
                <w:rFonts w:hint="eastAsia"/>
                <w:sz w:val="21"/>
                <w:szCs w:val="21"/>
              </w:rPr>
              <w:t>付比例</w:t>
            </w:r>
          </w:p>
        </w:tc>
        <w:tc>
          <w:tcPr>
            <w:tcW w:w="912" w:type="dxa"/>
          </w:tcPr>
          <w:p>
            <w:pPr>
              <w:pStyle w:val="8"/>
              <w:spacing w:before="59" w:line="360" w:lineRule="exact"/>
              <w:ind w:left="312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60%</w:t>
            </w:r>
          </w:p>
        </w:tc>
        <w:tc>
          <w:tcPr>
            <w:tcW w:w="912" w:type="dxa"/>
          </w:tcPr>
          <w:p>
            <w:pPr>
              <w:pStyle w:val="8"/>
              <w:spacing w:before="59" w:line="360" w:lineRule="exact"/>
              <w:ind w:left="316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70%</w:t>
            </w:r>
          </w:p>
        </w:tc>
        <w:tc>
          <w:tcPr>
            <w:tcW w:w="912" w:type="dxa"/>
          </w:tcPr>
          <w:p>
            <w:pPr>
              <w:pStyle w:val="8"/>
              <w:spacing w:before="59" w:line="360" w:lineRule="exact"/>
              <w:ind w:left="314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80%</w:t>
            </w:r>
          </w:p>
        </w:tc>
        <w:tc>
          <w:tcPr>
            <w:tcW w:w="912" w:type="dxa"/>
          </w:tcPr>
          <w:p>
            <w:pPr>
              <w:pStyle w:val="8"/>
              <w:spacing w:before="59" w:line="360" w:lineRule="exact"/>
              <w:ind w:left="315"/>
              <w:rPr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90%</w:t>
            </w:r>
          </w:p>
        </w:tc>
        <w:tc>
          <w:tcPr>
            <w:tcW w:w="918" w:type="dxa"/>
          </w:tcPr>
          <w:p>
            <w:pPr>
              <w:pStyle w:val="8"/>
              <w:spacing w:before="59" w:line="360" w:lineRule="exact"/>
              <w:ind w:left="282"/>
              <w:rPr>
                <w:sz w:val="21"/>
                <w:szCs w:val="21"/>
              </w:rPr>
            </w:pPr>
            <w:r>
              <w:rPr>
                <w:rFonts w:hint="eastAsia"/>
                <w:spacing w:val="-4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</w:tcPr>
          <w:p>
            <w:pPr>
              <w:pStyle w:val="8"/>
              <w:spacing w:before="28" w:line="360" w:lineRule="exact"/>
              <w:ind w:left="28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调整系数</w:t>
            </w:r>
          </w:p>
        </w:tc>
        <w:tc>
          <w:tcPr>
            <w:tcW w:w="912" w:type="dxa"/>
          </w:tcPr>
          <w:p>
            <w:pPr>
              <w:pStyle w:val="8"/>
              <w:spacing w:before="58" w:line="360" w:lineRule="exact"/>
              <w:ind w:left="264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0.74</w:t>
            </w:r>
          </w:p>
        </w:tc>
        <w:tc>
          <w:tcPr>
            <w:tcW w:w="912" w:type="dxa"/>
          </w:tcPr>
          <w:p>
            <w:pPr>
              <w:pStyle w:val="8"/>
              <w:spacing w:before="58" w:line="360" w:lineRule="exact"/>
              <w:ind w:left="265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0.80</w:t>
            </w:r>
          </w:p>
        </w:tc>
        <w:tc>
          <w:tcPr>
            <w:tcW w:w="912" w:type="dxa"/>
          </w:tcPr>
          <w:p>
            <w:pPr>
              <w:pStyle w:val="8"/>
              <w:spacing w:before="58" w:line="360" w:lineRule="exact"/>
              <w:ind w:left="266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0.87</w:t>
            </w:r>
          </w:p>
        </w:tc>
        <w:tc>
          <w:tcPr>
            <w:tcW w:w="912" w:type="dxa"/>
          </w:tcPr>
          <w:p>
            <w:pPr>
              <w:pStyle w:val="8"/>
              <w:spacing w:before="58" w:line="360" w:lineRule="exact"/>
              <w:ind w:left="268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0.93</w:t>
            </w:r>
          </w:p>
        </w:tc>
        <w:tc>
          <w:tcPr>
            <w:tcW w:w="918" w:type="dxa"/>
          </w:tcPr>
          <w:p>
            <w:pPr>
              <w:pStyle w:val="8"/>
              <w:spacing w:before="58" w:line="360" w:lineRule="exact"/>
              <w:ind w:left="282"/>
              <w:rPr>
                <w:sz w:val="21"/>
                <w:szCs w:val="21"/>
              </w:rPr>
            </w:pPr>
            <w:r>
              <w:rPr>
                <w:rFonts w:hint="eastAsia"/>
                <w:spacing w:val="-4"/>
                <w:sz w:val="21"/>
                <w:szCs w:val="21"/>
              </w:rPr>
              <w:t>1.00</w:t>
            </w:r>
          </w:p>
        </w:tc>
      </w:tr>
    </w:tbl>
    <w:p>
      <w:pPr>
        <w:pStyle w:val="2"/>
        <w:spacing w:line="360" w:lineRule="auto"/>
        <w:ind w:firstLine="448" w:firstLineChars="200"/>
        <w:outlineLvl w:val="0"/>
        <w:rPr>
          <w:rFonts w:ascii="宋体" w:hAnsi="宋体" w:eastAsia="宋体" w:cs="宋体"/>
          <w:spacing w:val="7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注：赔付比例在两档之间的，采用线性插值的方式计算赔付比例调整系数。</w:t>
      </w:r>
    </w:p>
    <w:p>
      <w:pPr>
        <w:pStyle w:val="2"/>
        <w:spacing w:line="360" w:lineRule="auto"/>
        <w:ind w:firstLine="448" w:firstLineChars="200"/>
        <w:outlineLvl w:val="0"/>
        <w:rPr>
          <w:rFonts w:ascii="宋体" w:hAnsi="宋体" w:eastAsia="宋体" w:cs="宋体"/>
          <w:spacing w:val="7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②不符合基本医疗保险报销范围的项目赔付比例</w:t>
      </w:r>
    </w:p>
    <w:tbl>
      <w:tblPr>
        <w:tblStyle w:val="9"/>
        <w:tblW w:w="59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912"/>
        <w:gridCol w:w="912"/>
        <w:gridCol w:w="912"/>
        <w:gridCol w:w="912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338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赔付比例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60%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70%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80%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90%</w:t>
            </w:r>
          </w:p>
        </w:tc>
        <w:tc>
          <w:tcPr>
            <w:tcW w:w="918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338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0.94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0.97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1.00</w:t>
            </w:r>
          </w:p>
        </w:tc>
        <w:tc>
          <w:tcPr>
            <w:tcW w:w="912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1.03</w:t>
            </w:r>
          </w:p>
        </w:tc>
        <w:tc>
          <w:tcPr>
            <w:tcW w:w="918" w:type="dxa"/>
          </w:tcPr>
          <w:p>
            <w:pPr>
              <w:pStyle w:val="8"/>
              <w:spacing w:before="29" w:line="360" w:lineRule="exact"/>
              <w:ind w:left="287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1.06</w:t>
            </w:r>
          </w:p>
        </w:tc>
      </w:tr>
    </w:tbl>
    <w:p>
      <w:pPr>
        <w:spacing w:before="15" w:line="360" w:lineRule="exact"/>
        <w:ind w:left="420" w:leftChars="200" w:right="286"/>
        <w:outlineLvl w:val="0"/>
        <w:rPr>
          <w:rFonts w:ascii="宋体" w:hAnsi="宋体" w:eastAsia="宋体" w:cs="宋体"/>
          <w:spacing w:val="3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注：赔付比例在两档之间的，采用线性插值的方式计算赔付比例调整系数。</w:t>
      </w:r>
    </w:p>
    <w:p>
      <w:pPr>
        <w:spacing w:before="15" w:line="360" w:lineRule="exact"/>
        <w:ind w:left="420" w:leftChars="200" w:right="286"/>
        <w:outlineLvl w:val="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3.保险金额调整系数(F3)</w:t>
      </w:r>
    </w:p>
    <w:tbl>
      <w:tblPr>
        <w:tblStyle w:val="4"/>
        <w:tblW w:w="3165" w:type="pct"/>
        <w:tblInd w:w="15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2"/>
        <w:gridCol w:w="2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hAnsi="宋体" w:cs="宋体"/>
                <w:color w:val="auto"/>
                <w:lang w:eastAsia="zh-CN"/>
              </w:rPr>
              <w:t>保险金额</w:t>
            </w:r>
            <w:r>
              <w:rPr>
                <w:rFonts w:hint="eastAsia" w:ascii="宋体" w:hAnsi="宋体" w:eastAsia="宋体" w:cs="宋体"/>
                <w:color w:val="auto"/>
              </w:rPr>
              <w:t>（</w:t>
            </w:r>
            <w:r>
              <w:rPr>
                <w:rFonts w:hint="eastAsia" w:hAnsi="宋体" w:cs="宋体"/>
                <w:color w:val="auto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color w:val="auto"/>
              </w:rPr>
              <w:t>元）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spacing w:val="-1"/>
              </w:rPr>
              <w:t>0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,50]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lang w:eastAsia="zh-CN"/>
              </w:rPr>
              <w:t>[0.8,1.0]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(50,100]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lang w:eastAsia="zh-CN"/>
              </w:rPr>
              <w:t>(1.0,1.1]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spacing w:val="-1"/>
              </w:rPr>
              <w:t>1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pacing w:val="-1"/>
              </w:rPr>
              <w:t>0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,200]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lang w:eastAsia="zh-CN"/>
              </w:rPr>
              <w:t>(1.1,1.2]</w:t>
            </w:r>
          </w:p>
        </w:tc>
      </w:tr>
    </w:tbl>
    <w:p>
      <w:pPr>
        <w:spacing w:before="15" w:line="360" w:lineRule="exact"/>
        <w:ind w:left="420" w:leftChars="200" w:right="286"/>
        <w:outlineLvl w:val="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4"/>
        </w:rPr>
        <w:t>4.</w:t>
      </w:r>
      <w:r>
        <w:rPr>
          <w:rFonts w:hint="eastAsia" w:ascii="宋体" w:hAnsi="宋体" w:eastAsia="宋体" w:cs="宋体"/>
          <w:spacing w:val="-1"/>
          <w:lang w:eastAsia="zh-CN"/>
        </w:rPr>
        <w:t>等待</w:t>
      </w:r>
      <w:r>
        <w:rPr>
          <w:rFonts w:hint="eastAsia" w:ascii="宋体" w:hAnsi="宋体" w:eastAsia="宋体" w:cs="宋体"/>
          <w:spacing w:val="4"/>
        </w:rPr>
        <w:t>期调整系数</w:t>
      </w:r>
      <w:r>
        <w:rPr>
          <w:rFonts w:hint="eastAsia" w:ascii="宋体" w:hAnsi="宋体" w:eastAsia="宋体" w:cs="宋体"/>
          <w:spacing w:val="4"/>
          <w:lang w:eastAsia="zh-CN"/>
        </w:rPr>
        <w:t>(F4)</w:t>
      </w:r>
    </w:p>
    <w:tbl>
      <w:tblPr>
        <w:tblStyle w:val="9"/>
        <w:tblW w:w="63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912"/>
        <w:gridCol w:w="912"/>
        <w:gridCol w:w="924"/>
        <w:gridCol w:w="918"/>
        <w:gridCol w:w="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1782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等待期</w:t>
            </w:r>
          </w:p>
        </w:tc>
        <w:tc>
          <w:tcPr>
            <w:tcW w:w="912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0天</w:t>
            </w:r>
          </w:p>
        </w:tc>
        <w:tc>
          <w:tcPr>
            <w:tcW w:w="912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30天</w:t>
            </w:r>
          </w:p>
        </w:tc>
        <w:tc>
          <w:tcPr>
            <w:tcW w:w="924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60天</w:t>
            </w:r>
          </w:p>
        </w:tc>
        <w:tc>
          <w:tcPr>
            <w:tcW w:w="918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90天</w:t>
            </w:r>
          </w:p>
        </w:tc>
        <w:tc>
          <w:tcPr>
            <w:tcW w:w="918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180天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782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调整系数</w:t>
            </w:r>
          </w:p>
        </w:tc>
        <w:tc>
          <w:tcPr>
            <w:tcW w:w="912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1.20</w:t>
            </w:r>
          </w:p>
        </w:tc>
        <w:tc>
          <w:tcPr>
            <w:tcW w:w="912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1.10</w:t>
            </w:r>
          </w:p>
        </w:tc>
        <w:tc>
          <w:tcPr>
            <w:tcW w:w="924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1.00</w:t>
            </w:r>
          </w:p>
        </w:tc>
        <w:tc>
          <w:tcPr>
            <w:tcW w:w="918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0.92</w:t>
            </w:r>
          </w:p>
        </w:tc>
        <w:tc>
          <w:tcPr>
            <w:tcW w:w="918" w:type="dxa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0.85</w:t>
            </w:r>
          </w:p>
        </w:tc>
      </w:tr>
    </w:tbl>
    <w:p>
      <w:pPr>
        <w:spacing w:before="15" w:line="360" w:lineRule="exact"/>
        <w:ind w:left="420" w:leftChars="200" w:right="286"/>
        <w:outlineLvl w:val="0"/>
        <w:rPr>
          <w:rFonts w:ascii="宋体" w:hAnsi="宋体" w:eastAsia="宋体" w:cs="宋体"/>
          <w:spacing w:val="4"/>
          <w:lang w:eastAsia="zh-CN"/>
        </w:rPr>
      </w:pPr>
      <w:r>
        <w:rPr>
          <w:rFonts w:hint="eastAsia" w:ascii="宋体" w:hAnsi="宋体" w:eastAsia="宋体" w:cs="宋体"/>
          <w:spacing w:val="4"/>
          <w:lang w:val="en-US" w:eastAsia="zh-CN"/>
        </w:rPr>
        <w:t>5</w:t>
      </w:r>
      <w:r>
        <w:rPr>
          <w:rFonts w:hint="eastAsia" w:ascii="宋体" w:hAnsi="宋体" w:eastAsia="宋体" w:cs="宋体"/>
          <w:spacing w:val="4"/>
          <w:lang w:eastAsia="zh-CN"/>
        </w:rPr>
        <w:t>.被保险人健康状况调整系数(F</w:t>
      </w:r>
      <w:r>
        <w:rPr>
          <w:rFonts w:hint="eastAsia" w:ascii="宋体" w:hAnsi="宋体" w:eastAsia="宋体" w:cs="宋体"/>
          <w:spacing w:val="4"/>
          <w:lang w:val="en-US" w:eastAsia="zh-CN"/>
        </w:rPr>
        <w:t>5</w:t>
      </w:r>
      <w:r>
        <w:rPr>
          <w:rFonts w:hint="eastAsia" w:ascii="宋体" w:hAnsi="宋体" w:eastAsia="宋体" w:cs="宋体"/>
          <w:spacing w:val="4"/>
          <w:lang w:eastAsia="zh-CN"/>
        </w:rPr>
        <w:t>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被保险人健康状况</w:t>
            </w:r>
          </w:p>
        </w:tc>
        <w:tc>
          <w:tcPr>
            <w:tcW w:w="1830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健康意识较好，开展的体育文化活动非常丰富，生活规律。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[0.5,0.9)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健康意识一般，开展体育文化活动较少，生活比较规律。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[0.9,1.1)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健康意识较差，基本不开展体育文化活动，生活不规律。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[1.1,2.0]</w:t>
            </w:r>
          </w:p>
        </w:tc>
      </w:tr>
    </w:tbl>
    <w:p>
      <w:pPr>
        <w:spacing w:before="15" w:line="360" w:lineRule="exact"/>
        <w:ind w:left="420" w:leftChars="200" w:right="286"/>
        <w:outlineLvl w:val="0"/>
        <w:rPr>
          <w:rFonts w:ascii="宋体" w:hAnsi="宋体" w:eastAsia="宋体" w:cs="宋体"/>
          <w:spacing w:val="4"/>
          <w:lang w:eastAsia="zh-CN"/>
        </w:rPr>
      </w:pPr>
      <w:r>
        <w:rPr>
          <w:rFonts w:hint="eastAsia" w:ascii="宋体" w:hAnsi="宋体" w:eastAsia="宋体" w:cs="宋体"/>
          <w:spacing w:val="4"/>
          <w:lang w:val="en-US" w:eastAsia="zh-CN"/>
        </w:rPr>
        <w:t>6</w:t>
      </w:r>
      <w:r>
        <w:rPr>
          <w:rFonts w:hint="eastAsia" w:ascii="宋体" w:hAnsi="宋体" w:eastAsia="宋体" w:cs="宋体"/>
          <w:spacing w:val="4"/>
          <w:lang w:eastAsia="zh-CN"/>
        </w:rPr>
        <w:t>.经验赔付率系数(F</w:t>
      </w:r>
      <w:r>
        <w:rPr>
          <w:rFonts w:hint="eastAsia" w:ascii="宋体" w:hAnsi="宋体" w:eastAsia="宋体" w:cs="宋体"/>
          <w:spacing w:val="4"/>
          <w:lang w:val="en-US" w:eastAsia="zh-CN"/>
        </w:rPr>
        <w:t>6</w:t>
      </w:r>
      <w:r>
        <w:rPr>
          <w:rFonts w:hint="eastAsia" w:ascii="宋体" w:hAnsi="宋体" w:eastAsia="宋体" w:cs="宋体"/>
          <w:spacing w:val="4"/>
          <w:lang w:eastAsia="zh-CN"/>
        </w:rPr>
        <w:t>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历史赔付率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0%-30%（含）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[0.5,0.7]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30%-50%（含）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(0.7,0.9]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50%-80%（含）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(0.9,1.1]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80%以上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(1.1,1.5]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无历史赔付率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1.0</w:t>
            </w:r>
          </w:p>
        </w:tc>
      </w:tr>
    </w:tbl>
    <w:p>
      <w:pPr>
        <w:pStyle w:val="2"/>
        <w:spacing w:after="175" w:afterLines="73" w:line="360" w:lineRule="exact"/>
        <w:ind w:left="420" w:leftChars="200"/>
        <w:rPr>
          <w:rFonts w:ascii="宋体" w:hAnsi="宋体" w:eastAsia="宋体" w:cs="宋体"/>
          <w:spacing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.被保险人数或渠道预期投保人数系数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(F</w:t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2"/>
          <w:sz w:val="21"/>
          <w:szCs w:val="21"/>
          <w:lang w:eastAsia="zh-CN"/>
        </w:rPr>
        <w:t>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被保险人数或渠道预期投保人数</w:t>
            </w:r>
          </w:p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(N人）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N≤100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[1.0,1.5]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100＜N≤500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[0.9,1.0)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500＜N≤1,000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[0.8,0.9)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1,000＜N≤5,000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[0.75,0.8)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5,000＜N≤10,000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[0.7,0.75)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10,000＜N≤50,000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[0.65,0.7)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5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N＞50,000</w:t>
            </w:r>
          </w:p>
        </w:tc>
        <w:tc>
          <w:tcPr>
            <w:tcW w:w="1830" w:type="dxa"/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[0.55,0.65)</w:t>
            </w:r>
          </w:p>
        </w:tc>
      </w:tr>
    </w:tbl>
    <w:p>
      <w:pPr>
        <w:pStyle w:val="2"/>
        <w:spacing w:after="175" w:afterLines="73" w:line="360" w:lineRule="exact"/>
        <w:ind w:left="420" w:leftChars="200"/>
        <w:rPr>
          <w:rFonts w:ascii="宋体" w:hAnsi="宋体" w:eastAsia="宋体" w:cs="宋体"/>
          <w:spacing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.缴费方式调整系数(F</w:t>
      </w: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pacing w:val="1"/>
          <w:sz w:val="21"/>
          <w:szCs w:val="21"/>
          <w:lang w:eastAsia="zh-CN"/>
        </w:rPr>
        <w:t>)</w:t>
      </w:r>
    </w:p>
    <w:tbl>
      <w:tblPr>
        <w:tblStyle w:val="3"/>
        <w:tblW w:w="5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2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缴费方式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按月缴费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按季缴费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2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一次性缴清</w:t>
            </w:r>
          </w:p>
        </w:tc>
        <w:tc>
          <w:tcPr>
            <w:tcW w:w="2194" w:type="dxa"/>
          </w:tcPr>
          <w:p>
            <w:pPr>
              <w:pStyle w:val="8"/>
              <w:spacing w:before="28" w:line="360" w:lineRule="exact"/>
              <w:jc w:val="center"/>
              <w:rPr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[0.9,1.0]</w:t>
            </w:r>
          </w:p>
        </w:tc>
      </w:tr>
    </w:tbl>
    <w:p>
      <w:pPr>
        <w:pStyle w:val="2"/>
        <w:spacing w:line="360" w:lineRule="auto"/>
        <w:ind w:firstLine="430" w:firstLineChars="200"/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</w:pPr>
    </w:p>
    <w:p>
      <w:pPr>
        <w:pStyle w:val="2"/>
        <w:spacing w:line="360" w:lineRule="auto"/>
        <w:ind w:firstLine="430" w:firstLineChars="200"/>
        <w:rPr>
          <w:rFonts w:ascii="宋体" w:hAnsi="宋体" w:eastAsia="宋体" w:cs="宋体"/>
          <w:b/>
          <w:bCs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  <w:t>三、保险费计算公式</w:t>
      </w:r>
    </w:p>
    <w:p>
      <w:pPr>
        <w:spacing w:line="360" w:lineRule="auto"/>
        <w:ind w:firstLine="416" w:firstLine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1、投保人选择一次性缴清保险费</w:t>
      </w:r>
    </w:p>
    <w:p>
      <w:pPr>
        <w:spacing w:line="360" w:lineRule="auto"/>
        <w:ind w:firstLine="416" w:firstLine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总年保险费= ∑各项责任年保险费×F1×F2×F3×F4×F5×F6×F7×F8</w:t>
      </w:r>
    </w:p>
    <w:p>
      <w:pPr>
        <w:spacing w:line="360" w:lineRule="auto"/>
        <w:ind w:firstLine="416" w:firstLine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2、投保人选择分期缴付保险费，保险人根据保险费分期缴费期数，计收每期保险费：</w:t>
      </w:r>
    </w:p>
    <w:p>
      <w:pPr>
        <w:spacing w:line="360" w:lineRule="auto"/>
        <w:ind w:firstLine="416" w:firstLine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总年保险费= ∑各项责任年保险费×F1×F2×F3×F4×F5×F6×F7×F8</w:t>
      </w:r>
    </w:p>
    <w:p>
      <w:pPr>
        <w:spacing w:line="360" w:lineRule="auto"/>
        <w:ind w:firstLine="416" w:firstLineChars="200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每期保险费（按四舍五入计算）=总年保险费÷分期缴费期数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pacing w:val="-1"/>
          <w:lang w:eastAsia="zh-CN"/>
        </w:rPr>
      </w:pPr>
      <w:r>
        <w:rPr>
          <w:rFonts w:ascii="Calibri" w:hAnsi="宋体" w:eastAsia="宋体" w:cs="Times New Roman"/>
          <w:lang w:eastAsia="zh-CN"/>
        </w:rPr>
        <w:t>注</w:t>
      </w:r>
      <w:r>
        <w:rPr>
          <w:rFonts w:hint="eastAsia" w:ascii="Calibri" w:hAnsi="宋体" w:eastAsia="宋体" w:cs="Times New Roman"/>
          <w:lang w:eastAsia="zh-CN"/>
        </w:rPr>
        <w:t>：本产品涉及分期缴费，每期缴费金额一致。</w:t>
      </w:r>
    </w:p>
    <w:p>
      <w:pPr>
        <w:pStyle w:val="2"/>
        <w:spacing w:line="360" w:lineRule="auto"/>
        <w:ind w:firstLine="430" w:firstLineChars="200"/>
        <w:rPr>
          <w:rFonts w:ascii="宋体" w:hAnsi="宋体" w:eastAsia="宋体" w:cs="宋体"/>
          <w:b/>
          <w:bCs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  <w:lang w:eastAsia="zh-CN"/>
        </w:rPr>
        <w:t>四、短期费率表</w:t>
      </w:r>
    </w:p>
    <w:p>
      <w:pPr>
        <w:spacing w:line="360" w:lineRule="auto"/>
        <w:ind w:firstLine="420" w:firstLineChars="200"/>
        <w:rPr>
          <w:rFonts w:hAnsi="宋体"/>
          <w:lang w:eastAsia="zh-CN"/>
        </w:rPr>
      </w:pPr>
      <w:r>
        <w:rPr>
          <w:rFonts w:hint="eastAsia" w:hAnsi="宋体"/>
          <w:lang w:eastAsia="zh-CN"/>
        </w:rPr>
        <w:t>保险期间不足一年的，按以下标准计算短期保险费（按年保险费的百分比计算，不足一个月的按一个月计算）：</w:t>
      </w:r>
    </w:p>
    <w:tbl>
      <w:tblPr>
        <w:tblStyle w:val="3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28" w:line="360" w:lineRule="exact"/>
              <w:jc w:val="center"/>
              <w:rPr>
                <w:rFonts w:hint="eastAsia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100%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62B9284B"/>
    <w:rsid w:val="00863B59"/>
    <w:rsid w:val="01A95C2A"/>
    <w:rsid w:val="0ADC1BB9"/>
    <w:rsid w:val="46F764F1"/>
    <w:rsid w:val="58BF0B2C"/>
    <w:rsid w:val="62B9284B"/>
    <w:rsid w:val="71793159"/>
    <w:rsid w:val="73896C4A"/>
    <w:rsid w:val="7BDD1145"/>
    <w:rsid w:val="7F4004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25"/>
      <w:szCs w:val="25"/>
    </w:rPr>
  </w:style>
  <w:style w:type="table" w:styleId="4">
    <w:name w:val="Table Grid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条款正文"/>
    <w:basedOn w:val="1"/>
    <w:autoRedefine/>
    <w:qFormat/>
    <w:uiPriority w:val="0"/>
    <w:pPr>
      <w:ind w:left="840" w:leftChars="400" w:firstLine="420" w:firstLineChars="200"/>
    </w:pPr>
    <w:rPr>
      <w:rFonts w:ascii="Times New Roman" w:hAnsi="Times New Roman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16"/>
      <w:szCs w:val="16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2023-12-18T08:03:00Z</dcterms:created>
  <dc:creator>KOALA </dc:creator>
  <cp:lastModifiedBy>Zixuan Shen</cp:lastModifiedBy>
  <dcterms:modified xsi:type="dcterms:W3CDTF">2023-12-20T10:05:44Z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2F1AAEF4C4F94C5AB6239D20A789191D_11</vt:lpwstr>
  </property>
</Properties>
</file>