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1A96DE">
      <w:pPr>
        <w:pStyle w:val="8"/>
        <w:spacing w:before="0" w:beforeAutospacing="0" w:after="0" w:afterAutospacing="0" w:line="360" w:lineRule="auto"/>
        <w:jc w:val="center"/>
        <w:rPr>
          <w:rFonts w:cs="宋体"/>
          <w:b/>
          <w:kern w:val="2"/>
          <w:sz w:val="28"/>
          <w:szCs w:val="28"/>
        </w:rPr>
      </w:pPr>
      <w:r>
        <w:rPr>
          <w:rFonts w:cs="宋体"/>
          <w:b/>
          <w:kern w:val="2"/>
          <w:sz w:val="28"/>
          <w:szCs w:val="28"/>
        </w:rPr>
        <w:t>华农财产保险股份有限公司</w:t>
      </w:r>
      <w:bookmarkStart w:id="0" w:name="OLE_LINK12"/>
      <w:r>
        <w:rPr>
          <w:rFonts w:hint="default" w:cs="宋体"/>
          <w:b/>
          <w:kern w:val="2"/>
          <w:sz w:val="28"/>
          <w:szCs w:val="28"/>
        </w:rPr>
        <w:t>电动车充电安全责任保险</w:t>
      </w:r>
      <w:bookmarkEnd w:id="0"/>
    </w:p>
    <w:p w14:paraId="4A1A669A">
      <w:pPr>
        <w:pStyle w:val="8"/>
        <w:spacing w:before="0" w:beforeAutospacing="0" w:after="0" w:afterAutospacing="0" w:line="360" w:lineRule="auto"/>
        <w:jc w:val="center"/>
        <w:rPr>
          <w:szCs w:val="21"/>
        </w:rPr>
      </w:pPr>
      <w:r>
        <w:rPr>
          <w:rFonts w:hint="default" w:cs="宋体"/>
          <w:b/>
          <w:kern w:val="2"/>
          <w:sz w:val="28"/>
          <w:szCs w:val="28"/>
        </w:rPr>
        <w:t>附加个人</w:t>
      </w:r>
      <w:r>
        <w:rPr>
          <w:rFonts w:cs="宋体"/>
          <w:b/>
          <w:kern w:val="2"/>
          <w:sz w:val="28"/>
          <w:szCs w:val="28"/>
        </w:rPr>
        <w:t>意外伤害保险</w:t>
      </w:r>
      <w:r>
        <w:rPr>
          <w:rFonts w:hint="default" w:cs="宋体"/>
          <w:b/>
          <w:kern w:val="2"/>
          <w:sz w:val="28"/>
          <w:szCs w:val="28"/>
        </w:rPr>
        <w:t>条款</w:t>
      </w:r>
    </w:p>
    <w:p w14:paraId="06F38F7C">
      <w:pPr>
        <w:autoSpaceDE w:val="0"/>
        <w:autoSpaceDN w:val="0"/>
        <w:adjustRightInd w:val="0"/>
        <w:spacing w:line="360" w:lineRule="auto"/>
        <w:jc w:val="center"/>
        <w:rPr>
          <w:rFonts w:hint="eastAsia" w:ascii="宋体" w:hAnsi="宋体" w:eastAsia="宋体"/>
          <w:b/>
          <w:bCs/>
          <w:sz w:val="28"/>
          <w:szCs w:val="28"/>
          <w:lang w:val="en-US" w:eastAsia="zh-CN"/>
        </w:rPr>
      </w:pPr>
      <w:bookmarkStart w:id="13" w:name="_GoBack"/>
      <w:r>
        <w:rPr>
          <w:rFonts w:hint="eastAsia" w:ascii="宋体" w:hAnsi="宋体"/>
          <w:b/>
          <w:bCs/>
          <w:sz w:val="28"/>
          <w:szCs w:val="28"/>
          <w:lang w:val="en-US" w:eastAsia="zh-CN"/>
        </w:rPr>
        <w:t>注册号：C00010132322024110500343</w:t>
      </w:r>
    </w:p>
    <w:bookmarkEnd w:id="13"/>
    <w:p w14:paraId="50113C1E">
      <w:pPr>
        <w:autoSpaceDE w:val="0"/>
        <w:autoSpaceDN w:val="0"/>
        <w:adjustRightInd w:val="0"/>
        <w:spacing w:line="360" w:lineRule="auto"/>
        <w:jc w:val="center"/>
        <w:rPr>
          <w:rFonts w:hint="eastAsia" w:ascii="宋体" w:hAnsi="宋体"/>
          <w:b/>
          <w:bCs/>
          <w:szCs w:val="21"/>
        </w:rPr>
      </w:pPr>
      <w:r>
        <w:rPr>
          <w:rFonts w:hint="eastAsia" w:ascii="宋体" w:hAnsi="宋体"/>
          <w:b/>
          <w:bCs/>
          <w:szCs w:val="21"/>
        </w:rPr>
        <w:t>总则</w:t>
      </w:r>
    </w:p>
    <w:p w14:paraId="16F41D27">
      <w:pPr>
        <w:spacing w:line="360" w:lineRule="auto"/>
        <w:ind w:firstLine="420"/>
        <w:rPr>
          <w:rFonts w:hint="eastAsia" w:hAnsi="宋体" w:cs="宋体"/>
          <w:szCs w:val="21"/>
        </w:rPr>
      </w:pPr>
      <w:r>
        <w:rPr>
          <w:rFonts w:hint="eastAsia" w:ascii="宋体" w:hAnsi="宋体"/>
          <w:b/>
          <w:bCs/>
          <w:szCs w:val="21"/>
        </w:rPr>
        <w:t>第一条</w:t>
      </w:r>
      <w:r>
        <w:rPr>
          <w:rFonts w:ascii="宋体" w:hAnsi="宋体"/>
          <w:szCs w:val="21"/>
        </w:rPr>
        <w:t xml:space="preserve"> </w:t>
      </w:r>
      <w:r>
        <w:rPr>
          <w:rFonts w:hint="eastAsia" w:ascii="宋体" w:hAnsi="宋体"/>
          <w:szCs w:val="21"/>
        </w:rPr>
        <w:t>本附加险合同</w:t>
      </w:r>
      <w:r>
        <w:rPr>
          <w:rFonts w:hint="eastAsia"/>
          <w:color w:val="000000" w:themeColor="text1"/>
          <w:szCs w:val="21"/>
          <w14:textFill>
            <w14:solidFill>
              <w14:schemeClr w14:val="tx1"/>
            </w14:solidFill>
          </w14:textFill>
        </w:rPr>
        <w:t>须附加于</w:t>
      </w:r>
      <w:r>
        <w:rPr>
          <w:rFonts w:hint="eastAsia" w:ascii="宋体" w:hAnsi="宋体"/>
          <w:szCs w:val="21"/>
        </w:rPr>
        <w:t>华农财产保险股份有限公司电动车充电安全责任保险类</w:t>
      </w:r>
      <w:r>
        <w:rPr>
          <w:rFonts w:hint="eastAsia"/>
          <w:color w:val="000000" w:themeColor="text1"/>
          <w:szCs w:val="21"/>
          <w14:textFill>
            <w14:solidFill>
              <w14:schemeClr w14:val="tx1"/>
            </w14:solidFill>
          </w14:textFill>
        </w:rPr>
        <w:t>保险合同</w:t>
      </w:r>
      <w:r>
        <w:rPr>
          <w:rFonts w:hint="eastAsia" w:ascii="宋体" w:hAnsi="宋体"/>
          <w:szCs w:val="21"/>
        </w:rPr>
        <w:t>（以下均简称“主险合同”），在投保主险合同的基础上，投保人可以选择投保本附加险合同。</w:t>
      </w:r>
      <w:r>
        <w:rPr>
          <w:rFonts w:hint="eastAsia"/>
          <w:color w:val="000000" w:themeColor="text1"/>
          <w:szCs w:val="21"/>
          <w14:textFill>
            <w14:solidFill>
              <w14:schemeClr w14:val="tx1"/>
            </w14:solidFill>
          </w14:textFill>
        </w:rPr>
        <w:t>主险合同所附条款、投保单、保险单、保险凭证以及批单等，凡与本附加险合同相关者，均为本附加险合同的构成部分。</w:t>
      </w:r>
      <w:r>
        <w:rPr>
          <w:rFonts w:hint="eastAsia" w:hAnsi="宋体" w:cs="宋体"/>
          <w:szCs w:val="21"/>
        </w:rPr>
        <w:t>凡涉及本附加险合同的约定，均应采用书面形式。</w:t>
      </w:r>
    </w:p>
    <w:p w14:paraId="4342122A">
      <w:pPr>
        <w:numPr>
          <w:ilvl w:val="0"/>
          <w:numId w:val="1"/>
        </w:numPr>
        <w:spacing w:line="360" w:lineRule="auto"/>
        <w:ind w:firstLine="420"/>
        <w:rPr>
          <w:rFonts w:hint="eastAsia" w:hAnsi="宋体" w:cs="宋体"/>
          <w:b/>
          <w:bCs/>
          <w:szCs w:val="21"/>
        </w:rPr>
      </w:pPr>
      <w:r>
        <w:rPr>
          <w:rFonts w:hint="eastAsia" w:hAnsi="宋体" w:eastAsia="PMingLiU" w:cs="宋体"/>
          <w:b/>
          <w:bCs/>
          <w:szCs w:val="21"/>
        </w:rPr>
        <w:t xml:space="preserve"> </w:t>
      </w:r>
      <w:r>
        <w:rPr>
          <w:rFonts w:hint="eastAsia" w:hAnsi="宋体" w:cs="宋体"/>
          <w:b/>
          <w:bCs/>
          <w:szCs w:val="21"/>
        </w:rPr>
        <w:t>若主险合同与本附加险合同相抵触的，以本附加险合同为准。本附加险合同未尽事宜，以主险合同为准。主险合同效力终止时，本附加险合同效力亦同时终止；主险合同无效，本附加险合同亦无效。</w:t>
      </w:r>
    </w:p>
    <w:p w14:paraId="23B69B94">
      <w:pPr>
        <w:autoSpaceDE w:val="0"/>
        <w:autoSpaceDN w:val="0"/>
        <w:adjustRightInd w:val="0"/>
        <w:spacing w:line="360" w:lineRule="auto"/>
        <w:ind w:firstLine="422" w:firstLineChars="200"/>
        <w:jc w:val="left"/>
        <w:rPr>
          <w:rFonts w:hint="eastAsia" w:ascii="宋体" w:hAnsi="宋体"/>
          <w:b/>
          <w:bCs/>
          <w:szCs w:val="21"/>
        </w:rPr>
      </w:pPr>
      <w:r>
        <w:rPr>
          <w:rFonts w:hint="eastAsia" w:ascii="宋体" w:hAnsi="宋体"/>
          <w:b/>
          <w:bCs/>
          <w:szCs w:val="21"/>
        </w:rPr>
        <w:t>第三条</w:t>
      </w:r>
      <w:r>
        <w:rPr>
          <w:rFonts w:hint="eastAsia" w:ascii="宋体" w:hAnsi="宋体" w:eastAsia="PMingLiU"/>
          <w:b/>
          <w:bCs/>
          <w:szCs w:val="21"/>
        </w:rPr>
        <w:t xml:space="preserve"> </w:t>
      </w:r>
      <w:r>
        <w:rPr>
          <w:rFonts w:hint="eastAsia" w:ascii="宋体" w:hAnsi="宋体"/>
          <w:b/>
          <w:bCs/>
          <w:szCs w:val="21"/>
        </w:rPr>
        <w:t xml:space="preserve"> </w:t>
      </w:r>
      <w:r>
        <w:rPr>
          <w:rFonts w:hint="eastAsia"/>
          <w:color w:val="000000" w:themeColor="text1"/>
          <w:spacing w:val="7"/>
          <w:szCs w:val="21"/>
          <w14:textFill>
            <w14:solidFill>
              <w14:schemeClr w14:val="tx1"/>
            </w14:solidFill>
          </w14:textFill>
        </w:rPr>
        <w:t>主险合同的被保险人为本附加险合同的被保险人。</w:t>
      </w:r>
    </w:p>
    <w:p w14:paraId="1515A29D">
      <w:pPr>
        <w:autoSpaceDE w:val="0"/>
        <w:autoSpaceDN w:val="0"/>
        <w:adjustRightInd w:val="0"/>
        <w:spacing w:line="360" w:lineRule="auto"/>
        <w:ind w:firstLine="422" w:firstLineChars="200"/>
        <w:jc w:val="left"/>
        <w:rPr>
          <w:rFonts w:hint="eastAsia" w:ascii="宋体" w:hAnsi="宋体"/>
          <w:szCs w:val="21"/>
        </w:rPr>
      </w:pPr>
      <w:r>
        <w:rPr>
          <w:rFonts w:hint="eastAsia" w:ascii="宋体" w:hAnsi="宋体"/>
          <w:b/>
          <w:bCs/>
          <w:szCs w:val="21"/>
        </w:rPr>
        <w:t>第四条</w:t>
      </w:r>
      <w:r>
        <w:rPr>
          <w:rFonts w:hint="eastAsia" w:ascii="宋体" w:hAnsi="宋体" w:eastAsia="PMingLiU"/>
          <w:b/>
          <w:bCs/>
          <w:szCs w:val="21"/>
        </w:rPr>
        <w:t xml:space="preserve">  </w:t>
      </w:r>
      <w:r>
        <w:rPr>
          <w:rFonts w:hint="eastAsia" w:ascii="宋体" w:hAnsi="宋体"/>
          <w:szCs w:val="21"/>
        </w:rPr>
        <w:t>本附加险合同的受益人包括：</w:t>
      </w:r>
    </w:p>
    <w:p w14:paraId="6D71722E">
      <w:pPr>
        <w:autoSpaceDE w:val="0"/>
        <w:autoSpaceDN w:val="0"/>
        <w:adjustRightInd w:val="0"/>
        <w:spacing w:line="360" w:lineRule="auto"/>
        <w:ind w:firstLine="420" w:firstLineChars="200"/>
        <w:jc w:val="left"/>
        <w:rPr>
          <w:rFonts w:hint="eastAsia" w:ascii="宋体" w:hAnsi="宋体"/>
          <w:szCs w:val="21"/>
        </w:rPr>
      </w:pPr>
      <w:r>
        <w:rPr>
          <w:rFonts w:hint="eastAsia" w:ascii="宋体" w:hAnsi="宋体"/>
          <w:szCs w:val="21"/>
        </w:rPr>
        <w:t>（一）意外伤害身故保险金受益人</w:t>
      </w:r>
    </w:p>
    <w:p w14:paraId="0DA97FF5">
      <w:pPr>
        <w:autoSpaceDE w:val="0"/>
        <w:autoSpaceDN w:val="0"/>
        <w:adjustRightInd w:val="0"/>
        <w:spacing w:line="360" w:lineRule="auto"/>
        <w:ind w:firstLine="420" w:firstLineChars="200"/>
        <w:jc w:val="left"/>
        <w:rPr>
          <w:rFonts w:hint="eastAsia" w:ascii="宋体" w:hAnsi="宋体"/>
          <w:szCs w:val="21"/>
        </w:rPr>
      </w:pPr>
      <w:r>
        <w:rPr>
          <w:rFonts w:hint="eastAsia" w:ascii="宋体" w:hAnsi="宋体"/>
          <w:szCs w:val="21"/>
        </w:rPr>
        <w:t>订立本附加险合同时，被保险人或投保人可指定一人或数人为意外伤害身故保险金受益人。意外伤害身故保险金受益人为数人时，被保险人或投保人应确定其受益顺序和受益份额；未确定受益份额的，各意外伤害身故保险金受益人按照相等份额享有受益权。投保人指定受益人时须经被保险人同意。</w:t>
      </w:r>
    </w:p>
    <w:p w14:paraId="46E6E2FC">
      <w:pPr>
        <w:autoSpaceDE w:val="0"/>
        <w:autoSpaceDN w:val="0"/>
        <w:adjustRightInd w:val="0"/>
        <w:spacing w:line="360" w:lineRule="auto"/>
        <w:ind w:firstLine="420" w:firstLineChars="200"/>
        <w:jc w:val="left"/>
        <w:rPr>
          <w:rFonts w:hint="eastAsia" w:ascii="宋体" w:hAnsi="宋体"/>
          <w:szCs w:val="21"/>
        </w:rPr>
      </w:pPr>
      <w:r>
        <w:rPr>
          <w:rFonts w:hint="eastAsia" w:ascii="宋体" w:hAnsi="宋体"/>
          <w:szCs w:val="21"/>
        </w:rPr>
        <w:t>被保险人死亡后，有下列情形之一的，保险金作为被保险人的遗产，由保险人依照有关继承的法律规定履行给付保险金的义务：</w:t>
      </w:r>
    </w:p>
    <w:p w14:paraId="6FFCA6CA">
      <w:pPr>
        <w:autoSpaceDE w:val="0"/>
        <w:autoSpaceDN w:val="0"/>
        <w:adjustRightInd w:val="0"/>
        <w:spacing w:line="360" w:lineRule="auto"/>
        <w:ind w:firstLine="420" w:firstLineChars="200"/>
        <w:jc w:val="left"/>
        <w:rPr>
          <w:rFonts w:hint="eastAsia" w:ascii="宋体" w:hAnsi="宋体"/>
          <w:szCs w:val="21"/>
        </w:rPr>
      </w:pPr>
      <w:r>
        <w:rPr>
          <w:rFonts w:hint="eastAsia" w:ascii="宋体" w:hAnsi="宋体"/>
          <w:szCs w:val="21"/>
        </w:rPr>
        <w:t>1、没有指定受益人，或者受益人指定不明无法确定的；</w:t>
      </w:r>
    </w:p>
    <w:p w14:paraId="69D6C24D">
      <w:pPr>
        <w:autoSpaceDE w:val="0"/>
        <w:autoSpaceDN w:val="0"/>
        <w:adjustRightInd w:val="0"/>
        <w:spacing w:line="360" w:lineRule="auto"/>
        <w:ind w:firstLine="420" w:firstLineChars="200"/>
        <w:jc w:val="left"/>
        <w:rPr>
          <w:rFonts w:hint="eastAsia" w:ascii="宋体" w:hAnsi="宋体"/>
          <w:szCs w:val="21"/>
        </w:rPr>
      </w:pPr>
      <w:r>
        <w:rPr>
          <w:rFonts w:hint="eastAsia" w:ascii="宋体" w:hAnsi="宋体"/>
          <w:szCs w:val="21"/>
        </w:rPr>
        <w:t>2、受益人先于被保险人死亡，没有其他受益人的；</w:t>
      </w:r>
    </w:p>
    <w:p w14:paraId="4308DB5D">
      <w:pPr>
        <w:autoSpaceDE w:val="0"/>
        <w:autoSpaceDN w:val="0"/>
        <w:adjustRightInd w:val="0"/>
        <w:spacing w:line="360" w:lineRule="auto"/>
        <w:ind w:firstLine="420" w:firstLineChars="200"/>
        <w:jc w:val="left"/>
        <w:rPr>
          <w:rFonts w:hint="eastAsia" w:ascii="宋体" w:hAnsi="宋体"/>
          <w:szCs w:val="21"/>
        </w:rPr>
      </w:pPr>
      <w:r>
        <w:rPr>
          <w:rFonts w:hint="eastAsia" w:ascii="宋体" w:hAnsi="宋体"/>
          <w:szCs w:val="21"/>
        </w:rPr>
        <w:t>3、受益人依法丧失受益权或者放弃受益权，没有其他受益人的。</w:t>
      </w:r>
    </w:p>
    <w:p w14:paraId="46C10A6E">
      <w:pPr>
        <w:autoSpaceDE w:val="0"/>
        <w:autoSpaceDN w:val="0"/>
        <w:adjustRightInd w:val="0"/>
        <w:spacing w:line="360" w:lineRule="auto"/>
        <w:ind w:firstLine="422" w:firstLineChars="200"/>
        <w:jc w:val="left"/>
        <w:rPr>
          <w:rFonts w:hint="eastAsia" w:ascii="宋体" w:hAnsi="宋体"/>
          <w:b/>
          <w:bCs/>
          <w:szCs w:val="21"/>
        </w:rPr>
      </w:pPr>
      <w:r>
        <w:rPr>
          <w:rFonts w:hint="eastAsia" w:ascii="宋体" w:hAnsi="宋体"/>
          <w:b/>
          <w:bCs/>
          <w:szCs w:val="21"/>
        </w:rPr>
        <w:t>受益人与被保险人在同一事件中死亡，且不能确定死亡先后顺序的，推定受益人死亡在先。</w:t>
      </w:r>
    </w:p>
    <w:p w14:paraId="7054878F">
      <w:pPr>
        <w:autoSpaceDE w:val="0"/>
        <w:autoSpaceDN w:val="0"/>
        <w:adjustRightInd w:val="0"/>
        <w:spacing w:line="360" w:lineRule="auto"/>
        <w:ind w:firstLine="420" w:firstLineChars="200"/>
        <w:jc w:val="left"/>
        <w:rPr>
          <w:rFonts w:hint="eastAsia" w:ascii="宋体" w:hAnsi="宋体"/>
          <w:szCs w:val="21"/>
        </w:rPr>
      </w:pPr>
      <w:bookmarkStart w:id="1" w:name="OLE_LINK11"/>
      <w:r>
        <w:rPr>
          <w:rFonts w:hint="eastAsia" w:ascii="宋体" w:hAnsi="宋体"/>
          <w:szCs w:val="21"/>
        </w:rPr>
        <w:t>投保人为与其有劳动关系的劳动者投保人身保险，不得指定被保险人及其近亲属以外的人为受益人。</w:t>
      </w:r>
    </w:p>
    <w:bookmarkEnd w:id="1"/>
    <w:p w14:paraId="0999351C">
      <w:pPr>
        <w:autoSpaceDE w:val="0"/>
        <w:autoSpaceDN w:val="0"/>
        <w:adjustRightInd w:val="0"/>
        <w:spacing w:line="360" w:lineRule="auto"/>
        <w:ind w:firstLine="420" w:firstLineChars="200"/>
        <w:jc w:val="left"/>
        <w:rPr>
          <w:rFonts w:hint="eastAsia" w:ascii="宋体" w:hAnsi="宋体"/>
          <w:b/>
          <w:bCs/>
          <w:szCs w:val="21"/>
        </w:rPr>
      </w:pPr>
      <w:r>
        <w:rPr>
          <w:rFonts w:hint="eastAsia" w:ascii="宋体" w:hAnsi="宋体"/>
          <w:szCs w:val="21"/>
        </w:rPr>
        <w:t>被保险人或投保人可以变更意外伤害身故保险金受益人，但需书面通知保险人，由保险人在本附加险合同上批注。</w:t>
      </w:r>
      <w:r>
        <w:rPr>
          <w:rFonts w:hint="eastAsia" w:ascii="宋体" w:hAnsi="宋体"/>
          <w:b/>
          <w:bCs/>
          <w:szCs w:val="21"/>
        </w:rPr>
        <w:t>对因意外伤害身故保险金受益人变更发生的法律纠纷，保险人不承担任何责任。</w:t>
      </w:r>
    </w:p>
    <w:p w14:paraId="46998CE3">
      <w:pPr>
        <w:autoSpaceDE w:val="0"/>
        <w:autoSpaceDN w:val="0"/>
        <w:adjustRightInd w:val="0"/>
        <w:spacing w:line="360" w:lineRule="auto"/>
        <w:ind w:firstLine="420" w:firstLineChars="200"/>
        <w:jc w:val="left"/>
        <w:rPr>
          <w:rFonts w:hint="eastAsia" w:ascii="宋体" w:hAnsi="宋体"/>
          <w:szCs w:val="21"/>
        </w:rPr>
      </w:pPr>
      <w:r>
        <w:rPr>
          <w:rFonts w:hint="eastAsia" w:ascii="宋体" w:hAnsi="宋体"/>
          <w:szCs w:val="21"/>
        </w:rPr>
        <w:t>投保人指定或变更意外伤害身故保险金受益人的，应经被保险人书面同意。被保险人为无民事行为能力人或限制民事行为能力人的，应由其监护人指定或变更意外伤害身故保险金受益人。</w:t>
      </w:r>
    </w:p>
    <w:p w14:paraId="5995F9AF">
      <w:pPr>
        <w:autoSpaceDE w:val="0"/>
        <w:autoSpaceDN w:val="0"/>
        <w:adjustRightInd w:val="0"/>
        <w:spacing w:line="360" w:lineRule="auto"/>
        <w:ind w:firstLine="420" w:firstLineChars="200"/>
        <w:jc w:val="left"/>
        <w:rPr>
          <w:rFonts w:hint="eastAsia" w:ascii="宋体" w:hAnsi="宋体"/>
          <w:szCs w:val="21"/>
        </w:rPr>
      </w:pPr>
      <w:r>
        <w:rPr>
          <w:rFonts w:hint="eastAsia" w:ascii="宋体" w:hAnsi="宋体"/>
          <w:szCs w:val="21"/>
        </w:rPr>
        <w:t>（二）意外伤害伤残保险金</w:t>
      </w:r>
      <w:r>
        <w:rPr>
          <w:rFonts w:hint="eastAsia"/>
          <w:color w:val="000000" w:themeColor="text1"/>
          <w:szCs w:val="21"/>
          <w14:textFill>
            <w14:solidFill>
              <w14:schemeClr w14:val="tx1"/>
            </w14:solidFill>
          </w14:textFill>
        </w:rPr>
        <w:t>、意外伤害医疗保险金</w:t>
      </w:r>
      <w:r>
        <w:rPr>
          <w:rFonts w:hint="eastAsia" w:ascii="宋体" w:hAnsi="宋体"/>
          <w:szCs w:val="21"/>
        </w:rPr>
        <w:t>受益人</w:t>
      </w:r>
    </w:p>
    <w:p w14:paraId="29A2156D">
      <w:pPr>
        <w:numPr>
          <w:ilvl w:val="0"/>
          <w:numId w:val="0"/>
        </w:numPr>
        <w:autoSpaceDE w:val="0"/>
        <w:autoSpaceDN w:val="0"/>
        <w:adjustRightInd w:val="0"/>
        <w:spacing w:line="360" w:lineRule="auto"/>
        <w:ind w:firstLine="420" w:firstLineChars="200"/>
        <w:jc w:val="left"/>
        <w:rPr>
          <w:rFonts w:hint="eastAsia" w:hAnsi="宋体" w:eastAsia="PMingLiU" w:cs="宋体"/>
          <w:b/>
          <w:bCs/>
          <w:szCs w:val="21"/>
          <w:lang w:eastAsia="zh-TW"/>
        </w:rPr>
      </w:pPr>
      <w:r>
        <w:rPr>
          <w:rFonts w:hint="eastAsia" w:ascii="宋体" w:hAnsi="宋体"/>
          <w:szCs w:val="21"/>
        </w:rPr>
        <w:t>除另有约定外，本附加险合同的意外伤害伤残保险金</w:t>
      </w:r>
      <w:r>
        <w:rPr>
          <w:rFonts w:hint="eastAsia"/>
          <w:color w:val="000000" w:themeColor="text1"/>
          <w:szCs w:val="21"/>
          <w14:textFill>
            <w14:solidFill>
              <w14:schemeClr w14:val="tx1"/>
            </w14:solidFill>
          </w14:textFill>
        </w:rPr>
        <w:t>、意外伤害医疗保险金</w:t>
      </w:r>
      <w:r>
        <w:rPr>
          <w:rFonts w:hint="eastAsia" w:ascii="宋体" w:hAnsi="宋体"/>
          <w:szCs w:val="21"/>
        </w:rPr>
        <w:t>的受益人为被保险人本人。</w:t>
      </w:r>
    </w:p>
    <w:p w14:paraId="44931F41">
      <w:pPr>
        <w:spacing w:line="360" w:lineRule="auto"/>
        <w:jc w:val="center"/>
        <w:rPr>
          <w:rFonts w:hint="eastAsia" w:ascii="宋体" w:hAnsi="宋体"/>
          <w:b/>
          <w:bCs/>
          <w:szCs w:val="21"/>
        </w:rPr>
      </w:pPr>
      <w:r>
        <w:rPr>
          <w:rFonts w:hint="eastAsia" w:ascii="宋体" w:hAnsi="宋体"/>
          <w:b/>
          <w:bCs/>
          <w:szCs w:val="21"/>
        </w:rPr>
        <w:t>保险责任</w:t>
      </w:r>
    </w:p>
    <w:p w14:paraId="4959FC56">
      <w:pPr>
        <w:autoSpaceDE w:val="0"/>
        <w:autoSpaceDN w:val="0"/>
        <w:adjustRightInd w:val="0"/>
        <w:spacing w:line="360" w:lineRule="auto"/>
        <w:ind w:firstLine="422" w:firstLineChars="200"/>
        <w:jc w:val="left"/>
        <w:rPr>
          <w:rFonts w:hint="eastAsia" w:ascii="宋体" w:hAnsi="宋体"/>
          <w:szCs w:val="21"/>
        </w:rPr>
      </w:pPr>
      <w:r>
        <w:rPr>
          <w:rFonts w:hint="eastAsia" w:ascii="宋体" w:hAnsi="宋体"/>
          <w:b/>
          <w:bCs/>
          <w:szCs w:val="21"/>
        </w:rPr>
        <w:t>第五条</w:t>
      </w:r>
      <w:r>
        <w:rPr>
          <w:rFonts w:hint="eastAsia" w:ascii="宋体" w:hAnsi="宋体" w:eastAsia="PMingLiU"/>
          <w:b/>
          <w:bCs/>
          <w:szCs w:val="21"/>
        </w:rPr>
        <w:t xml:space="preserve"> </w:t>
      </w:r>
      <w:r>
        <w:rPr>
          <w:rFonts w:hint="eastAsia" w:ascii="宋体" w:hAnsi="宋体"/>
          <w:szCs w:val="21"/>
        </w:rPr>
        <w:t xml:space="preserve"> </w:t>
      </w:r>
      <w:r>
        <w:rPr>
          <w:rFonts w:hint="eastAsia"/>
          <w:color w:val="000000" w:themeColor="text1"/>
          <w:szCs w:val="21"/>
          <w14:textFill>
            <w14:solidFill>
              <w14:schemeClr w14:val="tx1"/>
            </w14:solidFill>
          </w14:textFill>
        </w:rPr>
        <w:t>本附加险合同的保险责任分为必选责任及可选责任。可选责任是在投保人已选择必选责任的前提下可以选择投保的责任，以保险单中载明的责任为准。</w:t>
      </w:r>
      <w:r>
        <w:rPr>
          <w:rFonts w:hint="eastAsia"/>
          <w:b/>
          <w:bCs/>
          <w:color w:val="000000" w:themeColor="text1"/>
          <w:szCs w:val="21"/>
          <w14:textFill>
            <w14:solidFill>
              <w14:schemeClr w14:val="tx1"/>
            </w14:solidFill>
          </w14:textFill>
        </w:rPr>
        <w:t>未在保险单中载明可选责任的，可选责任部分不列入保险责任范畴。</w:t>
      </w:r>
    </w:p>
    <w:p w14:paraId="16517126">
      <w:pPr>
        <w:tabs>
          <w:tab w:val="left" w:pos="840"/>
        </w:tabs>
        <w:adjustRightInd w:val="0"/>
        <w:spacing w:after="0" w:afterLines="-2147483648" w:line="360" w:lineRule="auto"/>
        <w:ind w:firstLine="422" w:firstLineChars="200"/>
        <w:rPr>
          <w:rFonts w:hint="eastAsia"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（一）意外伤害保险责任（必选）</w:t>
      </w:r>
    </w:p>
    <w:p w14:paraId="5A7833E8">
      <w:pPr>
        <w:pStyle w:val="8"/>
        <w:numPr>
          <w:ilvl w:val="255"/>
          <w:numId w:val="0"/>
        </w:numPr>
        <w:spacing w:before="0" w:beforeAutospacing="0" w:after="0" w:afterAutospacing="0" w:line="360" w:lineRule="auto"/>
        <w:ind w:firstLine="420" w:firstLineChars="200"/>
        <w:jc w:val="both"/>
        <w:rPr>
          <w:color w:val="000000" w:themeColor="text1"/>
          <w:sz w:val="21"/>
          <w:szCs w:val="21"/>
          <w14:textFill>
            <w14:solidFill>
              <w14:schemeClr w14:val="tx1"/>
            </w14:solidFill>
          </w14:textFill>
        </w:rPr>
      </w:pPr>
      <w:r>
        <w:rPr>
          <w:rFonts w:cs="宋体"/>
          <w:bCs/>
          <w:color w:val="000000" w:themeColor="text1"/>
          <w:kern w:val="2"/>
          <w:sz w:val="21"/>
          <w:szCs w:val="21"/>
          <w14:textFill>
            <w14:solidFill>
              <w14:schemeClr w14:val="tx1"/>
            </w14:solidFill>
          </w14:textFill>
        </w:rPr>
        <w:t>1、</w:t>
      </w:r>
      <w:r>
        <w:rPr>
          <w:color w:val="000000" w:themeColor="text1"/>
          <w:sz w:val="21"/>
          <w:szCs w:val="21"/>
          <w14:textFill>
            <w14:solidFill>
              <w14:schemeClr w14:val="tx1"/>
            </w14:solidFill>
          </w14:textFill>
        </w:rPr>
        <w:t>意外伤害身故保险金</w:t>
      </w:r>
    </w:p>
    <w:p w14:paraId="61E45ECF">
      <w:pPr>
        <w:autoSpaceDE w:val="0"/>
        <w:autoSpaceDN w:val="0"/>
        <w:adjustRightInd w:val="0"/>
        <w:spacing w:line="360" w:lineRule="auto"/>
        <w:ind w:firstLine="420" w:firstLineChars="200"/>
        <w:jc w:val="left"/>
        <w:rPr>
          <w:rFonts w:hint="eastAsia" w:ascii="宋体" w:hAnsi="宋体"/>
          <w:b/>
          <w:bCs/>
          <w:szCs w:val="21"/>
        </w:rPr>
      </w:pPr>
      <w:r>
        <w:rPr>
          <w:rFonts w:hint="eastAsia" w:ascii="宋体" w:hAnsi="宋体"/>
          <w:szCs w:val="21"/>
        </w:rPr>
        <w:t>在保险期间内，被保险人遭受主险合同约定的电动车在充电过程中引发的火灾导致的</w:t>
      </w:r>
      <w:r>
        <w:rPr>
          <w:rFonts w:hint="eastAsia" w:ascii="宋体" w:hAnsi="宋体"/>
          <w:b/>
          <w:bCs/>
          <w:szCs w:val="21"/>
        </w:rPr>
        <w:t>意外伤害（释义一）</w:t>
      </w:r>
      <w:r>
        <w:rPr>
          <w:rFonts w:hint="eastAsia" w:ascii="宋体" w:hAnsi="宋体"/>
          <w:szCs w:val="21"/>
        </w:rPr>
        <w:t>事故，并自事故发生之日起180日内因该次意外伤害为直接原因身故的，保险人按</w:t>
      </w:r>
      <w:r>
        <w:rPr>
          <w:rFonts w:hint="eastAsia"/>
          <w:color w:val="000000" w:themeColor="text1"/>
          <w:szCs w:val="21"/>
          <w14:textFill>
            <w14:solidFill>
              <w14:schemeClr w14:val="tx1"/>
            </w14:solidFill>
          </w14:textFill>
        </w:rPr>
        <w:t>保险单上载明的</w:t>
      </w:r>
      <w:bookmarkStart w:id="2" w:name="OLE_LINK9"/>
      <w:r>
        <w:rPr>
          <w:rFonts w:hint="eastAsia" w:ascii="宋体" w:hAnsi="宋体"/>
          <w:szCs w:val="21"/>
        </w:rPr>
        <w:t>意外伤害保险金额</w:t>
      </w:r>
      <w:bookmarkEnd w:id="2"/>
      <w:r>
        <w:rPr>
          <w:rFonts w:hint="eastAsia" w:ascii="宋体" w:hAnsi="宋体"/>
          <w:szCs w:val="21"/>
        </w:rPr>
        <w:t>给付意外伤害身故保险金，</w:t>
      </w:r>
      <w:r>
        <w:rPr>
          <w:rFonts w:hint="eastAsia"/>
          <w:b/>
          <w:bCs/>
          <w:color w:val="000000" w:themeColor="text1"/>
          <w:szCs w:val="21"/>
          <w14:textFill>
            <w14:solidFill>
              <w14:schemeClr w14:val="tx1"/>
            </w14:solidFill>
          </w14:textFill>
        </w:rPr>
        <w:t>本附加险合同终止</w:t>
      </w:r>
      <w:r>
        <w:rPr>
          <w:rFonts w:hint="eastAsia" w:ascii="宋体" w:hAnsi="宋体"/>
          <w:b/>
          <w:bCs/>
          <w:szCs w:val="21"/>
        </w:rPr>
        <w:t>。</w:t>
      </w:r>
    </w:p>
    <w:p w14:paraId="6DE3CA26">
      <w:pPr>
        <w:autoSpaceDE w:val="0"/>
        <w:autoSpaceDN w:val="0"/>
        <w:adjustRightInd w:val="0"/>
        <w:spacing w:line="360" w:lineRule="auto"/>
        <w:ind w:firstLine="420" w:firstLineChars="200"/>
        <w:jc w:val="left"/>
        <w:rPr>
          <w:rFonts w:hint="eastAsia" w:ascii="宋体" w:hAnsi="宋体"/>
          <w:b/>
          <w:bCs/>
          <w:szCs w:val="21"/>
        </w:rPr>
      </w:pPr>
      <w:r>
        <w:rPr>
          <w:rFonts w:hint="eastAsia" w:ascii="宋体" w:hAnsi="宋体"/>
          <w:szCs w:val="21"/>
        </w:rPr>
        <w:t>在保险期间内，被保险人因遭受主险合同约定的电动车在充电过程中引发的火灾导致的意外伤害事故且自该事故发生日起下落不明，后经人民法院宣告死亡的，保险人按意外伤害保险金额给付意外伤害身故保险金。</w:t>
      </w:r>
      <w:r>
        <w:rPr>
          <w:rFonts w:hint="eastAsia" w:ascii="宋体" w:hAnsi="宋体"/>
          <w:b/>
          <w:bCs/>
          <w:szCs w:val="21"/>
        </w:rPr>
        <w:t>但若被保险人被宣告死亡后重新出现的，保险金受益人应于知道或应当知道被保险人</w:t>
      </w:r>
      <w:r>
        <w:rPr>
          <w:rFonts w:hint="eastAsia" w:ascii="宋体" w:hAnsi="宋体"/>
          <w:b/>
          <w:bCs/>
          <w:szCs w:val="21"/>
          <w:lang w:val="en-US" w:eastAsia="zh-CN"/>
        </w:rPr>
        <w:t>重新出现</w:t>
      </w:r>
      <w:r>
        <w:rPr>
          <w:rFonts w:hint="eastAsia" w:ascii="宋体" w:hAnsi="宋体"/>
          <w:b/>
          <w:bCs/>
          <w:szCs w:val="21"/>
        </w:rPr>
        <w:t>后30日内退还保险人给付的意外伤害身故保险金。</w:t>
      </w:r>
    </w:p>
    <w:p w14:paraId="121BC114">
      <w:pPr>
        <w:autoSpaceDE w:val="0"/>
        <w:autoSpaceDN w:val="0"/>
        <w:adjustRightInd w:val="0"/>
        <w:spacing w:line="360" w:lineRule="auto"/>
        <w:ind w:firstLine="422" w:firstLineChars="200"/>
        <w:jc w:val="left"/>
        <w:rPr>
          <w:rFonts w:hint="eastAsia" w:ascii="宋体" w:hAnsi="宋体"/>
          <w:b/>
          <w:bCs/>
          <w:szCs w:val="21"/>
        </w:rPr>
      </w:pPr>
      <w:r>
        <w:rPr>
          <w:rFonts w:hint="eastAsia" w:ascii="宋体" w:hAnsi="宋体"/>
          <w:b/>
          <w:bCs/>
          <w:szCs w:val="21"/>
        </w:rPr>
        <w:t>若被保险人身故前保险人已给付</w:t>
      </w:r>
      <w:r>
        <w:rPr>
          <w:rFonts w:ascii="宋体" w:hAnsi="宋体"/>
          <w:b/>
          <w:bCs/>
          <w:color w:val="000000" w:themeColor="text1"/>
          <w:szCs w:val="21"/>
          <w14:textFill>
            <w14:solidFill>
              <w14:schemeClr w14:val="tx1"/>
            </w14:solidFill>
          </w14:textFill>
        </w:rPr>
        <w:t>第五条</w:t>
      </w:r>
      <w:r>
        <w:rPr>
          <w:rFonts w:hint="eastAsia" w:ascii="宋体" w:hAnsi="宋体" w:cs="Times New Roman"/>
          <w:b/>
          <w:bCs/>
          <w:color w:val="000000" w:themeColor="text1"/>
          <w:szCs w:val="21"/>
          <w14:textFill>
            <w14:solidFill>
              <w14:schemeClr w14:val="tx1"/>
            </w14:solidFill>
          </w14:textFill>
        </w:rPr>
        <w:t>意外伤害保险责任（必选）</w:t>
      </w:r>
      <w:r>
        <w:rPr>
          <w:rFonts w:hint="eastAsia" w:ascii="宋体" w:hAnsi="宋体"/>
          <w:b/>
          <w:bCs/>
          <w:szCs w:val="21"/>
        </w:rPr>
        <w:t>第2款约定的意外伤害伤残保险金的，则保险人在给付意外伤害身故保险金时</w:t>
      </w:r>
      <w:r>
        <w:rPr>
          <w:rFonts w:hint="eastAsia"/>
          <w:b/>
          <w:bCs/>
          <w:color w:val="000000" w:themeColor="text1"/>
          <w:szCs w:val="21"/>
          <w14:textFill>
            <w14:solidFill>
              <w14:schemeClr w14:val="tx1"/>
            </w14:solidFill>
          </w14:textFill>
        </w:rPr>
        <w:t>，需</w:t>
      </w:r>
      <w:r>
        <w:rPr>
          <w:rFonts w:hint="eastAsia" w:ascii="宋体" w:hAnsi="宋体"/>
          <w:b/>
          <w:bCs/>
          <w:szCs w:val="21"/>
        </w:rPr>
        <w:t>扣除已累计给付的意外伤害伤残保险金。</w:t>
      </w:r>
    </w:p>
    <w:p w14:paraId="03B1F1A2">
      <w:pPr>
        <w:tabs>
          <w:tab w:val="left" w:pos="840"/>
        </w:tabs>
        <w:adjustRightInd w:val="0"/>
        <w:spacing w:line="360" w:lineRule="auto"/>
        <w:ind w:firstLine="420" w:firstLineChars="200"/>
        <w:rPr>
          <w:rFonts w:hint="eastAsia" w:ascii="宋体" w:hAnsi="宋体" w:cs="宋体"/>
          <w:b/>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2、意外伤害伤残保险金</w:t>
      </w:r>
    </w:p>
    <w:p w14:paraId="658A902F">
      <w:pPr>
        <w:autoSpaceDE w:val="0"/>
        <w:autoSpaceDN w:val="0"/>
        <w:adjustRightInd w:val="0"/>
        <w:spacing w:line="360" w:lineRule="auto"/>
        <w:ind w:firstLine="420" w:firstLineChars="200"/>
        <w:jc w:val="left"/>
        <w:rPr>
          <w:rFonts w:hint="eastAsia" w:ascii="宋体" w:hAnsi="宋体"/>
          <w:b/>
          <w:bCs/>
          <w:szCs w:val="21"/>
        </w:rPr>
      </w:pPr>
      <w:r>
        <w:rPr>
          <w:rFonts w:hint="eastAsia" w:ascii="宋体" w:hAnsi="宋体"/>
          <w:szCs w:val="21"/>
        </w:rPr>
        <w:t>在保险期间内，被保险人遭受主险合同约定的电动车在充电过程中引发的火灾导致的意外伤害事故，并自该事故发生之日起180日内因该事故为直接原因导致</w:t>
      </w:r>
      <w:r>
        <w:rPr>
          <w:rFonts w:hint="eastAsia"/>
          <w:b/>
          <w:bCs/>
          <w:color w:val="000000" w:themeColor="text1"/>
          <w:szCs w:val="21"/>
          <w14:textFill>
            <w14:solidFill>
              <w14:schemeClr w14:val="tx1"/>
            </w14:solidFill>
          </w14:textFill>
        </w:rPr>
        <w:t>被保险人发生</w:t>
      </w:r>
      <w:r>
        <w:rPr>
          <w:rFonts w:hint="eastAsia" w:ascii="宋体" w:hAnsi="宋体"/>
          <w:b/>
          <w:bCs/>
          <w:szCs w:val="21"/>
        </w:rPr>
        <w:t>《人身保险伤残评定标准及代码》（JR/T 0083-2013，由原中国保险监督管理委员会发布，保监发〔2014〕6号，简称“《行业标准》”）</w:t>
      </w:r>
      <w:r>
        <w:rPr>
          <w:rFonts w:hint="eastAsia" w:ascii="宋体" w:hAnsi="宋体"/>
          <w:szCs w:val="21"/>
        </w:rPr>
        <w:t>所列伤残条目之一的，</w:t>
      </w:r>
      <w:r>
        <w:rPr>
          <w:rFonts w:hint="eastAsia"/>
          <w:color w:val="000000" w:themeColor="text1"/>
          <w:szCs w:val="21"/>
          <w14:textFill>
            <w14:solidFill>
              <w14:schemeClr w14:val="tx1"/>
            </w14:solidFill>
          </w14:textFill>
        </w:rPr>
        <w:t>保险人根据本附加险合同及该《行业标准》规定的评定原则对被保险人伤残程度进行评定，</w:t>
      </w:r>
      <w:r>
        <w:rPr>
          <w:rFonts w:hint="eastAsia"/>
          <w:b/>
          <w:bCs/>
          <w:color w:val="000000" w:themeColor="text1"/>
          <w:szCs w:val="21"/>
          <w14:textFill>
            <w14:solidFill>
              <w14:schemeClr w14:val="tx1"/>
            </w14:solidFill>
          </w14:textFill>
        </w:rPr>
        <w:t>并按评定结果所对应该《行业标准》中规定的给付比例乘以保险单上载明的意外伤害保险金额向意外伤害伤残保险金受益人给付意外伤害伤残保险金</w:t>
      </w:r>
      <w:r>
        <w:rPr>
          <w:rFonts w:hint="eastAsia" w:ascii="宋体" w:hAnsi="宋体"/>
          <w:b/>
          <w:bCs/>
          <w:szCs w:val="21"/>
        </w:rPr>
        <w:t>。</w:t>
      </w:r>
    </w:p>
    <w:p w14:paraId="401B5D8D">
      <w:pPr>
        <w:pStyle w:val="8"/>
        <w:spacing w:before="0" w:beforeAutospacing="0" w:after="0" w:afterAutospacing="0" w:line="360" w:lineRule="auto"/>
        <w:ind w:firstLine="420" w:firstLineChars="200"/>
        <w:jc w:val="both"/>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w:t>
      </w:r>
      <w:r>
        <w:rPr>
          <w:rFonts w:eastAsia="PMingLiU"/>
          <w:color w:val="000000" w:themeColor="text1"/>
          <w:sz w:val="21"/>
          <w:szCs w:val="21"/>
          <w14:textFill>
            <w14:solidFill>
              <w14:schemeClr w14:val="tx1"/>
            </w14:solidFill>
          </w14:textFill>
        </w:rPr>
        <w:t>1</w:t>
      </w:r>
      <w:r>
        <w:rPr>
          <w:color w:val="000000" w:themeColor="text1"/>
          <w:sz w:val="21"/>
          <w:szCs w:val="21"/>
          <w14:textFill>
            <w14:solidFill>
              <w14:schemeClr w14:val="tx1"/>
            </w14:solidFill>
          </w14:textFill>
        </w:rPr>
        <w:t>）如自意外伤害事故发生之日起180日治疗仍未结束的，则保险人按该意外伤害事故发生之日起第180日的身体情况进行伤残评定，并据此向意外伤害伤残保险金受益人给付意外伤害伤残保险金。</w:t>
      </w:r>
    </w:p>
    <w:p w14:paraId="371D8706">
      <w:pPr>
        <w:pStyle w:val="8"/>
        <w:spacing w:before="0" w:beforeAutospacing="0" w:after="0" w:afterAutospacing="0" w:line="360" w:lineRule="auto"/>
        <w:ind w:firstLine="420" w:firstLineChars="200"/>
        <w:jc w:val="both"/>
        <w:rPr>
          <w:b/>
          <w:bCs/>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w:t>
      </w:r>
      <w:r>
        <w:rPr>
          <w:rFonts w:eastAsia="PMingLiU"/>
          <w:color w:val="000000" w:themeColor="text1"/>
          <w:sz w:val="21"/>
          <w:szCs w:val="21"/>
          <w14:textFill>
            <w14:solidFill>
              <w14:schemeClr w14:val="tx1"/>
            </w14:solidFill>
          </w14:textFill>
        </w:rPr>
        <w:t>2</w:t>
      </w:r>
      <w:r>
        <w:rPr>
          <w:color w:val="000000" w:themeColor="text1"/>
          <w:sz w:val="21"/>
          <w:szCs w:val="21"/>
          <w14:textFill>
            <w14:solidFill>
              <w14:schemeClr w14:val="tx1"/>
            </w14:solidFill>
          </w14:textFill>
        </w:rPr>
        <w:t>）被保险人如在本次意外伤害事故之前已有伤残，保险人按合并后的伤残程度，依本附加险合同及《行业标准》规定的评定原则对伤残程度进行评定，</w:t>
      </w:r>
      <w:r>
        <w:rPr>
          <w:b/>
          <w:bCs/>
          <w:color w:val="000000" w:themeColor="text1"/>
          <w:sz w:val="21"/>
          <w:szCs w:val="21"/>
          <w14:textFill>
            <w14:solidFill>
              <w14:schemeClr w14:val="tx1"/>
            </w14:solidFill>
          </w14:textFill>
        </w:rPr>
        <w:t>并按评定结果所对应的《行业标准》中规定的给付比例乘以保险单上载明的意外伤害保险金额向意外伤害伤残保险金受益人给付意外伤害伤残保险金，但应扣除已有伤残程度所对应的意外伤害伤残保险金。</w:t>
      </w:r>
    </w:p>
    <w:p w14:paraId="70656B5A">
      <w:pPr>
        <w:pStyle w:val="8"/>
        <w:spacing w:before="0" w:beforeAutospacing="0" w:after="0" w:afterAutospacing="0" w:line="360" w:lineRule="auto"/>
        <w:ind w:firstLine="420" w:firstLineChars="200"/>
        <w:jc w:val="both"/>
        <w:rPr>
          <w:b/>
          <w:bCs/>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w:t>
      </w:r>
      <w:r>
        <w:rPr>
          <w:rFonts w:eastAsia="PMingLiU"/>
          <w:color w:val="000000" w:themeColor="text1"/>
          <w:sz w:val="21"/>
          <w:szCs w:val="21"/>
          <w14:textFill>
            <w14:solidFill>
              <w14:schemeClr w14:val="tx1"/>
            </w14:solidFill>
          </w14:textFill>
        </w:rPr>
        <w:t>3</w:t>
      </w:r>
      <w:r>
        <w:rPr>
          <w:color w:val="000000" w:themeColor="text1"/>
          <w:sz w:val="21"/>
          <w:szCs w:val="21"/>
          <w14:textFill>
            <w14:solidFill>
              <w14:schemeClr w14:val="tx1"/>
            </w14:solidFill>
          </w14:textFill>
        </w:rPr>
        <w:t>）被保险人因同一意外伤害事故造成两处或两处以上伤残程度时，应首先根据《行业标准》对各处伤残程度分别进行评定，</w:t>
      </w:r>
      <w:r>
        <w:rPr>
          <w:b/>
          <w:bCs/>
          <w:color w:val="000000" w:themeColor="text1"/>
          <w:sz w:val="21"/>
          <w:szCs w:val="21"/>
          <w14:textFill>
            <w14:solidFill>
              <w14:schemeClr w14:val="tx1"/>
            </w14:solidFill>
          </w14:textFill>
        </w:rPr>
        <w:t>如果几处伤残程度不同，则保险人以最重的伤残等级作为最终的评定结论并据此给付意外伤害伤残保险金；如果两处或两处以上伤残等级相同，伤残等级在原评定基础上最多晋升一级，最高晋升至第一级。同一部位和性质的伤残，不应采用《行业标准》条文两条以上或者同一条文两次以上进行评定。</w:t>
      </w:r>
    </w:p>
    <w:p w14:paraId="099F96C4">
      <w:pPr>
        <w:pStyle w:val="8"/>
        <w:spacing w:before="0" w:beforeAutospacing="0" w:after="0" w:afterAutospacing="0" w:line="360" w:lineRule="auto"/>
        <w:ind w:firstLine="420" w:firstLineChars="200"/>
        <w:jc w:val="both"/>
        <w:rPr>
          <w:b/>
          <w:bCs/>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w:t>
      </w:r>
      <w:r>
        <w:rPr>
          <w:rFonts w:eastAsia="PMingLiU"/>
          <w:color w:val="000000" w:themeColor="text1"/>
          <w:sz w:val="21"/>
          <w:szCs w:val="21"/>
          <w14:textFill>
            <w14:solidFill>
              <w14:schemeClr w14:val="tx1"/>
            </w14:solidFill>
          </w14:textFill>
        </w:rPr>
        <w:t>4</w:t>
      </w:r>
      <w:r>
        <w:rPr>
          <w:color w:val="000000" w:themeColor="text1"/>
          <w:sz w:val="21"/>
          <w:szCs w:val="21"/>
          <w14:textFill>
            <w14:solidFill>
              <w14:schemeClr w14:val="tx1"/>
            </w14:solidFill>
          </w14:textFill>
        </w:rPr>
        <w:t>）在保险期间内，被保险人因不同意外伤害事故导致《行业标准》所列两项或两项以上伤残程度时，</w:t>
      </w:r>
      <w:r>
        <w:rPr>
          <w:b/>
          <w:bCs/>
          <w:color w:val="000000" w:themeColor="text1"/>
          <w:sz w:val="21"/>
          <w:szCs w:val="21"/>
          <w14:textFill>
            <w14:solidFill>
              <w14:schemeClr w14:val="tx1"/>
            </w14:solidFill>
          </w14:textFill>
        </w:rPr>
        <w:t>如果同一部位和性质的伤残参与了两次或两次以上伤残程度的构成，则保险人仅给付其中给付比例最高的伤残程度所对应的意外伤害伤残保险金。如果后次伤残程度所对应的给付比例比之前任何一次伤残程度所对应的给付比例都高，则保险人给付后次伤残程度所对应的意外伤害伤残保险金时需扣除之前累计已给付的意外伤害伤残保险金。</w:t>
      </w:r>
    </w:p>
    <w:p w14:paraId="10D877C8">
      <w:pPr>
        <w:pStyle w:val="8"/>
        <w:autoSpaceDE w:val="0"/>
        <w:autoSpaceDN w:val="0"/>
        <w:adjustRightInd w:val="0"/>
        <w:spacing w:before="0" w:beforeAutospacing="0" w:after="0" w:afterAutospacing="0" w:line="360" w:lineRule="auto"/>
        <w:ind w:firstLine="422" w:firstLineChars="200"/>
        <w:jc w:val="both"/>
        <w:rPr>
          <w:b/>
          <w:bCs/>
          <w:color w:val="000000" w:themeColor="text1"/>
          <w:sz w:val="21"/>
          <w:szCs w:val="21"/>
          <w14:textFill>
            <w14:solidFill>
              <w14:schemeClr w14:val="tx1"/>
            </w14:solidFill>
          </w14:textFill>
        </w:rPr>
      </w:pPr>
      <w:r>
        <w:rPr>
          <w:b/>
          <w:bCs/>
          <w:color w:val="000000" w:themeColor="text1"/>
          <w:sz w:val="21"/>
          <w:szCs w:val="21"/>
          <w14:textFill>
            <w14:solidFill>
              <w14:schemeClr w14:val="tx1"/>
            </w14:solidFill>
          </w14:textFill>
        </w:rPr>
        <w:t>在保险期间内，前述</w:t>
      </w:r>
      <w:r>
        <w:rPr>
          <w:b/>
          <w:bCs/>
          <w:sz w:val="21"/>
          <w:szCs w:val="21"/>
        </w:rPr>
        <w:t>第五条</w:t>
      </w:r>
      <w:r>
        <w:rPr>
          <w:rFonts w:hint="eastAsia" w:ascii="宋体" w:hAnsi="宋体"/>
          <w:b/>
          <w:bCs/>
          <w:color w:val="000000" w:themeColor="text1"/>
          <w:sz w:val="21"/>
          <w:szCs w:val="21"/>
          <w14:textFill>
            <w14:solidFill>
              <w14:schemeClr w14:val="tx1"/>
            </w14:solidFill>
          </w14:textFill>
        </w:rPr>
        <w:t>意外伤害保险责任（必选）下</w:t>
      </w:r>
      <w:r>
        <w:rPr>
          <w:b/>
          <w:bCs/>
          <w:color w:val="000000" w:themeColor="text1"/>
          <w:sz w:val="21"/>
          <w:szCs w:val="21"/>
          <w14:textFill>
            <w14:solidFill>
              <w14:schemeClr w14:val="tx1"/>
            </w14:solidFill>
          </w14:textFill>
        </w:rPr>
        <w:t>的第1款意外伤害身故保险金与第2款意外伤害伤残保险金的保险金累计给付金额以保险单载明的意外伤害保险金额为限。</w:t>
      </w:r>
    </w:p>
    <w:p w14:paraId="32A0F8AA">
      <w:pPr>
        <w:autoSpaceDE w:val="0"/>
        <w:autoSpaceDN w:val="0"/>
        <w:adjustRightInd w:val="0"/>
        <w:spacing w:line="360" w:lineRule="auto"/>
        <w:ind w:firstLine="422" w:firstLineChars="200"/>
        <w:jc w:val="left"/>
        <w:rPr>
          <w:rFonts w:hint="eastAsia" w:ascii="宋体" w:hAnsi="宋体"/>
          <w:b/>
          <w:bCs/>
          <w:szCs w:val="21"/>
        </w:rPr>
      </w:pPr>
      <w:r>
        <w:rPr>
          <w:rFonts w:hint="eastAsia" w:ascii="宋体" w:hAnsi="宋体"/>
          <w:b/>
          <w:bCs/>
          <w:szCs w:val="21"/>
        </w:rPr>
        <w:t>（二）</w:t>
      </w:r>
      <w:r>
        <w:rPr>
          <w:rFonts w:hint="eastAsia"/>
          <w:b/>
          <w:bCs/>
          <w:color w:val="000000" w:themeColor="text1"/>
          <w:szCs w:val="21"/>
          <w14:textFill>
            <w14:solidFill>
              <w14:schemeClr w14:val="tx1"/>
            </w14:solidFill>
          </w14:textFill>
        </w:rPr>
        <w:t>意外伤害医疗保险责任（可选）</w:t>
      </w:r>
    </w:p>
    <w:p w14:paraId="4910C80A">
      <w:pPr>
        <w:pStyle w:val="8"/>
        <w:spacing w:before="0" w:beforeAutospacing="0" w:after="0" w:afterAutospacing="0" w:line="360" w:lineRule="auto"/>
        <w:ind w:firstLine="420" w:firstLineChars="200"/>
        <w:jc w:val="both"/>
        <w:rPr>
          <w:b/>
          <w:bCs/>
          <w:color w:val="000000" w:themeColor="text1"/>
          <w:sz w:val="21"/>
          <w:szCs w:val="21"/>
          <w14:textFill>
            <w14:solidFill>
              <w14:schemeClr w14:val="tx1"/>
            </w14:solidFill>
          </w14:textFill>
        </w:rPr>
      </w:pPr>
      <w:r>
        <w:rPr>
          <w:sz w:val="21"/>
          <w:szCs w:val="21"/>
        </w:rPr>
        <w:t xml:space="preserve"> 在保险期间内，被保险人遭受主险合同约定的电动车在充电过程中引发的火灾导致的意外伤害事故，并</w:t>
      </w:r>
      <w:r>
        <w:rPr>
          <w:color w:val="000000" w:themeColor="text1"/>
          <w:sz w:val="21"/>
          <w:szCs w:val="21"/>
          <w14:textFill>
            <w14:solidFill>
              <w14:schemeClr w14:val="tx1"/>
            </w14:solidFill>
          </w14:textFill>
        </w:rPr>
        <w:t>因</w:t>
      </w:r>
      <w:bookmarkStart w:id="3" w:name="OLE_LINK10"/>
      <w:r>
        <w:rPr>
          <w:color w:val="000000" w:themeColor="text1"/>
          <w:sz w:val="21"/>
          <w:szCs w:val="21"/>
          <w14:textFill>
            <w14:solidFill>
              <w14:schemeClr w14:val="tx1"/>
            </w14:solidFill>
          </w14:textFill>
        </w:rPr>
        <w:t>该事故为直接原因导致在</w:t>
      </w:r>
      <w:r>
        <w:rPr>
          <w:b/>
          <w:bCs/>
          <w:sz w:val="21"/>
          <w:szCs w:val="21"/>
        </w:rPr>
        <w:t>医院</w:t>
      </w:r>
      <w:r>
        <w:rPr>
          <w:b/>
          <w:bCs/>
          <w:color w:val="000000" w:themeColor="text1"/>
          <w:sz w:val="21"/>
          <w:szCs w:val="21"/>
          <w14:textFill>
            <w14:solidFill>
              <w14:schemeClr w14:val="tx1"/>
            </w14:solidFill>
          </w14:textFill>
        </w:rPr>
        <w:t>（释义二）</w:t>
      </w:r>
      <w:r>
        <w:rPr>
          <w:sz w:val="21"/>
          <w:szCs w:val="21"/>
        </w:rPr>
        <w:t>进行治疗，</w:t>
      </w:r>
      <w:bookmarkStart w:id="4" w:name="OLE_LINK2"/>
      <w:bookmarkStart w:id="5" w:name="OLE_LINK3"/>
      <w:bookmarkStart w:id="6" w:name="OLE_LINK1"/>
      <w:r>
        <w:rPr>
          <w:b/>
          <w:bCs/>
          <w:color w:val="000000" w:themeColor="text1"/>
          <w:sz w:val="21"/>
          <w:szCs w:val="21"/>
          <w14:textFill>
            <w14:solidFill>
              <w14:schemeClr w14:val="tx1"/>
            </w14:solidFill>
          </w14:textFill>
        </w:rPr>
        <w:t>就其自事故发生之日起180日内（含第180日）实际支出的按照当地（释义三）基本医疗保险（释义四）药品目录、诊疗项目目录以及服务设施范围和支付标准的必需且合理（释义五）的医疗费用（释义六</w:t>
      </w:r>
      <w:bookmarkEnd w:id="4"/>
      <w:r>
        <w:rPr>
          <w:b/>
          <w:bCs/>
          <w:color w:val="000000" w:themeColor="text1"/>
          <w:sz w:val="21"/>
          <w:szCs w:val="21"/>
          <w14:textFill>
            <w14:solidFill>
              <w14:schemeClr w14:val="tx1"/>
            </w14:solidFill>
          </w14:textFill>
        </w:rPr>
        <w:t>），保险人在扣除本附加险合同约定的免赔额后，按本附加险合同约定的赔付比例计算并给付意外伤害医疗保险金。免赔额和赔付比例由投保人</w:t>
      </w:r>
      <w:bookmarkEnd w:id="3"/>
      <w:r>
        <w:rPr>
          <w:b/>
          <w:bCs/>
          <w:color w:val="000000" w:themeColor="text1"/>
          <w:sz w:val="21"/>
          <w:szCs w:val="21"/>
          <w14:textFill>
            <w14:solidFill>
              <w14:schemeClr w14:val="tx1"/>
            </w14:solidFill>
          </w14:textFill>
        </w:rPr>
        <w:t>和保险人双方约定，并在保险单中载明。</w:t>
      </w:r>
      <w:bookmarkEnd w:id="5"/>
    </w:p>
    <w:p w14:paraId="358AFA4D">
      <w:pPr>
        <w:pStyle w:val="8"/>
        <w:spacing w:before="0" w:beforeAutospacing="0" w:after="0" w:afterAutospacing="0" w:line="360" w:lineRule="auto"/>
        <w:ind w:firstLine="422" w:firstLineChars="200"/>
        <w:jc w:val="both"/>
        <w:rPr>
          <w:b/>
          <w:bCs/>
          <w:color w:val="000000" w:themeColor="text1"/>
          <w:sz w:val="21"/>
          <w:szCs w:val="21"/>
          <w14:textFill>
            <w14:solidFill>
              <w14:schemeClr w14:val="tx1"/>
            </w14:solidFill>
          </w14:textFill>
        </w:rPr>
      </w:pPr>
      <w:r>
        <w:rPr>
          <w:b/>
          <w:bCs/>
          <w:color w:val="000000" w:themeColor="text1"/>
          <w:sz w:val="21"/>
          <w:szCs w:val="21"/>
          <w14:textFill>
            <w14:solidFill>
              <w14:schemeClr w14:val="tx1"/>
            </w14:solidFill>
          </w14:textFill>
        </w:rPr>
        <w:t>投保人选择投保意外伤害医疗保险责任的，需要区分以下情形确定赔付比例，具体赔付比例由投保人和保险人在投保时约定，并在保险单中载明：</w:t>
      </w:r>
    </w:p>
    <w:p w14:paraId="26764D74">
      <w:pPr>
        <w:pStyle w:val="8"/>
        <w:spacing w:before="0" w:beforeAutospacing="0" w:after="0" w:afterAutospacing="0" w:line="360" w:lineRule="auto"/>
        <w:ind w:firstLine="422" w:firstLineChars="200"/>
        <w:jc w:val="both"/>
        <w:rPr>
          <w:b/>
          <w:bCs/>
          <w:color w:val="000000" w:themeColor="text1"/>
          <w:sz w:val="21"/>
          <w:szCs w:val="21"/>
          <w14:textFill>
            <w14:solidFill>
              <w14:schemeClr w14:val="tx1"/>
            </w14:solidFill>
          </w14:textFill>
        </w:rPr>
      </w:pPr>
      <w:r>
        <w:rPr>
          <w:rFonts w:hint="eastAsia"/>
          <w:b/>
          <w:bCs/>
          <w:color w:val="000000" w:themeColor="text1"/>
          <w:sz w:val="21"/>
          <w:szCs w:val="21"/>
          <w:lang w:eastAsia="zh-CN"/>
          <w14:textFill>
            <w14:solidFill>
              <w14:schemeClr w14:val="tx1"/>
            </w14:solidFill>
          </w14:textFill>
        </w:rPr>
        <w:t>（</w:t>
      </w:r>
      <w:r>
        <w:rPr>
          <w:rFonts w:hint="eastAsia"/>
          <w:b/>
          <w:bCs/>
          <w:color w:val="000000" w:themeColor="text1"/>
          <w:sz w:val="21"/>
          <w:szCs w:val="21"/>
          <w:lang w:val="en-US" w:eastAsia="zh-CN"/>
          <w14:textFill>
            <w14:solidFill>
              <w14:schemeClr w14:val="tx1"/>
            </w14:solidFill>
          </w14:textFill>
        </w:rPr>
        <w:t>1</w:t>
      </w:r>
      <w:r>
        <w:rPr>
          <w:rFonts w:hint="eastAsia"/>
          <w:b/>
          <w:bCs/>
          <w:color w:val="000000" w:themeColor="text1"/>
          <w:sz w:val="21"/>
          <w:szCs w:val="21"/>
          <w:lang w:eastAsia="zh-CN"/>
          <w14:textFill>
            <w14:solidFill>
              <w14:schemeClr w14:val="tx1"/>
            </w14:solidFill>
          </w14:textFill>
        </w:rPr>
        <w:t>）</w:t>
      </w:r>
      <w:r>
        <w:rPr>
          <w:b/>
          <w:bCs/>
          <w:color w:val="000000" w:themeColor="text1"/>
          <w:sz w:val="21"/>
          <w:szCs w:val="21"/>
          <w14:textFill>
            <w14:solidFill>
              <w14:schemeClr w14:val="tx1"/>
            </w14:solidFill>
          </w14:textFill>
        </w:rPr>
        <w:t>被保险人以参加基本医疗保险或者公费医疗身份就诊并结算的；</w:t>
      </w:r>
    </w:p>
    <w:p w14:paraId="39A2C6B2">
      <w:pPr>
        <w:pStyle w:val="8"/>
        <w:spacing w:before="0" w:beforeAutospacing="0" w:after="0" w:afterAutospacing="0" w:line="360" w:lineRule="auto"/>
        <w:ind w:firstLine="422" w:firstLineChars="200"/>
        <w:jc w:val="both"/>
        <w:rPr>
          <w:b/>
          <w:bCs/>
          <w:color w:val="000000" w:themeColor="text1"/>
          <w:sz w:val="21"/>
          <w:szCs w:val="21"/>
          <w14:textFill>
            <w14:solidFill>
              <w14:schemeClr w14:val="tx1"/>
            </w14:solidFill>
          </w14:textFill>
        </w:rPr>
      </w:pPr>
      <w:r>
        <w:rPr>
          <w:rFonts w:hint="eastAsia"/>
          <w:b/>
          <w:bCs/>
          <w:color w:val="000000" w:themeColor="text1"/>
          <w:sz w:val="21"/>
          <w:szCs w:val="21"/>
          <w:lang w:eastAsia="zh-CN"/>
          <w14:textFill>
            <w14:solidFill>
              <w14:schemeClr w14:val="tx1"/>
            </w14:solidFill>
          </w14:textFill>
        </w:rPr>
        <w:t>（</w:t>
      </w:r>
      <w:r>
        <w:rPr>
          <w:rFonts w:hint="eastAsia"/>
          <w:b/>
          <w:bCs/>
          <w:color w:val="000000" w:themeColor="text1"/>
          <w:sz w:val="21"/>
          <w:szCs w:val="21"/>
          <w:lang w:val="en-US" w:eastAsia="zh-CN"/>
          <w14:textFill>
            <w14:solidFill>
              <w14:schemeClr w14:val="tx1"/>
            </w14:solidFill>
          </w14:textFill>
        </w:rPr>
        <w:t>2</w:t>
      </w:r>
      <w:r>
        <w:rPr>
          <w:rFonts w:hint="eastAsia"/>
          <w:b/>
          <w:bCs/>
          <w:color w:val="000000" w:themeColor="text1"/>
          <w:sz w:val="21"/>
          <w:szCs w:val="21"/>
          <w:lang w:eastAsia="zh-CN"/>
          <w14:textFill>
            <w14:solidFill>
              <w14:schemeClr w14:val="tx1"/>
            </w14:solidFill>
          </w14:textFill>
        </w:rPr>
        <w:t>）</w:t>
      </w:r>
      <w:r>
        <w:rPr>
          <w:b/>
          <w:bCs/>
          <w:color w:val="000000" w:themeColor="text1"/>
          <w:sz w:val="21"/>
          <w:szCs w:val="21"/>
          <w14:textFill>
            <w14:solidFill>
              <w14:schemeClr w14:val="tx1"/>
            </w14:solidFill>
          </w14:textFill>
        </w:rPr>
        <w:t>被保险人未以参加基本医疗保险或者公费医疗身份就诊并结算的。</w:t>
      </w:r>
    </w:p>
    <w:p w14:paraId="6D55D25F">
      <w:pPr>
        <w:pStyle w:val="8"/>
        <w:spacing w:before="0" w:beforeAutospacing="0" w:after="0" w:afterAutospacing="0" w:line="360" w:lineRule="auto"/>
        <w:ind w:firstLine="422" w:firstLineChars="200"/>
        <w:jc w:val="both"/>
        <w:rPr>
          <w:b/>
          <w:bCs/>
          <w:sz w:val="21"/>
          <w:szCs w:val="21"/>
        </w:rPr>
      </w:pPr>
      <w:r>
        <w:rPr>
          <w:b/>
          <w:bCs/>
          <w:sz w:val="21"/>
          <w:szCs w:val="21"/>
        </w:rPr>
        <w:t>保险期间内，被保险人不论一次或多次发生意外伤害事故，保险人均按上述约定给付意外伤害医疗保险金，但累计给付金额以保险单载明的意外伤害医疗保险金额为限，累计给付金额达到意外伤害医疗保险金额时，本项保险责任终止。</w:t>
      </w:r>
    </w:p>
    <w:p w14:paraId="2F47E371">
      <w:pPr>
        <w:pStyle w:val="8"/>
        <w:autoSpaceDE w:val="0"/>
        <w:autoSpaceDN w:val="0"/>
        <w:adjustRightInd w:val="0"/>
        <w:spacing w:before="0" w:beforeAutospacing="0" w:after="0" w:afterAutospacing="0" w:line="360" w:lineRule="auto"/>
        <w:ind w:firstLine="422" w:firstLineChars="200"/>
        <w:jc w:val="both"/>
        <w:rPr>
          <w:rFonts w:cs="宋体"/>
          <w:szCs w:val="21"/>
        </w:rPr>
      </w:pPr>
      <w:r>
        <w:rPr>
          <w:b/>
          <w:bCs/>
          <w:color w:val="000000" w:themeColor="text1"/>
          <w:sz w:val="21"/>
          <w:szCs w:val="21"/>
          <w14:textFill>
            <w14:solidFill>
              <w14:schemeClr w14:val="tx1"/>
            </w14:solidFill>
          </w14:textFill>
        </w:rPr>
        <w:t>本项保险责任适用医疗费用补偿原则。被保险人如果已从其他途径（包括但不限于基本医疗保险、公费医疗、工作单位、侵权人或侵权责任承担方、保险人在内的任何商业保险机构、政府机构或者社会福利机构等)获得本附加险合同责任范围内的医疗费用补偿，则保险人仅对被保险人实际发生的医疗费用扣除其从其他途径所获得医疗费用补偿后的余额部分按照本附加险合同约定给付意外伤害医疗保险金，以被保险人实际支出的医疗费用金额为限</w:t>
      </w:r>
      <w:bookmarkEnd w:id="6"/>
      <w:r>
        <w:rPr>
          <w:b/>
          <w:bCs/>
          <w:sz w:val="21"/>
          <w:szCs w:val="21"/>
        </w:rPr>
        <w:t>。</w:t>
      </w:r>
    </w:p>
    <w:p w14:paraId="53DB9C82">
      <w:pPr>
        <w:spacing w:line="360" w:lineRule="auto"/>
        <w:jc w:val="center"/>
        <w:rPr>
          <w:rFonts w:hint="eastAsia" w:ascii="宋体" w:hAnsi="宋体"/>
          <w:b/>
          <w:bCs/>
          <w:szCs w:val="21"/>
        </w:rPr>
      </w:pPr>
      <w:r>
        <w:rPr>
          <w:rFonts w:hint="eastAsia" w:ascii="宋体" w:hAnsi="宋体"/>
          <w:b/>
          <w:bCs/>
          <w:szCs w:val="21"/>
        </w:rPr>
        <w:t>责任免除</w:t>
      </w:r>
    </w:p>
    <w:p w14:paraId="02F604EA">
      <w:pPr>
        <w:adjustRightInd w:val="0"/>
        <w:spacing w:line="360" w:lineRule="auto"/>
        <w:ind w:firstLine="422" w:firstLineChars="200"/>
        <w:jc w:val="left"/>
        <w:rPr>
          <w:rFonts w:hint="eastAsia" w:ascii="宋体" w:hAnsi="宋体"/>
          <w:b/>
          <w:bCs/>
          <w:szCs w:val="21"/>
        </w:rPr>
      </w:pPr>
      <w:r>
        <w:rPr>
          <w:rFonts w:hint="eastAsia" w:ascii="宋体" w:hAnsi="宋体"/>
          <w:b/>
          <w:bCs/>
          <w:szCs w:val="21"/>
        </w:rPr>
        <w:t>第六条</w:t>
      </w:r>
      <w:r>
        <w:rPr>
          <w:rFonts w:hint="eastAsia" w:ascii="宋体" w:hAnsi="宋体" w:eastAsia="PMingLiU"/>
          <w:b/>
          <w:bCs/>
          <w:szCs w:val="21"/>
        </w:rPr>
        <w:t xml:space="preserve"> </w:t>
      </w:r>
      <w:r>
        <w:rPr>
          <w:rFonts w:hint="eastAsia" w:ascii="宋体" w:hAnsi="宋体"/>
          <w:b/>
          <w:bCs/>
          <w:szCs w:val="21"/>
        </w:rPr>
        <w:t>下列原因造成被保险人身故、伤残或医疗费用支出的，保险人不承担给付保险金责任：</w:t>
      </w:r>
    </w:p>
    <w:p w14:paraId="56851EB6">
      <w:pPr>
        <w:adjustRightInd w:val="0"/>
        <w:spacing w:line="360" w:lineRule="auto"/>
        <w:ind w:firstLine="422" w:firstLineChars="200"/>
        <w:jc w:val="left"/>
        <w:rPr>
          <w:rFonts w:hint="eastAsia" w:ascii="宋体" w:hAnsi="宋体"/>
          <w:b/>
          <w:bCs/>
          <w:szCs w:val="21"/>
        </w:rPr>
      </w:pPr>
      <w:r>
        <w:rPr>
          <w:rFonts w:hint="eastAsia" w:ascii="宋体" w:hAnsi="宋体"/>
          <w:b/>
          <w:bCs/>
          <w:szCs w:val="21"/>
        </w:rPr>
        <w:t>（一）投保人或被保险人的故意行为；</w:t>
      </w:r>
    </w:p>
    <w:p w14:paraId="2EE69E0A">
      <w:pPr>
        <w:adjustRightInd w:val="0"/>
        <w:spacing w:line="360" w:lineRule="auto"/>
        <w:ind w:firstLine="422" w:firstLineChars="200"/>
        <w:jc w:val="left"/>
        <w:rPr>
          <w:rFonts w:hint="eastAsia" w:ascii="宋体" w:hAnsi="宋体" w:eastAsia="PMingLiU"/>
          <w:b/>
          <w:bCs/>
          <w:szCs w:val="21"/>
        </w:rPr>
      </w:pPr>
      <w:r>
        <w:rPr>
          <w:rFonts w:hint="eastAsia" w:ascii="宋体" w:hAnsi="宋体"/>
          <w:b/>
          <w:bCs/>
          <w:szCs w:val="21"/>
        </w:rPr>
        <w:t>（二）被保险人自致伤害或自杀</w:t>
      </w:r>
      <w:r>
        <w:rPr>
          <w:rFonts w:hint="eastAsia"/>
          <w:b/>
          <w:bCs/>
          <w:color w:val="000000" w:themeColor="text1"/>
          <w:szCs w:val="21"/>
          <w14:textFill>
            <w14:solidFill>
              <w14:schemeClr w14:val="tx1"/>
            </w14:solidFill>
          </w14:textFill>
        </w:rPr>
        <w:t>，但被保险人自杀时为无民事行为能力人的除外</w:t>
      </w:r>
      <w:r>
        <w:rPr>
          <w:rFonts w:hint="eastAsia" w:ascii="宋体" w:hAnsi="宋体"/>
          <w:b/>
          <w:bCs/>
          <w:szCs w:val="21"/>
        </w:rPr>
        <w:t>；</w:t>
      </w:r>
    </w:p>
    <w:p w14:paraId="422E936D">
      <w:pPr>
        <w:adjustRightInd w:val="0"/>
        <w:spacing w:line="360" w:lineRule="auto"/>
        <w:ind w:firstLine="422" w:firstLineChars="200"/>
        <w:jc w:val="left"/>
        <w:rPr>
          <w:rFonts w:hint="eastAsia" w:ascii="宋体" w:hAnsi="宋体"/>
          <w:b/>
          <w:bCs/>
          <w:szCs w:val="21"/>
        </w:rPr>
      </w:pPr>
      <w:r>
        <w:rPr>
          <w:rFonts w:hint="eastAsia" w:ascii="宋体" w:hAnsi="宋体"/>
          <w:b/>
          <w:bCs/>
          <w:szCs w:val="21"/>
        </w:rPr>
        <w:t>（</w:t>
      </w:r>
      <w:r>
        <w:rPr>
          <w:rFonts w:hint="eastAsia" w:ascii="宋体" w:hAnsi="宋体"/>
          <w:b/>
          <w:bCs/>
          <w:szCs w:val="21"/>
          <w:lang w:val="en-US" w:eastAsia="zh-CN"/>
        </w:rPr>
        <w:t>三</w:t>
      </w:r>
      <w:r>
        <w:rPr>
          <w:rFonts w:hint="eastAsia" w:ascii="宋体" w:hAnsi="宋体"/>
          <w:b/>
          <w:bCs/>
          <w:szCs w:val="21"/>
        </w:rPr>
        <w:t>）任何生物、化学、原子能武器，原子能或核能装置所造成的爆炸、灼伤、污染或辐射；</w:t>
      </w:r>
    </w:p>
    <w:p w14:paraId="4555EE68">
      <w:pPr>
        <w:adjustRightInd w:val="0"/>
        <w:spacing w:line="360" w:lineRule="auto"/>
        <w:ind w:firstLine="422" w:firstLineChars="200"/>
        <w:jc w:val="left"/>
        <w:rPr>
          <w:rFonts w:hint="eastAsia" w:ascii="宋体" w:hAnsi="宋体"/>
          <w:b/>
          <w:bCs/>
          <w:szCs w:val="21"/>
        </w:rPr>
      </w:pPr>
      <w:r>
        <w:rPr>
          <w:rFonts w:hint="eastAsia" w:ascii="宋体" w:hAnsi="宋体"/>
          <w:b/>
          <w:bCs/>
          <w:szCs w:val="21"/>
        </w:rPr>
        <w:t>（</w:t>
      </w:r>
      <w:r>
        <w:rPr>
          <w:rFonts w:hint="eastAsia" w:ascii="宋体" w:hAnsi="宋体"/>
          <w:b/>
          <w:bCs/>
          <w:szCs w:val="21"/>
          <w:lang w:val="en-US" w:eastAsia="zh-CN"/>
        </w:rPr>
        <w:t>四</w:t>
      </w:r>
      <w:r>
        <w:rPr>
          <w:rFonts w:hint="eastAsia" w:ascii="宋体" w:hAnsi="宋体"/>
          <w:b/>
          <w:bCs/>
          <w:szCs w:val="21"/>
        </w:rPr>
        <w:t>）恐怖袭击。</w:t>
      </w:r>
    </w:p>
    <w:p w14:paraId="2C690918">
      <w:pPr>
        <w:adjustRightInd w:val="0"/>
        <w:spacing w:line="360" w:lineRule="auto"/>
        <w:ind w:firstLine="422" w:firstLineChars="200"/>
        <w:jc w:val="left"/>
        <w:rPr>
          <w:rFonts w:hint="eastAsia" w:ascii="宋体" w:hAnsi="宋体"/>
          <w:b/>
          <w:bCs/>
          <w:szCs w:val="21"/>
        </w:rPr>
      </w:pPr>
      <w:r>
        <w:rPr>
          <w:rFonts w:hint="eastAsia" w:ascii="宋体" w:hAnsi="宋体"/>
          <w:b/>
          <w:bCs/>
          <w:szCs w:val="21"/>
        </w:rPr>
        <w:t>第七条  被保险人在下列期间</w:t>
      </w:r>
      <w:r>
        <w:rPr>
          <w:rFonts w:hint="eastAsia" w:ascii="宋体" w:hAnsi="宋体" w:eastAsia="宋体"/>
          <w:b/>
          <w:bCs/>
          <w:szCs w:val="21"/>
        </w:rPr>
        <w:t>或情形下</w:t>
      </w:r>
      <w:r>
        <w:rPr>
          <w:rFonts w:hint="eastAsia" w:ascii="宋体" w:hAnsi="宋体"/>
          <w:b/>
          <w:bCs/>
          <w:szCs w:val="21"/>
        </w:rPr>
        <w:t>遭受意外伤害导致身故、伤残或医疗费用支出的，保险人也不承担给付保险金责任：</w:t>
      </w:r>
    </w:p>
    <w:p w14:paraId="55EC77E4">
      <w:pPr>
        <w:adjustRightInd w:val="0"/>
        <w:spacing w:line="360" w:lineRule="auto"/>
        <w:ind w:firstLine="422" w:firstLineChars="200"/>
        <w:jc w:val="left"/>
        <w:rPr>
          <w:rFonts w:hint="eastAsia" w:ascii="宋体" w:hAnsi="宋体"/>
          <w:b/>
          <w:bCs/>
          <w:szCs w:val="21"/>
        </w:rPr>
      </w:pPr>
      <w:r>
        <w:rPr>
          <w:rFonts w:ascii="宋体" w:hAnsi="宋体"/>
          <w:b/>
          <w:bCs/>
          <w:szCs w:val="21"/>
        </w:rPr>
        <w:t>（一）</w:t>
      </w:r>
      <w:r>
        <w:rPr>
          <w:rFonts w:hint="eastAsia"/>
          <w:b/>
          <w:bCs/>
          <w:color w:val="000000" w:themeColor="text1"/>
          <w:szCs w:val="21"/>
          <w14:textFill>
            <w14:solidFill>
              <w14:schemeClr w14:val="tx1"/>
            </w14:solidFill>
          </w14:textFill>
        </w:rPr>
        <w:t>被保险人精神或行为障碍期间</w:t>
      </w:r>
      <w:r>
        <w:rPr>
          <w:rFonts w:ascii="宋体" w:hAnsi="宋体"/>
          <w:b/>
          <w:bCs/>
          <w:szCs w:val="21"/>
        </w:rPr>
        <w:t>；</w:t>
      </w:r>
    </w:p>
    <w:p w14:paraId="2761801E">
      <w:pPr>
        <w:adjustRightInd w:val="0"/>
        <w:spacing w:line="360" w:lineRule="auto"/>
        <w:ind w:firstLine="422" w:firstLineChars="200"/>
        <w:jc w:val="left"/>
        <w:rPr>
          <w:rFonts w:hint="eastAsia" w:ascii="宋体" w:hAnsi="宋体"/>
          <w:b/>
          <w:bCs/>
          <w:szCs w:val="21"/>
        </w:rPr>
      </w:pPr>
      <w:r>
        <w:rPr>
          <w:rFonts w:ascii="宋体" w:hAnsi="宋体"/>
          <w:b/>
          <w:bCs/>
          <w:szCs w:val="21"/>
        </w:rPr>
        <w:t>（二）战争、军事行动、暴动或武装叛乱期间；</w:t>
      </w:r>
    </w:p>
    <w:p w14:paraId="5701D434">
      <w:pPr>
        <w:adjustRightInd w:val="0"/>
        <w:spacing w:line="360" w:lineRule="auto"/>
        <w:ind w:firstLine="422" w:firstLineChars="200"/>
        <w:jc w:val="left"/>
        <w:rPr>
          <w:rFonts w:hint="eastAsia" w:ascii="宋体" w:hAnsi="宋体"/>
          <w:b/>
          <w:bCs/>
          <w:szCs w:val="21"/>
        </w:rPr>
      </w:pPr>
      <w:r>
        <w:rPr>
          <w:rFonts w:ascii="宋体" w:hAnsi="宋体"/>
          <w:b/>
          <w:bCs/>
          <w:szCs w:val="21"/>
        </w:rPr>
        <w:t>（三）被保险人醉酒</w:t>
      </w:r>
      <w:r>
        <w:rPr>
          <w:rFonts w:hint="eastAsia"/>
          <w:b/>
          <w:bCs/>
          <w:color w:val="000000" w:themeColor="text1"/>
          <w:szCs w:val="21"/>
          <w14:textFill>
            <w14:solidFill>
              <w14:schemeClr w14:val="tx1"/>
            </w14:solidFill>
          </w14:textFill>
        </w:rPr>
        <w:t>（释义七）</w:t>
      </w:r>
      <w:r>
        <w:rPr>
          <w:rFonts w:ascii="宋体" w:hAnsi="宋体"/>
          <w:b/>
          <w:bCs/>
          <w:szCs w:val="21"/>
        </w:rPr>
        <w:t>或毒品、管制药物的影响期间；</w:t>
      </w:r>
    </w:p>
    <w:p w14:paraId="2CBCB37E">
      <w:pPr>
        <w:adjustRightInd w:val="0"/>
        <w:spacing w:line="360" w:lineRule="auto"/>
        <w:ind w:firstLine="422" w:firstLineChars="200"/>
        <w:jc w:val="left"/>
        <w:rPr>
          <w:rFonts w:hint="eastAsia" w:ascii="宋体" w:hAnsi="宋体"/>
          <w:b/>
          <w:bCs/>
          <w:szCs w:val="21"/>
        </w:rPr>
      </w:pPr>
      <w:r>
        <w:rPr>
          <w:rFonts w:ascii="宋体" w:hAnsi="宋体"/>
          <w:b/>
          <w:bCs/>
          <w:szCs w:val="21"/>
        </w:rPr>
        <w:t>（</w:t>
      </w:r>
      <w:r>
        <w:rPr>
          <w:rFonts w:hint="eastAsia" w:ascii="宋体" w:hAnsi="宋体"/>
          <w:b/>
          <w:bCs/>
          <w:szCs w:val="21"/>
        </w:rPr>
        <w:t>四</w:t>
      </w:r>
      <w:r>
        <w:rPr>
          <w:rFonts w:ascii="宋体" w:hAnsi="宋体"/>
          <w:b/>
          <w:bCs/>
          <w:szCs w:val="21"/>
        </w:rPr>
        <w:t>）被保险人从事违法、犯罪活动期间或被依法拘留、服刑、在逃期间；</w:t>
      </w:r>
    </w:p>
    <w:p w14:paraId="2236FC90">
      <w:pPr>
        <w:adjustRightInd w:val="0"/>
        <w:spacing w:line="360" w:lineRule="auto"/>
        <w:ind w:firstLine="422" w:firstLineChars="200"/>
        <w:jc w:val="left"/>
        <w:rPr>
          <w:rFonts w:hint="eastAsia" w:ascii="宋体" w:hAnsi="宋体" w:eastAsia="PMingLiU"/>
          <w:b/>
          <w:bCs/>
          <w:szCs w:val="21"/>
        </w:rPr>
      </w:pPr>
      <w:r>
        <w:rPr>
          <w:rFonts w:ascii="宋体" w:hAnsi="宋体"/>
          <w:b/>
          <w:bCs/>
          <w:szCs w:val="21"/>
        </w:rPr>
        <w:t>（</w:t>
      </w:r>
      <w:r>
        <w:rPr>
          <w:rFonts w:hint="eastAsia" w:ascii="宋体" w:hAnsi="宋体"/>
          <w:b/>
          <w:bCs/>
          <w:szCs w:val="21"/>
        </w:rPr>
        <w:t>五</w:t>
      </w:r>
      <w:r>
        <w:rPr>
          <w:rFonts w:ascii="宋体" w:hAnsi="宋体"/>
          <w:b/>
          <w:bCs/>
          <w:szCs w:val="21"/>
        </w:rPr>
        <w:t>）被保险人因意外伤害、自然灾害事故以外的原因失踪而被法院宣告死亡的</w:t>
      </w:r>
      <w:r>
        <w:rPr>
          <w:rFonts w:hint="eastAsia" w:ascii="宋体" w:hAnsi="宋体"/>
          <w:b/>
          <w:bCs/>
          <w:szCs w:val="21"/>
        </w:rPr>
        <w:t>；</w:t>
      </w:r>
    </w:p>
    <w:p w14:paraId="1C7722C4">
      <w:pPr>
        <w:adjustRightInd w:val="0"/>
        <w:spacing w:line="360" w:lineRule="auto"/>
        <w:ind w:firstLine="422" w:firstLineChars="200"/>
        <w:jc w:val="left"/>
        <w:rPr>
          <w:rFonts w:hint="eastAsia" w:ascii="宋体" w:hAnsi="宋体"/>
          <w:b/>
          <w:bCs/>
          <w:szCs w:val="21"/>
        </w:rPr>
      </w:pPr>
      <w:r>
        <w:rPr>
          <w:rFonts w:hint="eastAsia" w:ascii="宋体" w:hAnsi="宋体"/>
          <w:b/>
          <w:bCs/>
          <w:szCs w:val="21"/>
        </w:rPr>
        <w:t>第八条  下列费用，保险人不承担给付保险金责任：</w:t>
      </w:r>
    </w:p>
    <w:p w14:paraId="63DB2D7B">
      <w:pPr>
        <w:adjustRightInd w:val="0"/>
        <w:spacing w:line="360" w:lineRule="auto"/>
        <w:ind w:firstLine="422" w:firstLineChars="200"/>
        <w:jc w:val="left"/>
        <w:rPr>
          <w:rFonts w:hint="eastAsia" w:ascii="宋体" w:hAnsi="宋体"/>
          <w:b/>
          <w:bCs/>
          <w:szCs w:val="21"/>
        </w:rPr>
      </w:pPr>
      <w:r>
        <w:rPr>
          <w:rFonts w:ascii="宋体" w:hAnsi="宋体"/>
          <w:b/>
          <w:bCs/>
          <w:szCs w:val="21"/>
        </w:rPr>
        <w:t>（一）</w:t>
      </w:r>
      <w:r>
        <w:rPr>
          <w:rFonts w:hint="eastAsia"/>
          <w:b/>
          <w:bCs/>
          <w:color w:val="000000" w:themeColor="text1"/>
          <w:szCs w:val="21"/>
          <w14:textFill>
            <w14:solidFill>
              <w14:schemeClr w14:val="tx1"/>
            </w14:solidFill>
          </w14:textFill>
        </w:rPr>
        <w:t>超出当地基本医疗保险或其他公费医疗管理部门规定的药品目录、诊疗项目目录以及服务设施范围和支付标准的医疗费用</w:t>
      </w:r>
      <w:r>
        <w:rPr>
          <w:rFonts w:ascii="宋体" w:hAnsi="宋体"/>
          <w:b/>
          <w:bCs/>
          <w:szCs w:val="21"/>
        </w:rPr>
        <w:t>；</w:t>
      </w:r>
    </w:p>
    <w:p w14:paraId="168D3064">
      <w:pPr>
        <w:adjustRightInd w:val="0"/>
        <w:spacing w:line="360" w:lineRule="auto"/>
        <w:ind w:firstLine="422" w:firstLineChars="200"/>
        <w:jc w:val="left"/>
        <w:rPr>
          <w:rFonts w:hint="eastAsia" w:ascii="宋体" w:hAnsi="宋体"/>
          <w:b/>
          <w:bCs/>
          <w:szCs w:val="21"/>
        </w:rPr>
      </w:pPr>
      <w:r>
        <w:rPr>
          <w:rFonts w:ascii="宋体" w:hAnsi="宋体"/>
          <w:b/>
          <w:bCs/>
          <w:szCs w:val="21"/>
        </w:rPr>
        <w:t>（二）因椎间盘膨出或突出造成被保险人支出的医疗费用；</w:t>
      </w:r>
    </w:p>
    <w:p w14:paraId="14796F39">
      <w:pPr>
        <w:adjustRightInd w:val="0"/>
        <w:spacing w:line="360" w:lineRule="auto"/>
        <w:ind w:firstLine="422" w:firstLineChars="200"/>
        <w:jc w:val="left"/>
        <w:rPr>
          <w:rFonts w:hint="eastAsia" w:ascii="宋体" w:hAnsi="宋体"/>
          <w:b/>
          <w:bCs/>
          <w:szCs w:val="21"/>
        </w:rPr>
      </w:pPr>
      <w:r>
        <w:rPr>
          <w:rFonts w:ascii="宋体" w:hAnsi="宋体"/>
          <w:b/>
          <w:bCs/>
          <w:szCs w:val="21"/>
        </w:rPr>
        <w:t>（三）营养费、康复费、辅助器具费</w:t>
      </w:r>
      <w:r>
        <w:rPr>
          <w:rFonts w:hint="eastAsia" w:ascii="宋体" w:hAnsi="宋体"/>
          <w:b/>
          <w:bCs/>
          <w:szCs w:val="21"/>
        </w:rPr>
        <w:t>（释义八）</w:t>
      </w:r>
      <w:r>
        <w:rPr>
          <w:rFonts w:ascii="宋体" w:hAnsi="宋体"/>
          <w:b/>
          <w:bCs/>
          <w:szCs w:val="21"/>
        </w:rPr>
        <w:t>、整容费、美容费、修复手术费、牙齿整形费、牙齿修复费、镶牙费、护理费、交通费、伙食费、误工费、丧葬费。</w:t>
      </w:r>
    </w:p>
    <w:p w14:paraId="60F61700">
      <w:pPr>
        <w:spacing w:line="360" w:lineRule="auto"/>
        <w:jc w:val="center"/>
        <w:rPr>
          <w:rFonts w:hint="eastAsia" w:ascii="宋体" w:hAnsi="宋体"/>
          <w:b/>
          <w:bCs/>
          <w:szCs w:val="21"/>
        </w:rPr>
      </w:pPr>
    </w:p>
    <w:p w14:paraId="64F56089">
      <w:pPr>
        <w:spacing w:line="360" w:lineRule="auto"/>
        <w:jc w:val="center"/>
        <w:rPr>
          <w:rFonts w:hint="eastAsia" w:ascii="宋体" w:hAnsi="宋体"/>
          <w:b/>
          <w:bCs/>
          <w:szCs w:val="21"/>
        </w:rPr>
      </w:pPr>
      <w:r>
        <w:rPr>
          <w:rFonts w:hint="eastAsia" w:ascii="宋体" w:hAnsi="宋体"/>
          <w:b/>
          <w:bCs/>
          <w:szCs w:val="21"/>
        </w:rPr>
        <w:t>保险金额和免赔额</w:t>
      </w:r>
    </w:p>
    <w:p w14:paraId="304B3BE9">
      <w:pPr>
        <w:autoSpaceDE w:val="0"/>
        <w:autoSpaceDN w:val="0"/>
        <w:adjustRightInd w:val="0"/>
        <w:spacing w:line="360" w:lineRule="auto"/>
        <w:ind w:firstLine="422" w:firstLineChars="200"/>
        <w:jc w:val="left"/>
        <w:rPr>
          <w:rFonts w:hint="eastAsia" w:ascii="宋体" w:hAnsi="宋体"/>
          <w:szCs w:val="21"/>
        </w:rPr>
      </w:pPr>
      <w:r>
        <w:rPr>
          <w:rFonts w:hint="eastAsia" w:ascii="宋体" w:hAnsi="宋体"/>
          <w:b/>
          <w:bCs/>
          <w:szCs w:val="21"/>
        </w:rPr>
        <w:t>第九条  保险金额是保险人承担赔偿或者给付保险金责任的最高限额。</w:t>
      </w:r>
      <w:r>
        <w:rPr>
          <w:rFonts w:hint="eastAsia" w:ascii="宋体" w:hAnsi="宋体"/>
          <w:szCs w:val="21"/>
        </w:rPr>
        <w:t>本附加合同的保险金额由投保人与保险人协商确定，并在保险单中载明。</w:t>
      </w:r>
    </w:p>
    <w:p w14:paraId="0E398860">
      <w:pPr>
        <w:autoSpaceDE w:val="0"/>
        <w:autoSpaceDN w:val="0"/>
        <w:adjustRightInd w:val="0"/>
        <w:spacing w:line="360" w:lineRule="auto"/>
        <w:ind w:firstLine="422" w:firstLineChars="200"/>
        <w:jc w:val="left"/>
        <w:rPr>
          <w:rFonts w:hint="eastAsia" w:ascii="宋体" w:hAnsi="宋体"/>
          <w:b/>
          <w:bCs/>
          <w:szCs w:val="21"/>
        </w:rPr>
      </w:pPr>
      <w:r>
        <w:rPr>
          <w:rFonts w:hint="eastAsia" w:ascii="宋体" w:hAnsi="宋体"/>
          <w:b/>
          <w:bCs/>
          <w:szCs w:val="21"/>
        </w:rPr>
        <w:t>第十条  免赔额由投保人与保险人在签订保险合同时协商确定，并在保险</w:t>
      </w:r>
      <w:r>
        <w:rPr>
          <w:rFonts w:hint="eastAsia" w:ascii="宋体" w:hAnsi="宋体"/>
          <w:b/>
          <w:bCs/>
          <w:szCs w:val="21"/>
          <w:lang w:val="en-US" w:eastAsia="zh-CN"/>
        </w:rPr>
        <w:t>单</w:t>
      </w:r>
      <w:r>
        <w:rPr>
          <w:rFonts w:hint="eastAsia" w:ascii="宋体" w:hAnsi="宋体"/>
          <w:b/>
          <w:bCs/>
          <w:szCs w:val="21"/>
        </w:rPr>
        <w:t>中载明。</w:t>
      </w:r>
    </w:p>
    <w:p w14:paraId="49E3C5AE">
      <w:pPr>
        <w:spacing w:line="360" w:lineRule="auto"/>
        <w:jc w:val="center"/>
        <w:rPr>
          <w:rFonts w:hint="eastAsia" w:ascii="宋体" w:hAnsi="宋体"/>
          <w:b/>
          <w:bCs/>
          <w:szCs w:val="21"/>
        </w:rPr>
      </w:pPr>
      <w:r>
        <w:rPr>
          <w:rFonts w:hint="eastAsia" w:ascii="宋体" w:hAnsi="宋体"/>
          <w:b/>
          <w:bCs/>
          <w:szCs w:val="21"/>
        </w:rPr>
        <w:t>保险期间</w:t>
      </w:r>
    </w:p>
    <w:p w14:paraId="42D5C53B">
      <w:pPr>
        <w:autoSpaceDE w:val="0"/>
        <w:autoSpaceDN w:val="0"/>
        <w:adjustRightInd w:val="0"/>
        <w:spacing w:line="360" w:lineRule="auto"/>
        <w:ind w:firstLine="422" w:firstLineChars="200"/>
        <w:jc w:val="left"/>
        <w:rPr>
          <w:rFonts w:hint="eastAsia" w:ascii="宋体" w:hAnsi="宋体"/>
          <w:szCs w:val="21"/>
        </w:rPr>
      </w:pPr>
      <w:r>
        <w:rPr>
          <w:rFonts w:hint="eastAsia" w:ascii="宋体" w:hAnsi="宋体"/>
          <w:b/>
          <w:bCs/>
          <w:szCs w:val="21"/>
        </w:rPr>
        <w:t xml:space="preserve">第十一条  </w:t>
      </w:r>
      <w:r>
        <w:rPr>
          <w:rFonts w:hint="eastAsia"/>
          <w:color w:val="000000" w:themeColor="text1"/>
          <w:spacing w:val="9"/>
          <w:szCs w:val="21"/>
          <w14:textFill>
            <w14:solidFill>
              <w14:schemeClr w14:val="tx1"/>
            </w14:solidFill>
          </w14:textFill>
        </w:rPr>
        <w:t>除另有约定外，</w:t>
      </w:r>
      <w:r>
        <w:rPr>
          <w:rFonts w:hint="eastAsia" w:ascii="宋体" w:hAnsi="宋体"/>
          <w:szCs w:val="21"/>
        </w:rPr>
        <w:t>本附加险合同的保险期间与主险合同一致</w:t>
      </w:r>
      <w:bookmarkStart w:id="7" w:name="OLE_LINK4"/>
      <w:r>
        <w:rPr>
          <w:rFonts w:hint="eastAsia" w:ascii="宋体" w:hAnsi="宋体"/>
          <w:szCs w:val="21"/>
        </w:rPr>
        <w:t>，最长不超过一年</w:t>
      </w:r>
      <w:bookmarkEnd w:id="7"/>
      <w:r>
        <w:rPr>
          <w:rFonts w:hint="eastAsia" w:ascii="宋体" w:hAnsi="宋体"/>
          <w:szCs w:val="21"/>
        </w:rPr>
        <w:t>。</w:t>
      </w:r>
    </w:p>
    <w:p w14:paraId="4BD55809">
      <w:pPr>
        <w:widowControl/>
        <w:spacing w:line="360" w:lineRule="auto"/>
        <w:jc w:val="center"/>
        <w:rPr>
          <w:rFonts w:hint="eastAsia"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不保证续保</w:t>
      </w:r>
    </w:p>
    <w:p w14:paraId="3664B678">
      <w:pPr>
        <w:pStyle w:val="8"/>
        <w:spacing w:before="0" w:beforeAutospacing="0" w:after="0" w:afterAutospacing="0" w:line="360" w:lineRule="auto"/>
        <w:ind w:firstLine="422" w:firstLineChars="200"/>
        <w:jc w:val="both"/>
        <w:rPr>
          <w:color w:val="000000" w:themeColor="text1"/>
          <w:sz w:val="21"/>
          <w:szCs w:val="21"/>
          <w14:textFill>
            <w14:solidFill>
              <w14:schemeClr w14:val="tx1"/>
            </w14:solidFill>
          </w14:textFill>
        </w:rPr>
      </w:pPr>
      <w:r>
        <w:rPr>
          <w:b/>
          <w:color w:val="000000" w:themeColor="text1"/>
          <w:sz w:val="21"/>
          <w:szCs w:val="21"/>
          <w14:textFill>
            <w14:solidFill>
              <w14:schemeClr w14:val="tx1"/>
            </w14:solidFill>
          </w14:textFill>
        </w:rPr>
        <w:t>第十</w:t>
      </w:r>
      <w:r>
        <w:rPr>
          <w:b/>
          <w:bCs/>
          <w:szCs w:val="21"/>
        </w:rPr>
        <w:t>二</w:t>
      </w:r>
      <w:r>
        <w:rPr>
          <w:b/>
          <w:color w:val="000000" w:themeColor="text1"/>
          <w:sz w:val="21"/>
          <w:szCs w:val="21"/>
          <w14:textFill>
            <w14:solidFill>
              <w14:schemeClr w14:val="tx1"/>
            </w14:solidFill>
          </w14:textFill>
        </w:rPr>
        <w:t xml:space="preserve">条 </w:t>
      </w:r>
      <w:r>
        <w:rPr>
          <w:b/>
          <w:bCs/>
          <w:color w:val="000000" w:themeColor="text1"/>
          <w:sz w:val="21"/>
          <w:szCs w:val="21"/>
          <w14:textFill>
            <w14:solidFill>
              <w14:schemeClr w14:val="tx1"/>
            </w14:solidFill>
          </w14:textFill>
        </w:rPr>
        <w:t>本附加险合同为不保证续保合同</w:t>
      </w:r>
      <w:r>
        <w:rPr>
          <w:szCs w:val="21"/>
        </w:rPr>
        <w:t>。</w:t>
      </w:r>
      <w:r>
        <w:rPr>
          <w:b/>
          <w:bCs/>
          <w:color w:val="000000" w:themeColor="text1"/>
          <w:sz w:val="21"/>
          <w:szCs w:val="21"/>
          <w14:textFill>
            <w14:solidFill>
              <w14:schemeClr w14:val="tx1"/>
            </w14:solidFill>
          </w14:textFill>
        </w:rPr>
        <w:t>本产品保险期间为一年（或不超过一年）。保险期间届满，投保人可以重新向保险人申请投保本产品，并经保险人同意，交纳保险费，获得新的保险合同。</w:t>
      </w:r>
    </w:p>
    <w:p w14:paraId="7876C317">
      <w:pPr>
        <w:adjustRightInd w:val="0"/>
        <w:spacing w:line="360" w:lineRule="auto"/>
        <w:ind w:firstLine="420" w:firstLineChars="200"/>
        <w:jc w:val="left"/>
        <w:rPr>
          <w:rFonts w:hint="eastAsia" w:ascii="宋体" w:hAnsi="宋体"/>
          <w:szCs w:val="21"/>
        </w:rPr>
      </w:pPr>
    </w:p>
    <w:p w14:paraId="2C819055">
      <w:pPr>
        <w:spacing w:line="360" w:lineRule="auto"/>
        <w:jc w:val="center"/>
        <w:rPr>
          <w:rFonts w:hint="eastAsia" w:ascii="宋体" w:hAnsi="宋体"/>
          <w:b/>
          <w:bCs/>
          <w:szCs w:val="21"/>
        </w:rPr>
      </w:pPr>
      <w:r>
        <w:rPr>
          <w:rFonts w:hint="eastAsia" w:ascii="宋体" w:hAnsi="宋体"/>
          <w:b/>
          <w:bCs/>
          <w:szCs w:val="21"/>
        </w:rPr>
        <w:t>保险金申请与给付</w:t>
      </w:r>
    </w:p>
    <w:p w14:paraId="73434D92">
      <w:pPr>
        <w:adjustRightInd w:val="0"/>
        <w:spacing w:line="360" w:lineRule="auto"/>
        <w:ind w:firstLine="422" w:firstLineChars="200"/>
        <w:jc w:val="left"/>
        <w:rPr>
          <w:rFonts w:hint="eastAsia" w:ascii="宋体" w:hAnsi="宋体" w:cs="宋体"/>
          <w:b/>
          <w:bCs/>
          <w:szCs w:val="21"/>
        </w:rPr>
      </w:pPr>
      <w:r>
        <w:rPr>
          <w:rFonts w:hint="eastAsia" w:ascii="宋体" w:hAnsi="宋体" w:cs="宋体"/>
          <w:b/>
          <w:bCs/>
          <w:szCs w:val="21"/>
        </w:rPr>
        <w:t>第十</w:t>
      </w:r>
      <w:r>
        <w:rPr>
          <w:b/>
          <w:color w:val="000000" w:themeColor="text1"/>
          <w:szCs w:val="21"/>
          <w14:textFill>
            <w14:solidFill>
              <w14:schemeClr w14:val="tx1"/>
            </w14:solidFill>
          </w14:textFill>
        </w:rPr>
        <w:t>三</w:t>
      </w:r>
      <w:r>
        <w:rPr>
          <w:rFonts w:hint="eastAsia" w:ascii="宋体" w:hAnsi="宋体" w:cs="宋体"/>
          <w:b/>
          <w:bCs/>
          <w:szCs w:val="21"/>
        </w:rPr>
        <w:t>条  保险金申请人</w:t>
      </w:r>
      <w:r>
        <w:rPr>
          <w:rFonts w:hint="eastAsia" w:ascii="宋体" w:hAnsi="宋体" w:cs="宋体"/>
          <w:b/>
          <w:bCs/>
          <w:color w:val="000000" w:themeColor="text1"/>
          <w:spacing w:val="9"/>
          <w:szCs w:val="21"/>
          <w14:textFill>
            <w14:solidFill>
              <w14:schemeClr w14:val="tx1"/>
            </w14:solidFill>
          </w14:textFill>
        </w:rPr>
        <w:t>（释义九）</w:t>
      </w:r>
      <w:r>
        <w:rPr>
          <w:rFonts w:hint="eastAsia" w:ascii="宋体" w:hAnsi="宋体" w:cs="宋体"/>
          <w:szCs w:val="21"/>
        </w:rPr>
        <w:t>向保险人申请给付保险金时，应提交以下材料。保险金申请人因特殊原因不能提供以下材料的，应提供其他合法有效的材料。</w:t>
      </w:r>
      <w:r>
        <w:rPr>
          <w:rFonts w:hint="eastAsia" w:ascii="宋体" w:hAnsi="宋体" w:cs="宋体"/>
          <w:b/>
          <w:bCs/>
          <w:szCs w:val="21"/>
        </w:rPr>
        <w:t>保险金申请人未能提供有关材料，导致保险人无法核实该申请的真实性的，保险人对无法核实部分不承担给付保险金的责任。</w:t>
      </w:r>
    </w:p>
    <w:p w14:paraId="067C16B1">
      <w:pPr>
        <w:adjustRightInd w:val="0"/>
        <w:spacing w:line="360" w:lineRule="auto"/>
        <w:ind w:firstLine="422" w:firstLineChars="200"/>
        <w:jc w:val="left"/>
        <w:rPr>
          <w:rFonts w:hint="eastAsia" w:ascii="宋体" w:hAnsi="宋体" w:cs="宋体"/>
          <w:b/>
          <w:bCs/>
          <w:szCs w:val="21"/>
        </w:rPr>
      </w:pPr>
      <w:r>
        <w:rPr>
          <w:rFonts w:hint="eastAsia" w:ascii="宋体" w:hAnsi="宋体" w:cs="宋体"/>
          <w:b/>
          <w:bCs/>
          <w:szCs w:val="21"/>
        </w:rPr>
        <w:t>（一）意外伤害身故保险金申请</w:t>
      </w:r>
    </w:p>
    <w:p w14:paraId="3282C01B">
      <w:pPr>
        <w:adjustRightInd w:val="0"/>
        <w:spacing w:line="360" w:lineRule="auto"/>
        <w:ind w:firstLine="420" w:firstLineChars="200"/>
        <w:jc w:val="left"/>
        <w:rPr>
          <w:rFonts w:hint="eastAsia" w:ascii="宋体" w:hAnsi="宋体" w:cs="宋体"/>
          <w:szCs w:val="21"/>
        </w:rPr>
      </w:pPr>
      <w:r>
        <w:rPr>
          <w:rFonts w:hint="eastAsia" w:ascii="宋体" w:hAnsi="宋体" w:cs="宋体"/>
          <w:szCs w:val="21"/>
        </w:rPr>
        <w:t>1、保险金给付申请书；</w:t>
      </w:r>
    </w:p>
    <w:p w14:paraId="3B7EB251">
      <w:pPr>
        <w:adjustRightInd w:val="0"/>
        <w:spacing w:line="360" w:lineRule="auto"/>
        <w:ind w:firstLine="420" w:firstLineChars="200"/>
        <w:jc w:val="left"/>
        <w:rPr>
          <w:rFonts w:hint="eastAsia" w:ascii="宋体" w:hAnsi="宋体" w:cs="宋体"/>
          <w:szCs w:val="21"/>
        </w:rPr>
      </w:pPr>
      <w:r>
        <w:rPr>
          <w:rFonts w:hint="eastAsia" w:ascii="宋体" w:hAnsi="宋体" w:cs="宋体"/>
          <w:szCs w:val="21"/>
        </w:rPr>
        <w:t>2、</w:t>
      </w:r>
      <w:r>
        <w:rPr>
          <w:rFonts w:hint="eastAsia" w:ascii="宋体" w:hAnsi="宋体" w:cs="宋体"/>
          <w:color w:val="000000" w:themeColor="text1"/>
          <w:spacing w:val="9"/>
          <w:szCs w:val="21"/>
          <w14:textFill>
            <w14:solidFill>
              <w14:schemeClr w14:val="tx1"/>
            </w14:solidFill>
          </w14:textFill>
        </w:rPr>
        <w:t>保险合同凭证</w:t>
      </w:r>
      <w:r>
        <w:rPr>
          <w:rFonts w:hint="eastAsia" w:ascii="宋体" w:hAnsi="宋体" w:cs="宋体"/>
          <w:szCs w:val="21"/>
        </w:rPr>
        <w:t>；</w:t>
      </w:r>
    </w:p>
    <w:p w14:paraId="629E9168">
      <w:pPr>
        <w:adjustRightInd w:val="0"/>
        <w:spacing w:line="360" w:lineRule="auto"/>
        <w:ind w:firstLine="420" w:firstLineChars="200"/>
        <w:jc w:val="left"/>
        <w:rPr>
          <w:rFonts w:hint="eastAsia" w:ascii="宋体" w:hAnsi="宋体" w:cs="宋体"/>
          <w:szCs w:val="21"/>
        </w:rPr>
      </w:pPr>
      <w:r>
        <w:rPr>
          <w:rFonts w:hint="eastAsia" w:ascii="宋体" w:hAnsi="宋体" w:cs="宋体"/>
          <w:szCs w:val="21"/>
        </w:rPr>
        <w:t>3、</w:t>
      </w:r>
      <w:bookmarkStart w:id="8" w:name="OLE_LINK6"/>
      <w:r>
        <w:rPr>
          <w:rFonts w:hint="eastAsia" w:ascii="宋体" w:hAnsi="宋体" w:cs="宋体"/>
          <w:color w:val="000000" w:themeColor="text1"/>
          <w:spacing w:val="9"/>
          <w:szCs w:val="21"/>
          <w14:textFill>
            <w14:solidFill>
              <w14:schemeClr w14:val="tx1"/>
            </w14:solidFill>
          </w14:textFill>
        </w:rPr>
        <w:t>保险金申请人的有效身份证件</w:t>
      </w:r>
      <w:bookmarkEnd w:id="8"/>
      <w:r>
        <w:rPr>
          <w:rFonts w:hint="eastAsia" w:ascii="宋体" w:hAnsi="宋体" w:cs="宋体"/>
          <w:szCs w:val="21"/>
        </w:rPr>
        <w:t>；</w:t>
      </w:r>
    </w:p>
    <w:p w14:paraId="3A1B8284">
      <w:pPr>
        <w:adjustRightInd w:val="0"/>
        <w:spacing w:line="360" w:lineRule="auto"/>
        <w:ind w:firstLine="420" w:firstLineChars="200"/>
        <w:jc w:val="left"/>
        <w:rPr>
          <w:rFonts w:hint="eastAsia" w:ascii="宋体" w:hAnsi="宋体" w:cs="宋体"/>
          <w:color w:val="000000" w:themeColor="text1"/>
          <w:spacing w:val="9"/>
          <w:szCs w:val="21"/>
          <w14:textFill>
            <w14:solidFill>
              <w14:schemeClr w14:val="tx1"/>
            </w14:solidFill>
          </w14:textFill>
        </w:rPr>
      </w:pPr>
      <w:r>
        <w:rPr>
          <w:rFonts w:hint="eastAsia" w:ascii="宋体" w:hAnsi="宋体" w:cs="宋体"/>
          <w:szCs w:val="21"/>
        </w:rPr>
        <w:t>4、</w:t>
      </w:r>
      <w:r>
        <w:rPr>
          <w:rFonts w:hint="eastAsia" w:ascii="宋体" w:hAnsi="宋体" w:cs="宋体"/>
          <w:color w:val="000000" w:themeColor="text1"/>
          <w:spacing w:val="9"/>
          <w:szCs w:val="21"/>
          <w14:textFill>
            <w14:solidFill>
              <w14:schemeClr w14:val="tx1"/>
            </w14:solidFill>
          </w14:textFill>
        </w:rPr>
        <w:t>被保险人死亡证明材料：</w:t>
      </w:r>
    </w:p>
    <w:p w14:paraId="3B50B3C7">
      <w:pPr>
        <w:pStyle w:val="8"/>
        <w:spacing w:before="0" w:beforeAutospacing="0" w:after="0" w:afterAutospacing="0" w:line="360" w:lineRule="auto"/>
        <w:ind w:firstLine="456" w:firstLineChars="200"/>
        <w:jc w:val="both"/>
        <w:rPr>
          <w:rFonts w:cs="宋体"/>
          <w:color w:val="000000" w:themeColor="text1"/>
          <w:spacing w:val="9"/>
          <w:sz w:val="21"/>
          <w:szCs w:val="21"/>
          <w14:textFill>
            <w14:solidFill>
              <w14:schemeClr w14:val="tx1"/>
            </w14:solidFill>
          </w14:textFill>
        </w:rPr>
      </w:pPr>
      <w:bookmarkStart w:id="9" w:name="OLE_LINK19"/>
      <w:r>
        <w:rPr>
          <w:rFonts w:cs="宋体"/>
          <w:color w:val="000000" w:themeColor="text1"/>
          <w:spacing w:val="9"/>
          <w:sz w:val="21"/>
          <w:szCs w:val="21"/>
          <w14:textFill>
            <w14:solidFill>
              <w14:schemeClr w14:val="tx1"/>
            </w14:solidFill>
          </w14:textFill>
        </w:rPr>
        <w:t>（1）国务院卫生行政部门规定的医疗机构、公安部门、司法部门等有权机构出具的被保险人的死亡证明；</w:t>
      </w:r>
    </w:p>
    <w:p w14:paraId="5B076F74">
      <w:pPr>
        <w:pStyle w:val="8"/>
        <w:spacing w:before="0" w:beforeAutospacing="0" w:after="0" w:afterAutospacing="0" w:line="360" w:lineRule="auto"/>
        <w:ind w:firstLine="456" w:firstLineChars="200"/>
        <w:jc w:val="both"/>
        <w:rPr>
          <w:rFonts w:cs="宋体"/>
          <w:color w:val="000000" w:themeColor="text1"/>
          <w:spacing w:val="9"/>
          <w:sz w:val="21"/>
          <w:szCs w:val="21"/>
          <w14:textFill>
            <w14:solidFill>
              <w14:schemeClr w14:val="tx1"/>
            </w14:solidFill>
          </w14:textFill>
        </w:rPr>
      </w:pPr>
      <w:r>
        <w:rPr>
          <w:rFonts w:cs="宋体"/>
          <w:color w:val="000000" w:themeColor="text1"/>
          <w:spacing w:val="9"/>
          <w:sz w:val="21"/>
          <w:szCs w:val="21"/>
          <w14:textFill>
            <w14:solidFill>
              <w14:schemeClr w14:val="tx1"/>
            </w14:solidFill>
          </w14:textFill>
        </w:rPr>
        <w:t>（2）若非上述机构出具的死亡证明（如村委会/居委会出具的死亡证明），则须同时提供合法有效的户籍注销证明</w:t>
      </w:r>
      <w:bookmarkEnd w:id="9"/>
      <w:r>
        <w:rPr>
          <w:rFonts w:cs="宋体"/>
          <w:color w:val="000000" w:themeColor="text1"/>
          <w:spacing w:val="9"/>
          <w:sz w:val="21"/>
          <w:szCs w:val="21"/>
          <w14:textFill>
            <w14:solidFill>
              <w14:schemeClr w14:val="tx1"/>
            </w14:solidFill>
          </w14:textFill>
        </w:rPr>
        <w:t>；</w:t>
      </w:r>
    </w:p>
    <w:p w14:paraId="6E74B312">
      <w:pPr>
        <w:adjustRightInd w:val="0"/>
        <w:spacing w:line="360" w:lineRule="auto"/>
        <w:ind w:firstLine="420" w:firstLineChars="200"/>
        <w:jc w:val="left"/>
        <w:rPr>
          <w:rFonts w:hint="eastAsia" w:ascii="宋体" w:hAnsi="宋体" w:cs="宋体"/>
          <w:szCs w:val="21"/>
        </w:rPr>
      </w:pPr>
      <w:r>
        <w:rPr>
          <w:rFonts w:hint="eastAsia" w:ascii="宋体" w:hAnsi="宋体" w:cs="宋体"/>
          <w:szCs w:val="21"/>
        </w:rPr>
        <w:t>5、保险金申请人所能提供的与确认保险事故的性质、原因、损失程度等有关的其他证明和资料；</w:t>
      </w:r>
    </w:p>
    <w:p w14:paraId="5F7B38BB">
      <w:pPr>
        <w:adjustRightInd w:val="0"/>
        <w:spacing w:line="360" w:lineRule="auto"/>
        <w:ind w:firstLine="420" w:firstLineChars="200"/>
        <w:jc w:val="left"/>
        <w:rPr>
          <w:rFonts w:ascii="宋体" w:hAnsi="宋体" w:cs="宋体"/>
          <w:color w:val="000000" w:themeColor="text1"/>
          <w:spacing w:val="9"/>
          <w:szCs w:val="21"/>
          <w14:textFill>
            <w14:solidFill>
              <w14:schemeClr w14:val="tx1"/>
            </w14:solidFill>
          </w14:textFill>
        </w:rPr>
      </w:pPr>
      <w:r>
        <w:rPr>
          <w:rFonts w:hint="eastAsia" w:ascii="宋体" w:hAnsi="宋体" w:cs="宋体"/>
          <w:szCs w:val="21"/>
        </w:rPr>
        <w:t>6、</w:t>
      </w:r>
      <w:r>
        <w:rPr>
          <w:rFonts w:hint="eastAsia" w:ascii="宋体" w:hAnsi="宋体" w:cs="宋体"/>
          <w:color w:val="000000" w:themeColor="text1"/>
          <w:spacing w:val="9"/>
          <w:szCs w:val="21"/>
          <w14:textFill>
            <w14:solidFill>
              <w14:schemeClr w14:val="tx1"/>
            </w14:solidFill>
          </w14:textFill>
        </w:rPr>
        <w:t>若保险金申请人委托他人申请的，还应提供授权委托书原件、委托人和受托人的身份证明等相关证明文件。受益人为无民事行为能力人或者限制民事行为能力人的，由其监护人代为申领保险金，并需要提供监护人的身份证明等资料；</w:t>
      </w:r>
    </w:p>
    <w:p w14:paraId="616E64BF">
      <w:pPr>
        <w:adjustRightInd w:val="0"/>
        <w:spacing w:line="360" w:lineRule="auto"/>
        <w:ind w:firstLine="456" w:firstLineChars="200"/>
        <w:jc w:val="left"/>
        <w:rPr>
          <w:rFonts w:hint="eastAsia" w:ascii="宋体" w:hAnsi="宋体" w:cs="宋体"/>
          <w:szCs w:val="21"/>
        </w:rPr>
      </w:pPr>
      <w:r>
        <w:rPr>
          <w:rFonts w:ascii="宋体" w:hAnsi="宋体" w:cs="宋体"/>
          <w:color w:val="000000" w:themeColor="text1"/>
          <w:spacing w:val="9"/>
          <w:szCs w:val="21"/>
          <w14:textFill>
            <w14:solidFill>
              <w14:schemeClr w14:val="tx1"/>
            </w14:solidFill>
          </w14:textFill>
        </w:rPr>
        <w:t>7</w:t>
      </w:r>
      <w:r>
        <w:rPr>
          <w:rFonts w:hint="eastAsia" w:ascii="宋体" w:hAnsi="宋体" w:cs="宋体"/>
          <w:color w:val="000000" w:themeColor="text1"/>
          <w:spacing w:val="9"/>
          <w:szCs w:val="21"/>
          <w14:textFill>
            <w14:solidFill>
              <w14:schemeClr w14:val="tx1"/>
            </w14:solidFill>
          </w14:textFill>
        </w:rPr>
        <w:t>、</w:t>
      </w:r>
      <w:r>
        <w:rPr>
          <w:rFonts w:hint="eastAsia"/>
          <w:color w:val="000000" w:themeColor="text1"/>
          <w:spacing w:val="9"/>
          <w:szCs w:val="21"/>
          <w14:textFill>
            <w14:solidFill>
              <w14:schemeClr w14:val="tx1"/>
            </w14:solidFill>
          </w14:textFill>
        </w:rPr>
        <w:t>保险金作为被保险人遗产时，继承人还必须提供可证明其合法继承权的相关权利文件（如加盖当地公安局或派出所公章的亲属关系证明、遗嘱、继承公证书或法院判决、调解生效的法律文书等）</w:t>
      </w:r>
      <w:r>
        <w:rPr>
          <w:rFonts w:hint="eastAsia" w:ascii="宋体" w:hAnsi="宋体" w:cs="宋体"/>
          <w:szCs w:val="21"/>
        </w:rPr>
        <w:t>。</w:t>
      </w:r>
    </w:p>
    <w:p w14:paraId="716B566D">
      <w:pPr>
        <w:adjustRightInd w:val="0"/>
        <w:spacing w:line="360" w:lineRule="auto"/>
        <w:ind w:firstLine="422" w:firstLineChars="200"/>
        <w:jc w:val="left"/>
        <w:rPr>
          <w:rFonts w:hint="eastAsia" w:ascii="宋体" w:hAnsi="宋体"/>
          <w:b/>
          <w:bCs/>
          <w:szCs w:val="21"/>
        </w:rPr>
      </w:pPr>
      <w:r>
        <w:rPr>
          <w:rFonts w:hint="eastAsia" w:ascii="宋体" w:hAnsi="宋体" w:cs="宋体"/>
          <w:b/>
          <w:bCs/>
          <w:szCs w:val="21"/>
        </w:rPr>
        <w:t>（二）意外伤害伤残保</w:t>
      </w:r>
      <w:r>
        <w:rPr>
          <w:rFonts w:hint="eastAsia" w:ascii="宋体" w:hAnsi="宋体"/>
          <w:b/>
          <w:bCs/>
          <w:szCs w:val="21"/>
        </w:rPr>
        <w:t>险金申请</w:t>
      </w:r>
    </w:p>
    <w:p w14:paraId="499F928C">
      <w:pPr>
        <w:adjustRightInd w:val="0"/>
        <w:spacing w:line="360" w:lineRule="auto"/>
        <w:ind w:firstLine="420" w:firstLineChars="200"/>
        <w:jc w:val="left"/>
        <w:rPr>
          <w:rFonts w:hint="eastAsia" w:ascii="宋体" w:hAnsi="宋体"/>
          <w:szCs w:val="21"/>
        </w:rPr>
      </w:pPr>
      <w:r>
        <w:rPr>
          <w:rFonts w:hint="eastAsia" w:ascii="宋体" w:hAnsi="宋体"/>
          <w:szCs w:val="21"/>
        </w:rPr>
        <w:t>（1）保险金给付申请书；</w:t>
      </w:r>
    </w:p>
    <w:p w14:paraId="49BD36D3">
      <w:pPr>
        <w:adjustRightInd w:val="0"/>
        <w:spacing w:line="360" w:lineRule="auto"/>
        <w:ind w:firstLine="420" w:firstLineChars="200"/>
        <w:jc w:val="left"/>
        <w:rPr>
          <w:rFonts w:hint="eastAsia" w:ascii="宋体" w:hAnsi="宋体"/>
          <w:szCs w:val="21"/>
        </w:rPr>
      </w:pPr>
      <w:r>
        <w:rPr>
          <w:rFonts w:hint="eastAsia" w:ascii="宋体" w:hAnsi="宋体"/>
          <w:szCs w:val="21"/>
        </w:rPr>
        <w:t>（2）</w:t>
      </w:r>
      <w:r>
        <w:rPr>
          <w:rFonts w:hint="eastAsia"/>
          <w:color w:val="000000" w:themeColor="text1"/>
          <w:spacing w:val="9"/>
          <w:szCs w:val="21"/>
          <w14:textFill>
            <w14:solidFill>
              <w14:schemeClr w14:val="tx1"/>
            </w14:solidFill>
          </w14:textFill>
        </w:rPr>
        <w:t>保险合同凭证</w:t>
      </w:r>
      <w:r>
        <w:rPr>
          <w:rFonts w:hint="eastAsia" w:ascii="宋体" w:hAnsi="宋体"/>
          <w:szCs w:val="21"/>
        </w:rPr>
        <w:t>；</w:t>
      </w:r>
    </w:p>
    <w:p w14:paraId="458A8D31">
      <w:pPr>
        <w:adjustRightInd w:val="0"/>
        <w:spacing w:line="360" w:lineRule="auto"/>
        <w:ind w:firstLine="420" w:firstLineChars="200"/>
        <w:jc w:val="left"/>
        <w:rPr>
          <w:rFonts w:hint="eastAsia" w:ascii="宋体" w:hAnsi="宋体"/>
          <w:szCs w:val="21"/>
        </w:rPr>
      </w:pPr>
      <w:r>
        <w:rPr>
          <w:rFonts w:hint="eastAsia" w:ascii="宋体" w:hAnsi="宋体"/>
          <w:szCs w:val="21"/>
        </w:rPr>
        <w:t>（3）被保险人有效身份证明；</w:t>
      </w:r>
    </w:p>
    <w:p w14:paraId="28B8E67D">
      <w:pPr>
        <w:adjustRightInd w:val="0"/>
        <w:spacing w:line="360" w:lineRule="auto"/>
        <w:ind w:firstLine="420" w:firstLineChars="200"/>
        <w:jc w:val="left"/>
        <w:rPr>
          <w:rFonts w:hint="eastAsia" w:ascii="宋体" w:hAnsi="宋体"/>
          <w:szCs w:val="21"/>
        </w:rPr>
      </w:pPr>
      <w:r>
        <w:rPr>
          <w:rFonts w:hint="eastAsia" w:ascii="宋体" w:hAnsi="宋体"/>
          <w:szCs w:val="21"/>
        </w:rPr>
        <w:t>（4）</w:t>
      </w:r>
      <w:r>
        <w:rPr>
          <w:rFonts w:hint="eastAsia"/>
          <w:color w:val="000000" w:themeColor="text1"/>
          <w:spacing w:val="9"/>
          <w:szCs w:val="21"/>
          <w14:textFill>
            <w14:solidFill>
              <w14:schemeClr w14:val="tx1"/>
            </w14:solidFill>
          </w14:textFill>
        </w:rPr>
        <w:t>由投保人和保险人双方认可的医疗机构或者有资质的鉴定机构根据保险合同约定的伤残评定标准出具的被保险人伤残程度的资料或者身体伤残程度评定书</w:t>
      </w:r>
      <w:r>
        <w:rPr>
          <w:rFonts w:hint="eastAsia" w:ascii="宋体" w:hAnsi="宋体"/>
          <w:szCs w:val="21"/>
        </w:rPr>
        <w:t>；</w:t>
      </w:r>
    </w:p>
    <w:p w14:paraId="0F04BBF9">
      <w:pPr>
        <w:adjustRightInd w:val="0"/>
        <w:spacing w:line="360" w:lineRule="auto"/>
        <w:ind w:firstLine="420" w:firstLineChars="200"/>
        <w:jc w:val="left"/>
        <w:rPr>
          <w:rFonts w:hint="eastAsia" w:ascii="宋体" w:hAnsi="宋体"/>
          <w:szCs w:val="21"/>
        </w:rPr>
      </w:pPr>
      <w:r>
        <w:rPr>
          <w:rFonts w:hint="eastAsia" w:ascii="宋体" w:hAnsi="宋体"/>
          <w:szCs w:val="21"/>
        </w:rPr>
        <w:t>（5）</w:t>
      </w:r>
      <w:r>
        <w:rPr>
          <w:rFonts w:hint="eastAsia"/>
          <w:color w:val="000000" w:themeColor="text1"/>
          <w:spacing w:val="9"/>
          <w:szCs w:val="21"/>
          <w14:textFill>
            <w14:solidFill>
              <w14:schemeClr w14:val="tx1"/>
            </w14:solidFill>
          </w14:textFill>
        </w:rPr>
        <w:t>保险金申请人所能提供的与确认保险事故的性质、原因、损失程度等有关的其他证明和资料</w:t>
      </w:r>
      <w:r>
        <w:rPr>
          <w:rFonts w:hint="eastAsia" w:ascii="宋体" w:hAnsi="宋体"/>
          <w:szCs w:val="21"/>
        </w:rPr>
        <w:t>；</w:t>
      </w:r>
    </w:p>
    <w:p w14:paraId="1A319350">
      <w:pPr>
        <w:adjustRightInd w:val="0"/>
        <w:spacing w:line="360" w:lineRule="auto"/>
        <w:ind w:firstLine="420" w:firstLineChars="200"/>
        <w:jc w:val="left"/>
        <w:rPr>
          <w:rFonts w:hint="eastAsia" w:ascii="宋体" w:hAnsi="宋体"/>
          <w:b/>
          <w:bCs/>
          <w:szCs w:val="21"/>
        </w:rPr>
      </w:pPr>
      <w:r>
        <w:rPr>
          <w:rFonts w:hint="eastAsia" w:ascii="宋体" w:hAnsi="宋体"/>
          <w:szCs w:val="21"/>
        </w:rPr>
        <w:t>（6）若保险金申请人委托他人申请的，还应提供授权委托书原件、委托人和受托人的身份证明等相关证明文件。受益人为无民事行为能力人或限制民事行为能力人的，由其监护人代为申领保险金，并需要提供监护人的身份证明等资料。</w:t>
      </w:r>
    </w:p>
    <w:p w14:paraId="0365E891">
      <w:pPr>
        <w:adjustRightInd w:val="0"/>
        <w:spacing w:line="360" w:lineRule="auto"/>
        <w:ind w:firstLine="422" w:firstLineChars="200"/>
        <w:jc w:val="left"/>
        <w:rPr>
          <w:rFonts w:hint="eastAsia" w:ascii="宋体" w:hAnsi="宋体"/>
          <w:b/>
          <w:bCs/>
          <w:szCs w:val="21"/>
        </w:rPr>
      </w:pPr>
      <w:r>
        <w:rPr>
          <w:rFonts w:hint="eastAsia" w:ascii="宋体" w:hAnsi="宋体"/>
          <w:b/>
          <w:bCs/>
          <w:szCs w:val="21"/>
        </w:rPr>
        <w:t>（三）意外伤害医疗费用保险金申请</w:t>
      </w:r>
    </w:p>
    <w:p w14:paraId="5C5FBD15">
      <w:pPr>
        <w:adjustRightInd w:val="0"/>
        <w:spacing w:line="360" w:lineRule="auto"/>
        <w:ind w:firstLine="420" w:firstLineChars="200"/>
        <w:jc w:val="left"/>
        <w:rPr>
          <w:rFonts w:hint="eastAsia" w:ascii="宋体" w:hAnsi="宋体"/>
          <w:szCs w:val="21"/>
        </w:rPr>
      </w:pPr>
      <w:r>
        <w:rPr>
          <w:rFonts w:hint="eastAsia" w:ascii="宋体" w:hAnsi="宋体"/>
          <w:szCs w:val="21"/>
        </w:rPr>
        <w:t>（1）保险金给付申请书；</w:t>
      </w:r>
    </w:p>
    <w:p w14:paraId="16B4D4BD">
      <w:pPr>
        <w:adjustRightInd w:val="0"/>
        <w:spacing w:line="360" w:lineRule="auto"/>
        <w:ind w:firstLine="420" w:firstLineChars="200"/>
        <w:jc w:val="left"/>
        <w:rPr>
          <w:rFonts w:hint="eastAsia" w:ascii="宋体" w:hAnsi="宋体"/>
          <w:szCs w:val="21"/>
        </w:rPr>
      </w:pPr>
      <w:r>
        <w:rPr>
          <w:rFonts w:hint="eastAsia" w:ascii="宋体" w:hAnsi="宋体"/>
          <w:szCs w:val="21"/>
        </w:rPr>
        <w:t>（2）</w:t>
      </w:r>
      <w:r>
        <w:rPr>
          <w:rFonts w:hint="eastAsia"/>
          <w:color w:val="000000" w:themeColor="text1"/>
          <w:spacing w:val="9"/>
          <w:szCs w:val="21"/>
          <w14:textFill>
            <w14:solidFill>
              <w14:schemeClr w14:val="tx1"/>
            </w14:solidFill>
          </w14:textFill>
        </w:rPr>
        <w:t>保险合同凭证</w:t>
      </w:r>
      <w:r>
        <w:rPr>
          <w:rFonts w:hint="eastAsia" w:ascii="宋体" w:hAnsi="宋体"/>
          <w:szCs w:val="21"/>
        </w:rPr>
        <w:t>；</w:t>
      </w:r>
    </w:p>
    <w:p w14:paraId="2BD5354C">
      <w:pPr>
        <w:adjustRightInd w:val="0"/>
        <w:spacing w:line="360" w:lineRule="auto"/>
        <w:ind w:firstLine="420" w:firstLineChars="200"/>
        <w:jc w:val="left"/>
        <w:rPr>
          <w:rFonts w:hint="eastAsia" w:ascii="宋体" w:hAnsi="宋体"/>
          <w:szCs w:val="21"/>
        </w:rPr>
      </w:pPr>
      <w:r>
        <w:rPr>
          <w:rFonts w:hint="eastAsia" w:ascii="宋体" w:hAnsi="宋体"/>
          <w:szCs w:val="21"/>
        </w:rPr>
        <w:t>（3）</w:t>
      </w:r>
      <w:bookmarkStart w:id="10" w:name="OLE_LINK7"/>
      <w:r>
        <w:rPr>
          <w:rFonts w:hint="eastAsia"/>
          <w:color w:val="000000" w:themeColor="text1"/>
          <w:spacing w:val="9"/>
          <w:szCs w:val="21"/>
          <w14:textFill>
            <w14:solidFill>
              <w14:schemeClr w14:val="tx1"/>
            </w14:solidFill>
          </w14:textFill>
        </w:rPr>
        <w:t>保险金申请人的有效身份证件</w:t>
      </w:r>
      <w:bookmarkEnd w:id="10"/>
      <w:r>
        <w:rPr>
          <w:rFonts w:hint="eastAsia" w:ascii="宋体" w:hAnsi="宋体"/>
          <w:szCs w:val="21"/>
        </w:rPr>
        <w:t>；</w:t>
      </w:r>
    </w:p>
    <w:p w14:paraId="536CB54B">
      <w:pPr>
        <w:adjustRightInd w:val="0"/>
        <w:spacing w:line="360" w:lineRule="auto"/>
        <w:ind w:firstLine="420" w:firstLineChars="200"/>
        <w:jc w:val="left"/>
        <w:rPr>
          <w:rFonts w:hint="eastAsia" w:ascii="宋体" w:hAnsi="宋体"/>
          <w:szCs w:val="21"/>
        </w:rPr>
      </w:pPr>
      <w:r>
        <w:rPr>
          <w:rFonts w:hint="eastAsia" w:ascii="宋体" w:hAnsi="宋体"/>
          <w:szCs w:val="21"/>
        </w:rPr>
        <w:t>（4）医院出具的病历资料，包括但不限于门急诊病历、处方、住院病案首页、入院记录、手术记录、出院记录、病理报告、检验报告等辅助检查报告单、医学影像检查资料等；</w:t>
      </w:r>
    </w:p>
    <w:p w14:paraId="4222F9A1">
      <w:pPr>
        <w:adjustRightInd w:val="0"/>
        <w:spacing w:line="360" w:lineRule="auto"/>
        <w:ind w:firstLine="420" w:firstLineChars="200"/>
        <w:jc w:val="left"/>
        <w:rPr>
          <w:rFonts w:hint="eastAsia" w:ascii="宋体" w:hAnsi="宋体"/>
          <w:szCs w:val="21"/>
        </w:rPr>
      </w:pPr>
      <w:r>
        <w:rPr>
          <w:rFonts w:hint="eastAsia" w:ascii="宋体" w:hAnsi="宋体"/>
          <w:szCs w:val="21"/>
        </w:rPr>
        <w:t>（5）若被保险人未从其他途径获得医疗费用补偿，需提供医疗费用收据原件、医疗费用明细清单；若被保险人已从其他途径获得医疗费用补偿，需提供医疗费用明细清单、医疗费用收据复印件、医疗费用分割单原始凭证（如基本医疗保险或公费医疗结算单、保险人在内的任何商业保险机构出具的理赔分割单、与工作单位及侵权人或侵权责任承担方达成的赔偿协议或和解协议或法院判决、调解生效的法律文书等取得医疗费用补偿的证明）；</w:t>
      </w:r>
    </w:p>
    <w:p w14:paraId="39582FAB">
      <w:pPr>
        <w:adjustRightInd w:val="0"/>
        <w:spacing w:line="360" w:lineRule="auto"/>
        <w:ind w:firstLine="420" w:firstLineChars="200"/>
        <w:jc w:val="left"/>
        <w:rPr>
          <w:rFonts w:hint="eastAsia" w:ascii="宋体" w:hAnsi="宋体"/>
          <w:szCs w:val="21"/>
        </w:rPr>
      </w:pPr>
      <w:r>
        <w:rPr>
          <w:rFonts w:hint="eastAsia" w:ascii="宋体" w:hAnsi="宋体"/>
          <w:szCs w:val="21"/>
        </w:rPr>
        <w:t>（6）保险金申请人所能提供的与确认保险事故的性质、原因、伤害程度等有关的其他证明和资料；</w:t>
      </w:r>
    </w:p>
    <w:p w14:paraId="5C54CA30">
      <w:pPr>
        <w:adjustRightInd w:val="0"/>
        <w:spacing w:line="360" w:lineRule="auto"/>
        <w:ind w:firstLine="420" w:firstLineChars="200"/>
        <w:jc w:val="left"/>
        <w:rPr>
          <w:rFonts w:hint="eastAsia" w:ascii="宋体" w:hAnsi="宋体"/>
          <w:szCs w:val="21"/>
        </w:rPr>
      </w:pPr>
      <w:r>
        <w:rPr>
          <w:rFonts w:hint="eastAsia" w:ascii="宋体" w:hAnsi="宋体"/>
          <w:szCs w:val="21"/>
        </w:rPr>
        <w:t>（7）</w:t>
      </w:r>
      <w:r>
        <w:rPr>
          <w:rFonts w:hint="eastAsia"/>
          <w:color w:val="000000" w:themeColor="text1"/>
          <w:spacing w:val="9"/>
          <w:szCs w:val="21"/>
          <w14:textFill>
            <w14:solidFill>
              <w14:schemeClr w14:val="tx1"/>
            </w14:solidFill>
          </w14:textFill>
        </w:rPr>
        <w:t>若保险金申请人委托他人申请的，还应提供授权委托书原件、委托人和受托人的身份证明等相关证明文件。受益人为无民事行为能力人或者限制民事行为能力人的，由其监护人代为申领保险金，并需要提供监护人的身份证明等资料</w:t>
      </w:r>
      <w:r>
        <w:rPr>
          <w:rFonts w:hint="eastAsia" w:ascii="宋体" w:hAnsi="宋体"/>
          <w:szCs w:val="21"/>
        </w:rPr>
        <w:t>。</w:t>
      </w:r>
    </w:p>
    <w:p w14:paraId="197DF683">
      <w:pPr>
        <w:pStyle w:val="8"/>
        <w:spacing w:before="0" w:beforeAutospacing="0" w:after="0" w:afterAutospacing="0" w:line="360" w:lineRule="auto"/>
        <w:ind w:firstLine="458" w:firstLineChars="200"/>
        <w:jc w:val="both"/>
        <w:rPr>
          <w:b/>
          <w:bCs/>
          <w:color w:val="000000" w:themeColor="text1"/>
          <w:spacing w:val="9"/>
          <w:sz w:val="21"/>
          <w:szCs w:val="21"/>
          <w14:textFill>
            <w14:solidFill>
              <w14:schemeClr w14:val="tx1"/>
            </w14:solidFill>
          </w14:textFill>
        </w:rPr>
      </w:pPr>
      <w:r>
        <w:rPr>
          <w:b/>
          <w:bCs/>
          <w:color w:val="000000" w:themeColor="text1"/>
          <w:spacing w:val="9"/>
          <w:sz w:val="21"/>
          <w:szCs w:val="21"/>
          <w14:textFill>
            <w14:solidFill>
              <w14:schemeClr w14:val="tx1"/>
            </w14:solidFill>
          </w14:textFill>
        </w:rPr>
        <w:t>以上证明和资料不完整的，保险人将及时一次性通知投保人、保险金申请人补充提供有关证明和资料。</w:t>
      </w:r>
    </w:p>
    <w:p w14:paraId="187B1EBE">
      <w:pPr>
        <w:autoSpaceDE w:val="0"/>
        <w:autoSpaceDN w:val="0"/>
        <w:adjustRightInd w:val="0"/>
        <w:spacing w:line="360" w:lineRule="auto"/>
        <w:ind w:firstLine="420" w:firstLineChars="200"/>
        <w:jc w:val="left"/>
        <w:rPr>
          <w:rFonts w:hint="eastAsia" w:ascii="宋体" w:hAnsi="宋体"/>
          <w:szCs w:val="21"/>
        </w:rPr>
      </w:pPr>
    </w:p>
    <w:p w14:paraId="465940F9">
      <w:pPr>
        <w:spacing w:line="360" w:lineRule="auto"/>
        <w:jc w:val="center"/>
        <w:rPr>
          <w:rFonts w:hint="eastAsia" w:ascii="宋体" w:hAnsi="宋体"/>
          <w:szCs w:val="21"/>
        </w:rPr>
      </w:pPr>
      <w:r>
        <w:rPr>
          <w:rFonts w:hint="eastAsia" w:ascii="宋体" w:hAnsi="宋体"/>
          <w:b/>
          <w:bCs/>
          <w:szCs w:val="21"/>
        </w:rPr>
        <w:t>释义</w:t>
      </w:r>
    </w:p>
    <w:p w14:paraId="38D98EE0">
      <w:pPr>
        <w:pStyle w:val="8"/>
        <w:spacing w:before="0" w:beforeAutospacing="0" w:after="0" w:afterAutospacing="0" w:line="360" w:lineRule="auto"/>
        <w:ind w:firstLine="458" w:firstLineChars="200"/>
        <w:jc w:val="both"/>
        <w:rPr>
          <w:color w:val="000000" w:themeColor="text1"/>
          <w:spacing w:val="9"/>
          <w:sz w:val="21"/>
          <w:szCs w:val="21"/>
          <w14:textFill>
            <w14:solidFill>
              <w14:schemeClr w14:val="tx1"/>
            </w14:solidFill>
          </w14:textFill>
        </w:rPr>
      </w:pPr>
      <w:r>
        <w:rPr>
          <w:b/>
          <w:bCs/>
          <w:color w:val="000000" w:themeColor="text1"/>
          <w:spacing w:val="9"/>
          <w:sz w:val="21"/>
          <w:szCs w:val="21"/>
          <w14:textFill>
            <w14:solidFill>
              <w14:schemeClr w14:val="tx1"/>
            </w14:solidFill>
          </w14:textFill>
        </w:rPr>
        <w:t>（一）意外伤害：</w:t>
      </w:r>
      <w:r>
        <w:rPr>
          <w:color w:val="000000" w:themeColor="text1"/>
          <w:spacing w:val="9"/>
          <w:sz w:val="21"/>
          <w:szCs w:val="21"/>
          <w14:textFill>
            <w14:solidFill>
              <w14:schemeClr w14:val="tx1"/>
            </w14:solidFill>
          </w14:textFill>
        </w:rPr>
        <w:t>指外来的、突发的、不可预见的、非本意的和非疾病的导致被保险人身体受到伤害的客观事件。</w:t>
      </w:r>
    </w:p>
    <w:p w14:paraId="2A98D896">
      <w:pPr>
        <w:pStyle w:val="8"/>
        <w:spacing w:before="0" w:beforeAutospacing="0" w:after="0" w:afterAutospacing="0" w:line="360" w:lineRule="auto"/>
        <w:ind w:firstLine="422" w:firstLineChars="200"/>
        <w:jc w:val="both"/>
        <w:rPr>
          <w:b/>
          <w:bCs/>
          <w:color w:val="000000" w:themeColor="text1"/>
          <w:spacing w:val="9"/>
          <w:sz w:val="21"/>
          <w:szCs w:val="21"/>
          <w14:textFill>
            <w14:solidFill>
              <w14:schemeClr w14:val="tx1"/>
            </w14:solidFill>
          </w14:textFill>
        </w:rPr>
      </w:pPr>
      <w:r>
        <w:rPr>
          <w:b/>
          <w:bCs/>
          <w:sz w:val="21"/>
          <w:szCs w:val="21"/>
        </w:rPr>
        <w:t>（二）医院：</w:t>
      </w:r>
      <w:r>
        <w:rPr>
          <w:color w:val="000000" w:themeColor="text1"/>
          <w:spacing w:val="9"/>
          <w:sz w:val="21"/>
          <w:szCs w:val="21"/>
          <w14:textFill>
            <w14:solidFill>
              <w14:schemeClr w14:val="tx1"/>
            </w14:solidFill>
          </w14:textFill>
        </w:rPr>
        <w:t>指国家卫生部医院等级分类中的二级或二级以上公立医院普通部及保险人扩展承保的医院普通部，</w:t>
      </w:r>
      <w:r>
        <w:rPr>
          <w:b/>
          <w:bCs/>
          <w:color w:val="000000" w:themeColor="text1"/>
          <w:spacing w:val="9"/>
          <w:sz w:val="21"/>
          <w:szCs w:val="21"/>
          <w14:textFill>
            <w14:solidFill>
              <w14:schemeClr w14:val="tx1"/>
            </w14:solidFill>
          </w14:textFill>
        </w:rPr>
        <w:t>但不包括观察室、特需医疗、国际医疗、联合病房、康复病房和干部病房以及附属于前述医院或单独作为诊所、康复、护理、疗养、戒酒、戒毒等或相类似的医疗机构或保险人不予承保的医院。</w:t>
      </w:r>
    </w:p>
    <w:p w14:paraId="651E9DA3">
      <w:pPr>
        <w:pStyle w:val="8"/>
        <w:spacing w:before="0" w:beforeAutospacing="0" w:after="0" w:afterAutospacing="0" w:line="360" w:lineRule="auto"/>
        <w:ind w:firstLine="456" w:firstLineChars="200"/>
        <w:jc w:val="both"/>
        <w:rPr>
          <w:color w:val="000000" w:themeColor="text1"/>
          <w:spacing w:val="9"/>
          <w:sz w:val="21"/>
          <w:szCs w:val="21"/>
          <w14:textFill>
            <w14:solidFill>
              <w14:schemeClr w14:val="tx1"/>
            </w14:solidFill>
          </w14:textFill>
        </w:rPr>
      </w:pPr>
      <w:r>
        <w:rPr>
          <w:color w:val="000000" w:themeColor="text1"/>
          <w:spacing w:val="9"/>
          <w:sz w:val="21"/>
          <w:szCs w:val="21"/>
          <w14:textFill>
            <w14:solidFill>
              <w14:schemeClr w14:val="tx1"/>
            </w14:solidFill>
          </w14:textFill>
        </w:rPr>
        <w:t>同时该医院必须具有符合有关医院管理规定设置标准的医疗设备，并且全日二十四小时有合格医师及护士驻院提供医疗和护理等服务。</w:t>
      </w:r>
    </w:p>
    <w:p w14:paraId="16FF3BB3">
      <w:pPr>
        <w:adjustRightInd w:val="0"/>
        <w:spacing w:line="360" w:lineRule="auto"/>
        <w:ind w:firstLine="422" w:firstLineChars="200"/>
        <w:jc w:val="left"/>
        <w:rPr>
          <w:rFonts w:hint="eastAsia" w:ascii="宋体" w:hAnsi="宋体"/>
          <w:szCs w:val="21"/>
        </w:rPr>
      </w:pPr>
      <w:r>
        <w:rPr>
          <w:rFonts w:hint="eastAsia" w:ascii="宋体" w:hAnsi="宋体"/>
          <w:b/>
          <w:bCs/>
          <w:szCs w:val="21"/>
        </w:rPr>
        <w:t>（三）</w:t>
      </w:r>
      <w:r>
        <w:rPr>
          <w:rFonts w:hint="eastAsia"/>
          <w:b/>
          <w:bCs/>
          <w:color w:val="000000" w:themeColor="text1"/>
          <w:spacing w:val="9"/>
          <w:szCs w:val="21"/>
          <w14:textFill>
            <w14:solidFill>
              <w14:schemeClr w14:val="tx1"/>
            </w14:solidFill>
          </w14:textFill>
        </w:rPr>
        <w:t>当地</w:t>
      </w:r>
      <w:r>
        <w:rPr>
          <w:rFonts w:hint="eastAsia"/>
          <w:color w:val="000000" w:themeColor="text1"/>
          <w:spacing w:val="9"/>
          <w:szCs w:val="21"/>
          <w14:textFill>
            <w14:solidFill>
              <w14:schemeClr w14:val="tx1"/>
            </w14:solidFill>
          </w14:textFill>
        </w:rPr>
        <w:t>：指被保险人的治疗地。</w:t>
      </w:r>
    </w:p>
    <w:p w14:paraId="3D558C7C">
      <w:pPr>
        <w:pStyle w:val="8"/>
        <w:spacing w:before="0" w:beforeAutospacing="0" w:after="0" w:afterAutospacing="0" w:line="360" w:lineRule="auto"/>
        <w:ind w:firstLine="458" w:firstLineChars="200"/>
        <w:jc w:val="both"/>
        <w:rPr>
          <w:color w:val="000000" w:themeColor="text1"/>
          <w:spacing w:val="9"/>
          <w:sz w:val="21"/>
          <w:szCs w:val="21"/>
          <w14:textFill>
            <w14:solidFill>
              <w14:schemeClr w14:val="tx1"/>
            </w14:solidFill>
          </w14:textFill>
        </w:rPr>
      </w:pPr>
      <w:r>
        <w:rPr>
          <w:b/>
          <w:bCs/>
          <w:color w:val="000000" w:themeColor="text1"/>
          <w:spacing w:val="9"/>
          <w:sz w:val="21"/>
          <w:szCs w:val="21"/>
          <w14:textFill>
            <w14:solidFill>
              <w14:schemeClr w14:val="tx1"/>
            </w14:solidFill>
          </w14:textFill>
        </w:rPr>
        <w:t>（四）基本医疗保险：</w:t>
      </w:r>
      <w:r>
        <w:rPr>
          <w:color w:val="000000" w:themeColor="text1"/>
          <w:spacing w:val="9"/>
          <w:sz w:val="21"/>
          <w:szCs w:val="21"/>
          <w14:textFill>
            <w14:solidFill>
              <w14:schemeClr w14:val="tx1"/>
            </w14:solidFill>
          </w14:textFill>
        </w:rPr>
        <w:t>包括职工基本医疗保险、城镇居民基本医疗保险、新型农村合作医疗等政府举办的基本医疗保险。</w:t>
      </w:r>
    </w:p>
    <w:p w14:paraId="0268821A">
      <w:pPr>
        <w:pStyle w:val="8"/>
        <w:spacing w:before="0" w:beforeAutospacing="0" w:after="0" w:afterAutospacing="0" w:line="360" w:lineRule="auto"/>
        <w:ind w:firstLine="458" w:firstLineChars="200"/>
        <w:jc w:val="both"/>
        <w:rPr>
          <w:color w:val="000000" w:themeColor="text1"/>
          <w:spacing w:val="9"/>
          <w:sz w:val="21"/>
          <w:szCs w:val="21"/>
          <w14:textFill>
            <w14:solidFill>
              <w14:schemeClr w14:val="tx1"/>
            </w14:solidFill>
          </w14:textFill>
        </w:rPr>
      </w:pPr>
      <w:r>
        <w:rPr>
          <w:b/>
          <w:bCs/>
          <w:color w:val="000000" w:themeColor="text1"/>
          <w:spacing w:val="9"/>
          <w:sz w:val="21"/>
          <w:szCs w:val="21"/>
          <w14:textFill>
            <w14:solidFill>
              <w14:schemeClr w14:val="tx1"/>
            </w14:solidFill>
          </w14:textFill>
        </w:rPr>
        <w:t>（五）必需且合理：</w:t>
      </w:r>
      <w:r>
        <w:rPr>
          <w:color w:val="000000" w:themeColor="text1"/>
          <w:spacing w:val="9"/>
          <w:sz w:val="21"/>
          <w:szCs w:val="21"/>
          <w14:textFill>
            <w14:solidFill>
              <w14:schemeClr w14:val="tx1"/>
            </w14:solidFill>
          </w14:textFill>
        </w:rPr>
        <w:t>指：</w:t>
      </w:r>
    </w:p>
    <w:p w14:paraId="1797703B">
      <w:pPr>
        <w:pStyle w:val="8"/>
        <w:spacing w:before="0" w:beforeAutospacing="0" w:after="0" w:afterAutospacing="0" w:line="360" w:lineRule="auto"/>
        <w:ind w:firstLine="456" w:firstLineChars="200"/>
        <w:jc w:val="both"/>
        <w:rPr>
          <w:color w:val="000000" w:themeColor="text1"/>
          <w:spacing w:val="9"/>
          <w:sz w:val="21"/>
          <w:szCs w:val="21"/>
          <w14:textFill>
            <w14:solidFill>
              <w14:schemeClr w14:val="tx1"/>
            </w14:solidFill>
          </w14:textFill>
        </w:rPr>
      </w:pPr>
      <w:r>
        <w:rPr>
          <w:color w:val="000000" w:themeColor="text1"/>
          <w:spacing w:val="9"/>
          <w:sz w:val="21"/>
          <w:szCs w:val="21"/>
          <w14:textFill>
            <w14:solidFill>
              <w14:schemeClr w14:val="tx1"/>
            </w14:solidFill>
          </w14:textFill>
        </w:rPr>
        <w:t>1、符合通常惯例：指与接受医疗服务所在地通行治疗规范、通行治疗方法、平均医疗费用价格水平一致的费用。</w:t>
      </w:r>
    </w:p>
    <w:p w14:paraId="414E9B66">
      <w:pPr>
        <w:pStyle w:val="8"/>
        <w:spacing w:before="0" w:beforeAutospacing="0" w:after="0" w:afterAutospacing="0" w:line="360" w:lineRule="auto"/>
        <w:ind w:firstLine="456" w:firstLineChars="200"/>
        <w:jc w:val="both"/>
        <w:rPr>
          <w:color w:val="000000" w:themeColor="text1"/>
          <w:spacing w:val="9"/>
          <w:sz w:val="21"/>
          <w:szCs w:val="21"/>
          <w14:textFill>
            <w14:solidFill>
              <w14:schemeClr w14:val="tx1"/>
            </w14:solidFill>
          </w14:textFill>
        </w:rPr>
      </w:pPr>
      <w:r>
        <w:rPr>
          <w:color w:val="000000" w:themeColor="text1"/>
          <w:spacing w:val="9"/>
          <w:sz w:val="21"/>
          <w:szCs w:val="21"/>
          <w14:textFill>
            <w14:solidFill>
              <w14:schemeClr w14:val="tx1"/>
            </w14:solidFill>
          </w14:textFill>
        </w:rPr>
        <w:t>是否符合通常惯例由保险人根据客观、审慎、合理的原则进行审核；如果被保险人对审核结果有不同意见，可由双方认同的权威医学机构或者权威医学专家进行审核鉴定。</w:t>
      </w:r>
    </w:p>
    <w:p w14:paraId="67721C6F">
      <w:pPr>
        <w:pStyle w:val="8"/>
        <w:spacing w:before="0" w:beforeAutospacing="0" w:after="0" w:afterAutospacing="0" w:line="360" w:lineRule="auto"/>
        <w:ind w:firstLine="456" w:firstLineChars="200"/>
        <w:jc w:val="both"/>
        <w:rPr>
          <w:color w:val="000000" w:themeColor="text1"/>
          <w:spacing w:val="9"/>
          <w:sz w:val="21"/>
          <w:szCs w:val="21"/>
          <w14:textFill>
            <w14:solidFill>
              <w14:schemeClr w14:val="tx1"/>
            </w14:solidFill>
          </w14:textFill>
        </w:rPr>
      </w:pPr>
      <w:r>
        <w:rPr>
          <w:color w:val="000000" w:themeColor="text1"/>
          <w:spacing w:val="9"/>
          <w:sz w:val="21"/>
          <w:szCs w:val="21"/>
          <w14:textFill>
            <w14:solidFill>
              <w14:schemeClr w14:val="tx1"/>
            </w14:solidFill>
          </w14:textFill>
        </w:rPr>
        <w:t>2、医学必需：指医疗费用符合下列所有条件：</w:t>
      </w:r>
    </w:p>
    <w:p w14:paraId="5C8BD9BF">
      <w:pPr>
        <w:pStyle w:val="8"/>
        <w:spacing w:before="0" w:beforeAutospacing="0" w:after="0" w:afterAutospacing="0" w:line="360" w:lineRule="auto"/>
        <w:ind w:firstLine="456" w:firstLineChars="200"/>
        <w:jc w:val="both"/>
        <w:rPr>
          <w:color w:val="000000" w:themeColor="text1"/>
          <w:spacing w:val="9"/>
          <w:sz w:val="21"/>
          <w:szCs w:val="21"/>
          <w14:textFill>
            <w14:solidFill>
              <w14:schemeClr w14:val="tx1"/>
            </w14:solidFill>
          </w14:textFill>
        </w:rPr>
      </w:pPr>
      <w:r>
        <w:rPr>
          <w:color w:val="000000" w:themeColor="text1"/>
          <w:spacing w:val="9"/>
          <w:sz w:val="21"/>
          <w:szCs w:val="21"/>
          <w14:textFill>
            <w14:solidFill>
              <w14:schemeClr w14:val="tx1"/>
            </w14:solidFill>
          </w14:textFill>
        </w:rPr>
        <w:t>（1）治疗意外伤害或疾病所必需的项目；</w:t>
      </w:r>
    </w:p>
    <w:p w14:paraId="472FB8D3">
      <w:pPr>
        <w:pStyle w:val="8"/>
        <w:spacing w:before="0" w:beforeAutospacing="0" w:after="0" w:afterAutospacing="0" w:line="360" w:lineRule="auto"/>
        <w:ind w:firstLine="456" w:firstLineChars="200"/>
        <w:jc w:val="both"/>
        <w:rPr>
          <w:color w:val="000000" w:themeColor="text1"/>
          <w:spacing w:val="9"/>
          <w:sz w:val="21"/>
          <w:szCs w:val="21"/>
          <w14:textFill>
            <w14:solidFill>
              <w14:schemeClr w14:val="tx1"/>
            </w14:solidFill>
          </w14:textFill>
        </w:rPr>
      </w:pPr>
      <w:r>
        <w:rPr>
          <w:color w:val="000000" w:themeColor="text1"/>
          <w:spacing w:val="9"/>
          <w:sz w:val="21"/>
          <w:szCs w:val="21"/>
          <w14:textFill>
            <w14:solidFill>
              <w14:schemeClr w14:val="tx1"/>
            </w14:solidFill>
          </w14:textFill>
        </w:rPr>
        <w:t>（2）不超过安全、足量治疗原则的项目；</w:t>
      </w:r>
    </w:p>
    <w:p w14:paraId="7BAD2B99">
      <w:pPr>
        <w:pStyle w:val="8"/>
        <w:spacing w:before="0" w:beforeAutospacing="0" w:after="0" w:afterAutospacing="0" w:line="360" w:lineRule="auto"/>
        <w:ind w:firstLine="456" w:firstLineChars="200"/>
        <w:jc w:val="both"/>
        <w:rPr>
          <w:color w:val="000000" w:themeColor="text1"/>
          <w:spacing w:val="9"/>
          <w:sz w:val="21"/>
          <w:szCs w:val="21"/>
          <w14:textFill>
            <w14:solidFill>
              <w14:schemeClr w14:val="tx1"/>
            </w14:solidFill>
          </w14:textFill>
        </w:rPr>
      </w:pPr>
      <w:r>
        <w:rPr>
          <w:color w:val="000000" w:themeColor="text1"/>
          <w:spacing w:val="9"/>
          <w:sz w:val="21"/>
          <w:szCs w:val="21"/>
          <w14:textFill>
            <w14:solidFill>
              <w14:schemeClr w14:val="tx1"/>
            </w14:solidFill>
          </w14:textFill>
        </w:rPr>
        <w:t>（3）由医生开具的处方药；</w:t>
      </w:r>
    </w:p>
    <w:p w14:paraId="75DC5496">
      <w:pPr>
        <w:pStyle w:val="8"/>
        <w:spacing w:before="0" w:beforeAutospacing="0" w:after="0" w:afterAutospacing="0" w:line="360" w:lineRule="auto"/>
        <w:ind w:firstLine="456" w:firstLineChars="200"/>
        <w:jc w:val="both"/>
        <w:rPr>
          <w:color w:val="000000" w:themeColor="text1"/>
          <w:spacing w:val="9"/>
          <w:sz w:val="21"/>
          <w:szCs w:val="21"/>
          <w14:textFill>
            <w14:solidFill>
              <w14:schemeClr w14:val="tx1"/>
            </w14:solidFill>
          </w14:textFill>
        </w:rPr>
      </w:pPr>
      <w:r>
        <w:rPr>
          <w:color w:val="000000" w:themeColor="text1"/>
          <w:spacing w:val="9"/>
          <w:sz w:val="21"/>
          <w:szCs w:val="21"/>
          <w14:textFill>
            <w14:solidFill>
              <w14:schemeClr w14:val="tx1"/>
            </w14:solidFill>
          </w14:textFill>
        </w:rPr>
        <w:t>（4）非实验性的、非研究性的项目。</w:t>
      </w:r>
    </w:p>
    <w:p w14:paraId="6304679B">
      <w:pPr>
        <w:pStyle w:val="8"/>
        <w:spacing w:before="0" w:beforeAutospacing="0" w:after="0" w:afterAutospacing="0" w:line="360" w:lineRule="auto"/>
        <w:ind w:firstLine="456" w:firstLineChars="200"/>
        <w:jc w:val="both"/>
        <w:rPr>
          <w:color w:val="000000" w:themeColor="text1"/>
          <w:spacing w:val="9"/>
          <w:sz w:val="21"/>
          <w:szCs w:val="21"/>
          <w14:textFill>
            <w14:solidFill>
              <w14:schemeClr w14:val="tx1"/>
            </w14:solidFill>
          </w14:textFill>
        </w:rPr>
      </w:pPr>
      <w:r>
        <w:rPr>
          <w:color w:val="000000" w:themeColor="text1"/>
          <w:spacing w:val="9"/>
          <w:sz w:val="21"/>
          <w:szCs w:val="21"/>
          <w14:textFill>
            <w14:solidFill>
              <w14:schemeClr w14:val="tx1"/>
            </w14:solidFill>
          </w14:textFill>
        </w:rPr>
        <w:t>（5）与接受治疗当地普遍接受的医疗专业实践标准一致的项目。</w:t>
      </w:r>
    </w:p>
    <w:p w14:paraId="3827B968">
      <w:pPr>
        <w:pStyle w:val="8"/>
        <w:spacing w:before="0" w:beforeAutospacing="0" w:after="0" w:afterAutospacing="0" w:line="360" w:lineRule="auto"/>
        <w:ind w:firstLine="456" w:firstLineChars="200"/>
        <w:jc w:val="both"/>
        <w:rPr>
          <w:color w:val="000000" w:themeColor="text1"/>
          <w:spacing w:val="9"/>
          <w:sz w:val="21"/>
          <w:szCs w:val="21"/>
          <w14:textFill>
            <w14:solidFill>
              <w14:schemeClr w14:val="tx1"/>
            </w14:solidFill>
          </w14:textFill>
        </w:rPr>
      </w:pPr>
      <w:r>
        <w:rPr>
          <w:color w:val="000000" w:themeColor="text1"/>
          <w:spacing w:val="9"/>
          <w:sz w:val="21"/>
          <w:szCs w:val="21"/>
          <w14:textFill>
            <w14:solidFill>
              <w14:schemeClr w14:val="tx1"/>
            </w14:solidFill>
          </w14:textFill>
        </w:rPr>
        <w:t>是否医学必需由保险人根据客观、审慎、合理的原则进行审核；如果被保险人对审核结果有不同意见，可由双方认同的权威医学机构或者权威医学专家进行审核鉴定。</w:t>
      </w:r>
    </w:p>
    <w:p w14:paraId="3E6CED9C">
      <w:pPr>
        <w:pStyle w:val="8"/>
        <w:spacing w:before="0" w:beforeAutospacing="0" w:after="0" w:afterAutospacing="0" w:line="360" w:lineRule="auto"/>
        <w:ind w:firstLine="458" w:firstLineChars="200"/>
        <w:jc w:val="both"/>
        <w:rPr>
          <w:color w:val="000000" w:themeColor="text1"/>
          <w:spacing w:val="9"/>
          <w:sz w:val="21"/>
          <w:szCs w:val="21"/>
          <w14:textFill>
            <w14:solidFill>
              <w14:schemeClr w14:val="tx1"/>
            </w14:solidFill>
          </w14:textFill>
        </w:rPr>
      </w:pPr>
      <w:r>
        <w:rPr>
          <w:b/>
          <w:bCs/>
          <w:color w:val="000000" w:themeColor="text1"/>
          <w:spacing w:val="9"/>
          <w:sz w:val="21"/>
          <w:szCs w:val="21"/>
          <w14:textFill>
            <w14:solidFill>
              <w14:schemeClr w14:val="tx1"/>
            </w14:solidFill>
          </w14:textFill>
        </w:rPr>
        <w:t>（六）医疗费用：</w:t>
      </w:r>
      <w:r>
        <w:rPr>
          <w:color w:val="000000" w:themeColor="text1"/>
          <w:spacing w:val="9"/>
          <w:sz w:val="21"/>
          <w:szCs w:val="21"/>
          <w14:textFill>
            <w14:solidFill>
              <w14:schemeClr w14:val="tx1"/>
            </w14:solidFill>
          </w14:textFill>
        </w:rPr>
        <w:t>指被保险人在接受治疗期间发生的必需且合理的医疗费用，包括护理费、检查检验费、诊疗费、治疗费、药品费、门诊手术费。</w:t>
      </w:r>
    </w:p>
    <w:p w14:paraId="5355665C">
      <w:pPr>
        <w:pStyle w:val="8"/>
        <w:spacing w:before="0" w:beforeAutospacing="0" w:after="0" w:afterAutospacing="0" w:line="360" w:lineRule="auto"/>
        <w:ind w:firstLine="456" w:firstLineChars="200"/>
        <w:jc w:val="both"/>
        <w:rPr>
          <w:color w:val="000000" w:themeColor="text1"/>
          <w:spacing w:val="9"/>
          <w:sz w:val="21"/>
          <w:szCs w:val="21"/>
          <w14:textFill>
            <w14:solidFill>
              <w14:schemeClr w14:val="tx1"/>
            </w14:solidFill>
          </w14:textFill>
        </w:rPr>
      </w:pPr>
      <w:r>
        <w:rPr>
          <w:color w:val="000000" w:themeColor="text1"/>
          <w:spacing w:val="9"/>
          <w:sz w:val="21"/>
          <w:szCs w:val="21"/>
          <w14:textFill>
            <w14:solidFill>
              <w14:schemeClr w14:val="tx1"/>
            </w14:solidFill>
          </w14:textFill>
        </w:rPr>
        <w:t>【床位费】指被保险人在住院期间发生的医院床位的费用，包括普通床位费和重症监护室床位费，</w:t>
      </w:r>
      <w:r>
        <w:rPr>
          <w:b/>
          <w:bCs/>
          <w:color w:val="000000" w:themeColor="text1"/>
          <w:spacing w:val="9"/>
          <w:sz w:val="21"/>
          <w:szCs w:val="21"/>
          <w14:textFill>
            <w14:solidFill>
              <w14:schemeClr w14:val="tx1"/>
            </w14:solidFill>
          </w14:textFill>
        </w:rPr>
        <w:t>不包括陪人床、观察病床位和家庭病床的费用</w:t>
      </w:r>
      <w:r>
        <w:rPr>
          <w:color w:val="000000" w:themeColor="text1"/>
          <w:spacing w:val="9"/>
          <w:sz w:val="21"/>
          <w:szCs w:val="21"/>
          <w14:textFill>
            <w14:solidFill>
              <w14:schemeClr w14:val="tx1"/>
            </w14:solidFill>
          </w14:textFill>
        </w:rPr>
        <w:t>。</w:t>
      </w:r>
    </w:p>
    <w:p w14:paraId="0E073450">
      <w:pPr>
        <w:pStyle w:val="8"/>
        <w:spacing w:before="0" w:beforeAutospacing="0" w:after="0" w:afterAutospacing="0" w:line="360" w:lineRule="auto"/>
        <w:ind w:firstLine="456" w:firstLineChars="200"/>
        <w:jc w:val="both"/>
        <w:rPr>
          <w:b/>
          <w:bCs/>
          <w:color w:val="000000" w:themeColor="text1"/>
          <w:spacing w:val="9"/>
          <w:sz w:val="21"/>
          <w:szCs w:val="21"/>
          <w14:textFill>
            <w14:solidFill>
              <w14:schemeClr w14:val="tx1"/>
            </w14:solidFill>
          </w14:textFill>
        </w:rPr>
      </w:pPr>
      <w:r>
        <w:rPr>
          <w:color w:val="000000" w:themeColor="text1"/>
          <w:spacing w:val="9"/>
          <w:sz w:val="21"/>
          <w:szCs w:val="21"/>
          <w14:textFill>
            <w14:solidFill>
              <w14:schemeClr w14:val="tx1"/>
            </w14:solidFill>
          </w14:textFill>
        </w:rPr>
        <w:t>【药品费】指住院或门诊治疗期间实际发生的合理且必要的由医生开具的具有国家药品监督管理部门核发的药品批准文号或者进口药品注册证书、医药产品注册证书的国产或进口药品的费用。</w:t>
      </w:r>
      <w:r>
        <w:rPr>
          <w:b/>
          <w:bCs/>
          <w:color w:val="000000" w:themeColor="text1"/>
          <w:spacing w:val="9"/>
          <w:sz w:val="21"/>
          <w:szCs w:val="21"/>
          <w14:textFill>
            <w14:solidFill>
              <w14:schemeClr w14:val="tx1"/>
            </w14:solidFill>
          </w14:textFill>
        </w:rPr>
        <w:t>但不包括营养补充类药品，免疫功能调节类药品，美容及减肥类药品，预防类药品，以及下列中药类药品：（1）主要起营养滋补作用的单方、复方中药或中成药品，如花旗参，冬虫草，白糖参，朝鲜红参，玳瑁，蛤蚧，珊瑚，狗宝，红参，琥珀，灵芝，羚羊角尖粉，马宝，玛瑙，牛黄，麝香，西红花，血竭，燕窝，野山参，移山参，珍珠（粉），紫河车，阿胶，阿胶珠，血宝胶囊，红桃K口服液，十全大补丸，十全大补膏等； （2）部分可以入药的动物及动物脏器，如鹿茸，海马，胎盘，鞭，尾，筋，骨等； （3）用中药材和中药饮片炮制的各类酒制剂等。</w:t>
      </w:r>
    </w:p>
    <w:p w14:paraId="23D9CC88">
      <w:pPr>
        <w:pStyle w:val="8"/>
        <w:spacing w:before="0" w:beforeAutospacing="0" w:after="0" w:afterAutospacing="0" w:line="360" w:lineRule="auto"/>
        <w:ind w:firstLine="456" w:firstLineChars="200"/>
        <w:jc w:val="both"/>
        <w:rPr>
          <w:color w:val="000000" w:themeColor="text1"/>
          <w:spacing w:val="9"/>
          <w:sz w:val="21"/>
          <w:szCs w:val="21"/>
          <w14:textFill>
            <w14:solidFill>
              <w14:schemeClr w14:val="tx1"/>
            </w14:solidFill>
          </w14:textFill>
        </w:rPr>
      </w:pPr>
      <w:r>
        <w:rPr>
          <w:color w:val="000000" w:themeColor="text1"/>
          <w:spacing w:val="9"/>
          <w:sz w:val="21"/>
          <w:szCs w:val="21"/>
          <w14:textFill>
            <w14:solidFill>
              <w14:schemeClr w14:val="tx1"/>
            </w14:solidFill>
          </w14:textFill>
        </w:rPr>
        <w:t>【诊疗费】指被保险人在住院期间或门急诊治疗期间发生的经治医生或会诊医生的劳务费用。</w:t>
      </w:r>
    </w:p>
    <w:p w14:paraId="4236ACB6">
      <w:pPr>
        <w:pStyle w:val="8"/>
        <w:spacing w:before="0" w:beforeAutospacing="0" w:after="0" w:afterAutospacing="0" w:line="360" w:lineRule="auto"/>
        <w:ind w:firstLine="456" w:firstLineChars="200"/>
        <w:jc w:val="both"/>
        <w:rPr>
          <w:color w:val="000000" w:themeColor="text1"/>
          <w:spacing w:val="9"/>
          <w:sz w:val="21"/>
          <w:szCs w:val="21"/>
          <w14:textFill>
            <w14:solidFill>
              <w14:schemeClr w14:val="tx1"/>
            </w14:solidFill>
          </w14:textFill>
        </w:rPr>
      </w:pPr>
      <w:r>
        <w:rPr>
          <w:color w:val="000000" w:themeColor="text1"/>
          <w:spacing w:val="9"/>
          <w:sz w:val="21"/>
          <w:szCs w:val="21"/>
          <w14:textFill>
            <w14:solidFill>
              <w14:schemeClr w14:val="tx1"/>
            </w14:solidFill>
          </w14:textFill>
        </w:rPr>
        <w:t>【治疗费】指住院期间或门急诊治疗期间以治疗疾病为目的，医院提供必要的医学手段而发生的合理的治疗者的技术劳务费和医疗器械使用费，以及消耗品的费用，包括注射费、机疗费、理疗费（中式理疗费：顺势疗法、正骨治疗、针灸治疗费；西式理疗费：物理治疗、美式脊椎矫正、职业疗法、语音治疗费）、输血费、输氧费、体外反搏费等。</w:t>
      </w:r>
    </w:p>
    <w:p w14:paraId="2B2435D7">
      <w:pPr>
        <w:pStyle w:val="8"/>
        <w:spacing w:before="0" w:beforeAutospacing="0" w:after="0" w:afterAutospacing="0" w:line="360" w:lineRule="auto"/>
        <w:ind w:firstLine="456" w:firstLineChars="200"/>
        <w:jc w:val="both"/>
        <w:rPr>
          <w:color w:val="000000" w:themeColor="text1"/>
          <w:spacing w:val="9"/>
          <w:sz w:val="21"/>
          <w:szCs w:val="21"/>
          <w14:textFill>
            <w14:solidFill>
              <w14:schemeClr w14:val="tx1"/>
            </w14:solidFill>
          </w14:textFill>
        </w:rPr>
      </w:pPr>
      <w:r>
        <w:rPr>
          <w:color w:val="000000" w:themeColor="text1"/>
          <w:spacing w:val="9"/>
          <w:sz w:val="21"/>
          <w:szCs w:val="21"/>
          <w14:textFill>
            <w14:solidFill>
              <w14:schemeClr w14:val="tx1"/>
            </w14:solidFill>
          </w14:textFill>
        </w:rPr>
        <w:t>【护理费】指住院或门急诊治疗期间根据医嘱所示的护理等级确定的护理费用。</w:t>
      </w:r>
    </w:p>
    <w:p w14:paraId="3912AB88">
      <w:pPr>
        <w:pStyle w:val="8"/>
        <w:spacing w:before="0" w:beforeAutospacing="0" w:after="0" w:afterAutospacing="0" w:line="360" w:lineRule="auto"/>
        <w:ind w:firstLine="456" w:firstLineChars="200"/>
        <w:jc w:val="both"/>
        <w:rPr>
          <w:color w:val="000000" w:themeColor="text1"/>
          <w:spacing w:val="9"/>
          <w:sz w:val="21"/>
          <w:szCs w:val="21"/>
          <w14:textFill>
            <w14:solidFill>
              <w14:schemeClr w14:val="tx1"/>
            </w14:solidFill>
          </w14:textFill>
        </w:rPr>
      </w:pPr>
      <w:r>
        <w:rPr>
          <w:color w:val="000000" w:themeColor="text1"/>
          <w:spacing w:val="9"/>
          <w:sz w:val="21"/>
          <w:szCs w:val="21"/>
          <w14:textFill>
            <w14:solidFill>
              <w14:schemeClr w14:val="tx1"/>
            </w14:solidFill>
          </w14:textFill>
        </w:rPr>
        <w:t>【检查检验费】指住院或门急诊治疗期间实际发生的、以诊断疾病为目的，采取必要的医学手段进行检查及检验而发生的合理的医疗费用，包括X光费、心电图费、B超费、脑电图费、内窥镜费、肺功能仪费、分子生化检验费和血、尿、便常规检验费等。</w:t>
      </w:r>
    </w:p>
    <w:p w14:paraId="4F3D3A58">
      <w:pPr>
        <w:pStyle w:val="8"/>
        <w:spacing w:before="0" w:beforeAutospacing="0" w:after="0" w:afterAutospacing="0" w:line="360" w:lineRule="auto"/>
        <w:ind w:firstLine="456" w:firstLineChars="200"/>
        <w:jc w:val="both"/>
        <w:rPr>
          <w:color w:val="000000" w:themeColor="text1"/>
          <w:spacing w:val="9"/>
          <w:sz w:val="21"/>
          <w:szCs w:val="21"/>
          <w14:textFill>
            <w14:solidFill>
              <w14:schemeClr w14:val="tx1"/>
            </w14:solidFill>
          </w14:textFill>
        </w:rPr>
      </w:pPr>
      <w:r>
        <w:rPr>
          <w:color w:val="000000" w:themeColor="text1"/>
          <w:spacing w:val="9"/>
          <w:sz w:val="21"/>
          <w:szCs w:val="21"/>
          <w14:textFill>
            <w14:solidFill>
              <w14:schemeClr w14:val="tx1"/>
            </w14:solidFill>
          </w14:textFill>
        </w:rPr>
        <w:t>【手术费】指</w:t>
      </w:r>
      <w:r>
        <w:rPr>
          <w:b/>
          <w:bCs/>
          <w:color w:val="000000" w:themeColor="text1"/>
          <w:spacing w:val="9"/>
          <w:sz w:val="21"/>
          <w:szCs w:val="21"/>
          <w14:textFill>
            <w14:solidFill>
              <w14:schemeClr w14:val="tx1"/>
            </w14:solidFill>
          </w14:textFill>
        </w:rPr>
        <w:t>当地</w:t>
      </w:r>
      <w:r>
        <w:rPr>
          <w:color w:val="000000" w:themeColor="text1"/>
          <w:spacing w:val="9"/>
          <w:sz w:val="21"/>
          <w:szCs w:val="21"/>
          <w14:textFill>
            <w14:solidFill>
              <w14:schemeClr w14:val="tx1"/>
            </w14:solidFill>
          </w14:textFill>
        </w:rPr>
        <w:t>卫生行政部门规定的手术项目的费用。包括手术费、麻醉费、手术监测费、手术材料费、术中用药费、手术设备费；</w:t>
      </w:r>
      <w:r>
        <w:rPr>
          <w:b/>
          <w:bCs/>
          <w:color w:val="000000" w:themeColor="text1"/>
          <w:spacing w:val="9"/>
          <w:sz w:val="21"/>
          <w:szCs w:val="21"/>
          <w14:textFill>
            <w14:solidFill>
              <w14:schemeClr w14:val="tx1"/>
            </w14:solidFill>
          </w14:textFill>
        </w:rPr>
        <w:t>若因器官移植而发生的手术费用，不包括器官本身的费用和获取器官过程中的费用</w:t>
      </w:r>
      <w:r>
        <w:rPr>
          <w:color w:val="000000" w:themeColor="text1"/>
          <w:spacing w:val="9"/>
          <w:sz w:val="21"/>
          <w:szCs w:val="21"/>
          <w14:textFill>
            <w14:solidFill>
              <w14:schemeClr w14:val="tx1"/>
            </w14:solidFill>
          </w14:textFill>
        </w:rPr>
        <w:t>。</w:t>
      </w:r>
    </w:p>
    <w:p w14:paraId="030C6F96">
      <w:pPr>
        <w:pStyle w:val="8"/>
        <w:spacing w:before="0" w:beforeAutospacing="0" w:after="0" w:afterAutospacing="0" w:line="360" w:lineRule="auto"/>
        <w:ind w:firstLine="458" w:firstLineChars="200"/>
        <w:jc w:val="both"/>
        <w:rPr>
          <w:color w:val="000000" w:themeColor="text1"/>
          <w:spacing w:val="9"/>
          <w:sz w:val="21"/>
          <w:szCs w:val="21"/>
          <w14:textFill>
            <w14:solidFill>
              <w14:schemeClr w14:val="tx1"/>
            </w14:solidFill>
          </w14:textFill>
        </w:rPr>
      </w:pPr>
      <w:r>
        <w:rPr>
          <w:b/>
          <w:bCs/>
          <w:color w:val="000000" w:themeColor="text1"/>
          <w:spacing w:val="9"/>
          <w:sz w:val="21"/>
          <w:szCs w:val="21"/>
          <w14:textFill>
            <w14:solidFill>
              <w14:schemeClr w14:val="tx1"/>
            </w14:solidFill>
          </w14:textFill>
        </w:rPr>
        <w:t>（七）醉酒：</w:t>
      </w:r>
      <w:r>
        <w:rPr>
          <w:color w:val="000000" w:themeColor="text1"/>
          <w:spacing w:val="9"/>
          <w:sz w:val="21"/>
          <w:szCs w:val="21"/>
          <w14:textFill>
            <w14:solidFill>
              <w14:schemeClr w14:val="tx1"/>
            </w14:solidFill>
          </w14:textFill>
        </w:rPr>
        <w:t>指血液中的酒精含量大于或者等于80mg/100mL。</w:t>
      </w:r>
    </w:p>
    <w:p w14:paraId="53D5BAF3">
      <w:pPr>
        <w:pStyle w:val="8"/>
        <w:adjustRightInd w:val="0"/>
        <w:snapToGrid w:val="0"/>
        <w:spacing w:beforeAutospacing="0" w:afterAutospacing="0" w:line="360" w:lineRule="auto"/>
        <w:ind w:firstLine="458" w:firstLineChars="200"/>
        <w:rPr>
          <w:rFonts w:cs="宋体"/>
          <w:color w:val="000000" w:themeColor="text1"/>
          <w:szCs w:val="21"/>
          <w14:textFill>
            <w14:solidFill>
              <w14:schemeClr w14:val="tx1"/>
            </w14:solidFill>
          </w14:textFill>
        </w:rPr>
      </w:pPr>
      <w:r>
        <w:rPr>
          <w:b/>
          <w:bCs/>
          <w:color w:val="000000" w:themeColor="text1"/>
          <w:spacing w:val="9"/>
          <w:sz w:val="21"/>
          <w:szCs w:val="21"/>
          <w14:textFill>
            <w14:solidFill>
              <w14:schemeClr w14:val="tx1"/>
            </w14:solidFill>
          </w14:textFill>
        </w:rPr>
        <w:t>（八）酒后驾车：</w:t>
      </w:r>
      <w:r>
        <w:rPr>
          <w:color w:val="000000" w:themeColor="text1"/>
          <w:spacing w:val="9"/>
          <w:sz w:val="21"/>
          <w:szCs w:val="21"/>
          <w14:textFill>
            <w14:solidFill>
              <w14:schemeClr w14:val="tx1"/>
            </w14:solidFill>
          </w14:textFill>
        </w:rPr>
        <w:t>指车辆驾驶人员在其血液中的酒精含量大于或者等于20mg/100mL时的驾驶行为。</w:t>
      </w:r>
    </w:p>
    <w:p w14:paraId="437236B9">
      <w:pPr>
        <w:pStyle w:val="26"/>
        <w:adjustRightInd w:val="0"/>
        <w:snapToGrid w:val="0"/>
        <w:spacing w:line="360" w:lineRule="auto"/>
        <w:ind w:firstLine="422" w:firstLineChars="200"/>
        <w:rPr>
          <w:rFonts w:hint="eastAsia" w:ascii="宋体" w:hAnsi="宋体" w:cs="宋体"/>
          <w:color w:val="000000" w:themeColor="text1"/>
          <w:kern w:val="0"/>
          <w:szCs w:val="21"/>
          <w14:textFill>
            <w14:solidFill>
              <w14:schemeClr w14:val="tx1"/>
            </w14:solidFill>
          </w14:textFill>
        </w:rPr>
      </w:pPr>
      <w:bookmarkStart w:id="11" w:name="OLE_LINK8"/>
      <w:r>
        <w:rPr>
          <w:rFonts w:hint="eastAsia" w:ascii="宋体" w:hAnsi="宋体" w:cs="宋体"/>
          <w:b/>
          <w:bCs/>
          <w:color w:val="000000" w:themeColor="text1"/>
          <w:kern w:val="0"/>
          <w:szCs w:val="21"/>
          <w14:textFill>
            <w14:solidFill>
              <w14:schemeClr w14:val="tx1"/>
            </w14:solidFill>
          </w14:textFill>
        </w:rPr>
        <w:t>（九）</w:t>
      </w:r>
      <w:bookmarkEnd w:id="11"/>
      <w:bookmarkStart w:id="12" w:name="OLE_LINK30"/>
      <w:r>
        <w:rPr>
          <w:rFonts w:hint="eastAsia" w:ascii="宋体" w:hAnsi="宋体" w:cs="宋体"/>
          <w:b/>
          <w:bCs/>
          <w:color w:val="000000" w:themeColor="text1"/>
          <w:kern w:val="0"/>
          <w:szCs w:val="21"/>
          <w14:textFill>
            <w14:solidFill>
              <w14:schemeClr w14:val="tx1"/>
            </w14:solidFill>
          </w14:textFill>
        </w:rPr>
        <w:t>辅助器具费</w:t>
      </w:r>
      <w:bookmarkEnd w:id="12"/>
      <w:r>
        <w:rPr>
          <w:rFonts w:hint="eastAsia" w:ascii="宋体" w:hAnsi="宋体" w:cs="宋体"/>
          <w:b/>
          <w:bCs/>
          <w:color w:val="000000" w:themeColor="text1"/>
          <w:kern w:val="0"/>
          <w:szCs w:val="21"/>
          <w14:textFill>
            <w14:solidFill>
              <w14:schemeClr w14:val="tx1"/>
            </w14:solidFill>
          </w14:textFill>
        </w:rPr>
        <w:t>：</w:t>
      </w:r>
      <w:r>
        <w:rPr>
          <w:rFonts w:hint="eastAsia" w:ascii="宋体" w:hAnsi="宋体" w:cs="宋体"/>
          <w:color w:val="000000" w:themeColor="text1"/>
          <w:kern w:val="0"/>
          <w:szCs w:val="21"/>
          <w14:textFill>
            <w14:solidFill>
              <w14:schemeClr w14:val="tx1"/>
            </w14:solidFill>
          </w14:textFill>
        </w:rPr>
        <w:t>指购买、安装或修理假肢、矫形器、假眼、假牙和配置轮椅等辅助器具的费用。</w:t>
      </w:r>
    </w:p>
    <w:p w14:paraId="12C60C24">
      <w:pPr>
        <w:adjustRightInd w:val="0"/>
        <w:spacing w:line="360" w:lineRule="auto"/>
        <w:ind w:firstLine="422" w:firstLineChars="200"/>
        <w:jc w:val="left"/>
        <w:rPr>
          <w:rFonts w:hint="eastAsia" w:ascii="宋体" w:hAnsi="宋体" w:cs="宋体"/>
          <w:color w:val="000000" w:themeColor="text1"/>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（十）</w:t>
      </w:r>
      <w:r>
        <w:rPr>
          <w:rFonts w:hint="eastAsia" w:ascii="宋体" w:hAnsi="宋体" w:cs="宋体"/>
          <w:b/>
          <w:color w:val="000000" w:themeColor="text1"/>
          <w:szCs w:val="21"/>
          <w14:textFill>
            <w14:solidFill>
              <w14:schemeClr w14:val="tx1"/>
            </w14:solidFill>
          </w14:textFill>
        </w:rPr>
        <w:t>保险金申请人</w:t>
      </w:r>
      <w:r>
        <w:rPr>
          <w:rFonts w:hint="eastAsia" w:ascii="宋体" w:hAnsi="宋体" w:cs="宋体"/>
          <w:bCs/>
          <w:color w:val="000000" w:themeColor="text1"/>
          <w:szCs w:val="21"/>
          <w14:textFill>
            <w14:solidFill>
              <w14:schemeClr w14:val="tx1"/>
            </w14:solidFill>
          </w14:textFill>
        </w:rPr>
        <w:t>：</w:t>
      </w:r>
      <w:r>
        <w:rPr>
          <w:rFonts w:hint="eastAsia"/>
          <w:color w:val="000000" w:themeColor="text1"/>
          <w:spacing w:val="9"/>
          <w:szCs w:val="21"/>
          <w14:textFill>
            <w14:solidFill>
              <w14:schemeClr w14:val="tx1"/>
            </w14:solidFill>
          </w14:textFill>
        </w:rPr>
        <w:t>指被保险人、受益人，被保险人、受益人的继承人或依法享有保险金请求权的其他自然人</w:t>
      </w:r>
      <w:r>
        <w:rPr>
          <w:rFonts w:hint="eastAsia" w:ascii="宋体" w:hAnsi="宋体" w:cs="宋体"/>
          <w:color w:val="000000" w:themeColor="text1"/>
          <w:szCs w:val="21"/>
          <w14:textFill>
            <w14:solidFill>
              <w14:schemeClr w14:val="tx1"/>
            </w14:solidFill>
          </w14:textFill>
        </w:rPr>
        <w:t>。</w:t>
      </w:r>
    </w:p>
    <w:p w14:paraId="213476E2">
      <w:pPr>
        <w:pStyle w:val="8"/>
        <w:adjustRightInd w:val="0"/>
        <w:spacing w:beforeAutospacing="0" w:afterAutospacing="0" w:line="360" w:lineRule="auto"/>
        <w:ind w:firstLine="458" w:firstLineChars="200"/>
        <w:jc w:val="both"/>
        <w:rPr>
          <w:rFonts w:cs="宋体"/>
          <w:color w:val="000000" w:themeColor="text1"/>
          <w:szCs w:val="21"/>
          <w14:textFill>
            <w14:solidFill>
              <w14:schemeClr w14:val="tx1"/>
            </w14:solidFill>
          </w14:textFill>
        </w:rPr>
      </w:pPr>
      <w:r>
        <w:rPr>
          <w:b/>
          <w:bCs/>
          <w:color w:val="000000" w:themeColor="text1"/>
          <w:spacing w:val="9"/>
          <w:sz w:val="21"/>
          <w:szCs w:val="21"/>
          <w14:textFill>
            <w14:solidFill>
              <w14:schemeClr w14:val="tx1"/>
            </w14:solidFill>
          </w14:textFill>
        </w:rPr>
        <w:t>本附加险合同中未释义名词，以本附加险合同所附属主险合同中的释义为准。</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PMingLiU">
    <w:altName w:val="Microsoft JhengHei UI"/>
    <w:panose1 w:val="02010601000101010101"/>
    <w:charset w:val="88"/>
    <w:family w:val="roman"/>
    <w:pitch w:val="default"/>
    <w:sig w:usb0="00000000" w:usb1="00000000" w:usb2="00000016" w:usb3="00000000" w:csb0="0010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6115941"/>
    </w:sdtPr>
    <w:sdtContent>
      <w:p w14:paraId="23B885CA">
        <w:pPr>
          <w:pStyle w:val="5"/>
          <w:jc w:val="center"/>
        </w:pPr>
        <w:r>
          <w:rPr>
            <w:lang w:val="zh-CN"/>
          </w:rPr>
          <w:fldChar w:fldCharType="begin"/>
        </w:r>
        <w:r>
          <w:rPr>
            <w:lang w:val="zh-CN"/>
          </w:rPr>
          <w:instrText xml:space="preserve"> PAGE   \* MERGEFORMAT </w:instrText>
        </w:r>
        <w:r>
          <w:rPr>
            <w:lang w:val="zh-CN"/>
          </w:rPr>
          <w:fldChar w:fldCharType="separate"/>
        </w:r>
        <w:r>
          <w:rPr>
            <w:lang w:val="zh-CN"/>
          </w:rPr>
          <w:t>4</w:t>
        </w:r>
        <w:r>
          <w:rPr>
            <w:lang w:val="zh-CN"/>
          </w:rPr>
          <w:fldChar w:fldCharType="end"/>
        </w:r>
      </w:p>
    </w:sdtContent>
  </w:sdt>
  <w:p w14:paraId="696D1437">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1A0CF5"/>
    <w:multiLevelType w:val="singleLevel"/>
    <w:tmpl w:val="B21A0CF5"/>
    <w:lvl w:ilvl="0" w:tentative="0">
      <w:start w:val="2"/>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RlODNhZmI4YWY4ZmYzMmUwNTU4NzQ2MTJhZGM5MGYifQ=="/>
  </w:docVars>
  <w:rsids>
    <w:rsidRoot w:val="00566713"/>
    <w:rsid w:val="00017BE7"/>
    <w:rsid w:val="00020D62"/>
    <w:rsid w:val="000270B1"/>
    <w:rsid w:val="00032C96"/>
    <w:rsid w:val="00050C1E"/>
    <w:rsid w:val="00061EF3"/>
    <w:rsid w:val="00062654"/>
    <w:rsid w:val="00084E59"/>
    <w:rsid w:val="00092496"/>
    <w:rsid w:val="00093CDE"/>
    <w:rsid w:val="000B66B4"/>
    <w:rsid w:val="000C5080"/>
    <w:rsid w:val="000D20AF"/>
    <w:rsid w:val="000E0457"/>
    <w:rsid w:val="00104778"/>
    <w:rsid w:val="001154FA"/>
    <w:rsid w:val="00132582"/>
    <w:rsid w:val="001364CA"/>
    <w:rsid w:val="00193F49"/>
    <w:rsid w:val="001A63BF"/>
    <w:rsid w:val="001C1810"/>
    <w:rsid w:val="001E1107"/>
    <w:rsid w:val="001E5109"/>
    <w:rsid w:val="002014C8"/>
    <w:rsid w:val="002029FC"/>
    <w:rsid w:val="00213212"/>
    <w:rsid w:val="00220AA8"/>
    <w:rsid w:val="0024586F"/>
    <w:rsid w:val="00255D81"/>
    <w:rsid w:val="00286029"/>
    <w:rsid w:val="00287BB0"/>
    <w:rsid w:val="002A306E"/>
    <w:rsid w:val="002B7B96"/>
    <w:rsid w:val="002D1E57"/>
    <w:rsid w:val="002D300A"/>
    <w:rsid w:val="002E121D"/>
    <w:rsid w:val="002E7571"/>
    <w:rsid w:val="002F5966"/>
    <w:rsid w:val="003026B0"/>
    <w:rsid w:val="003265B4"/>
    <w:rsid w:val="0034389C"/>
    <w:rsid w:val="0035414B"/>
    <w:rsid w:val="003578E0"/>
    <w:rsid w:val="00365416"/>
    <w:rsid w:val="00371497"/>
    <w:rsid w:val="00371A3C"/>
    <w:rsid w:val="0037308C"/>
    <w:rsid w:val="00395E88"/>
    <w:rsid w:val="0039711B"/>
    <w:rsid w:val="003A6805"/>
    <w:rsid w:val="003D6BF8"/>
    <w:rsid w:val="003E4B5C"/>
    <w:rsid w:val="003E6EC9"/>
    <w:rsid w:val="00400914"/>
    <w:rsid w:val="004259D7"/>
    <w:rsid w:val="00437138"/>
    <w:rsid w:val="00446E8B"/>
    <w:rsid w:val="00464293"/>
    <w:rsid w:val="004A764C"/>
    <w:rsid w:val="004E24FD"/>
    <w:rsid w:val="004F6D51"/>
    <w:rsid w:val="00500DC5"/>
    <w:rsid w:val="005015B3"/>
    <w:rsid w:val="005031D3"/>
    <w:rsid w:val="00513083"/>
    <w:rsid w:val="00515FB6"/>
    <w:rsid w:val="005232AA"/>
    <w:rsid w:val="0054523F"/>
    <w:rsid w:val="005460A5"/>
    <w:rsid w:val="005661A8"/>
    <w:rsid w:val="00566713"/>
    <w:rsid w:val="00571AB0"/>
    <w:rsid w:val="00580129"/>
    <w:rsid w:val="005825E7"/>
    <w:rsid w:val="005B3115"/>
    <w:rsid w:val="005D7F15"/>
    <w:rsid w:val="006026B8"/>
    <w:rsid w:val="00602C2F"/>
    <w:rsid w:val="00610943"/>
    <w:rsid w:val="006138CA"/>
    <w:rsid w:val="00614680"/>
    <w:rsid w:val="006257BA"/>
    <w:rsid w:val="006347E9"/>
    <w:rsid w:val="006430B9"/>
    <w:rsid w:val="006511DF"/>
    <w:rsid w:val="00671BBD"/>
    <w:rsid w:val="00676B66"/>
    <w:rsid w:val="006775EF"/>
    <w:rsid w:val="0067769C"/>
    <w:rsid w:val="0068482C"/>
    <w:rsid w:val="006934CE"/>
    <w:rsid w:val="006A347B"/>
    <w:rsid w:val="006A5A8C"/>
    <w:rsid w:val="006B03A4"/>
    <w:rsid w:val="006D1DBE"/>
    <w:rsid w:val="006F43F9"/>
    <w:rsid w:val="00712095"/>
    <w:rsid w:val="00713B85"/>
    <w:rsid w:val="007264DE"/>
    <w:rsid w:val="00733B62"/>
    <w:rsid w:val="00750F6C"/>
    <w:rsid w:val="00766B72"/>
    <w:rsid w:val="0077277E"/>
    <w:rsid w:val="007763C4"/>
    <w:rsid w:val="00777DFE"/>
    <w:rsid w:val="00794587"/>
    <w:rsid w:val="007A5618"/>
    <w:rsid w:val="007B3F81"/>
    <w:rsid w:val="007B7126"/>
    <w:rsid w:val="007C6876"/>
    <w:rsid w:val="007E25FC"/>
    <w:rsid w:val="007F370E"/>
    <w:rsid w:val="007F3CEC"/>
    <w:rsid w:val="0080640C"/>
    <w:rsid w:val="00813E7E"/>
    <w:rsid w:val="00817BFA"/>
    <w:rsid w:val="00826B33"/>
    <w:rsid w:val="008301A4"/>
    <w:rsid w:val="008333AB"/>
    <w:rsid w:val="00833401"/>
    <w:rsid w:val="00880755"/>
    <w:rsid w:val="00894B13"/>
    <w:rsid w:val="008A0A62"/>
    <w:rsid w:val="008A2D4E"/>
    <w:rsid w:val="008A4AF3"/>
    <w:rsid w:val="008B4BB3"/>
    <w:rsid w:val="008E7C41"/>
    <w:rsid w:val="0090247B"/>
    <w:rsid w:val="00903DFC"/>
    <w:rsid w:val="0096041B"/>
    <w:rsid w:val="009742F1"/>
    <w:rsid w:val="00990CE9"/>
    <w:rsid w:val="009A5F63"/>
    <w:rsid w:val="00A0000B"/>
    <w:rsid w:val="00A004D8"/>
    <w:rsid w:val="00A03B75"/>
    <w:rsid w:val="00A24982"/>
    <w:rsid w:val="00A44CBF"/>
    <w:rsid w:val="00A5283D"/>
    <w:rsid w:val="00A72D7E"/>
    <w:rsid w:val="00A81A5A"/>
    <w:rsid w:val="00A82084"/>
    <w:rsid w:val="00A94A4F"/>
    <w:rsid w:val="00A954B7"/>
    <w:rsid w:val="00AB4E39"/>
    <w:rsid w:val="00AC44DE"/>
    <w:rsid w:val="00AE1830"/>
    <w:rsid w:val="00B3333D"/>
    <w:rsid w:val="00B363CC"/>
    <w:rsid w:val="00B51A03"/>
    <w:rsid w:val="00B60348"/>
    <w:rsid w:val="00B64163"/>
    <w:rsid w:val="00B67910"/>
    <w:rsid w:val="00B764ED"/>
    <w:rsid w:val="00B944D9"/>
    <w:rsid w:val="00BA266D"/>
    <w:rsid w:val="00BB3E07"/>
    <w:rsid w:val="00BC5D7C"/>
    <w:rsid w:val="00BC5FC8"/>
    <w:rsid w:val="00BD72BC"/>
    <w:rsid w:val="00BE28AF"/>
    <w:rsid w:val="00BF0691"/>
    <w:rsid w:val="00C0370C"/>
    <w:rsid w:val="00C77728"/>
    <w:rsid w:val="00C91698"/>
    <w:rsid w:val="00CA070B"/>
    <w:rsid w:val="00CB2F92"/>
    <w:rsid w:val="00CB31A1"/>
    <w:rsid w:val="00CB7748"/>
    <w:rsid w:val="00CC0F63"/>
    <w:rsid w:val="00CF0DE3"/>
    <w:rsid w:val="00D01054"/>
    <w:rsid w:val="00D11E39"/>
    <w:rsid w:val="00D1308F"/>
    <w:rsid w:val="00D14A73"/>
    <w:rsid w:val="00D161D0"/>
    <w:rsid w:val="00D16E20"/>
    <w:rsid w:val="00D241D5"/>
    <w:rsid w:val="00D32AD4"/>
    <w:rsid w:val="00D408E3"/>
    <w:rsid w:val="00D40DB7"/>
    <w:rsid w:val="00D4489A"/>
    <w:rsid w:val="00D469E4"/>
    <w:rsid w:val="00D7459A"/>
    <w:rsid w:val="00D76766"/>
    <w:rsid w:val="00D9015E"/>
    <w:rsid w:val="00DA492A"/>
    <w:rsid w:val="00DF37F8"/>
    <w:rsid w:val="00DF5635"/>
    <w:rsid w:val="00DF6637"/>
    <w:rsid w:val="00E23D39"/>
    <w:rsid w:val="00E40F97"/>
    <w:rsid w:val="00E43A05"/>
    <w:rsid w:val="00E56B87"/>
    <w:rsid w:val="00E64899"/>
    <w:rsid w:val="00E727EE"/>
    <w:rsid w:val="00EB5A48"/>
    <w:rsid w:val="00EC39B5"/>
    <w:rsid w:val="00EC6411"/>
    <w:rsid w:val="00ED7212"/>
    <w:rsid w:val="00EE7659"/>
    <w:rsid w:val="00EF21BF"/>
    <w:rsid w:val="00F1333A"/>
    <w:rsid w:val="00F352AF"/>
    <w:rsid w:val="00F37D9E"/>
    <w:rsid w:val="00F46171"/>
    <w:rsid w:val="00F7013A"/>
    <w:rsid w:val="00F77451"/>
    <w:rsid w:val="00F867F7"/>
    <w:rsid w:val="00F874B6"/>
    <w:rsid w:val="00F95032"/>
    <w:rsid w:val="00FA24A7"/>
    <w:rsid w:val="00FA2E2B"/>
    <w:rsid w:val="00FA34B0"/>
    <w:rsid w:val="00FA7A79"/>
    <w:rsid w:val="00FD5D16"/>
    <w:rsid w:val="00FF2002"/>
    <w:rsid w:val="02BD4EEC"/>
    <w:rsid w:val="0847545E"/>
    <w:rsid w:val="0BF37DC8"/>
    <w:rsid w:val="0CB42725"/>
    <w:rsid w:val="0D3A684A"/>
    <w:rsid w:val="0F275F3C"/>
    <w:rsid w:val="0FC355C2"/>
    <w:rsid w:val="1179443C"/>
    <w:rsid w:val="12124159"/>
    <w:rsid w:val="14933A55"/>
    <w:rsid w:val="151B2E68"/>
    <w:rsid w:val="16A13043"/>
    <w:rsid w:val="18DC5762"/>
    <w:rsid w:val="196410C9"/>
    <w:rsid w:val="1F29718A"/>
    <w:rsid w:val="20B34B69"/>
    <w:rsid w:val="22975E32"/>
    <w:rsid w:val="22F4376F"/>
    <w:rsid w:val="24262B85"/>
    <w:rsid w:val="26C075CD"/>
    <w:rsid w:val="321A2B6F"/>
    <w:rsid w:val="379E2F7B"/>
    <w:rsid w:val="386B236D"/>
    <w:rsid w:val="409C2207"/>
    <w:rsid w:val="4D2A5069"/>
    <w:rsid w:val="4E8D468A"/>
    <w:rsid w:val="52033AF0"/>
    <w:rsid w:val="537D6DF5"/>
    <w:rsid w:val="5DEB0FE1"/>
    <w:rsid w:val="68FE551F"/>
    <w:rsid w:val="6A601CD7"/>
    <w:rsid w:val="6CFC6BBC"/>
    <w:rsid w:val="708D60AE"/>
    <w:rsid w:val="71417FFC"/>
    <w:rsid w:val="72C011EE"/>
    <w:rsid w:val="73263ABA"/>
    <w:rsid w:val="7414398D"/>
    <w:rsid w:val="781E0BC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iPriority="99"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unhideWhenUsed/>
    <w:qFormat/>
    <w:uiPriority w:val="1"/>
  </w:style>
  <w:style w:type="table" w:default="1" w:styleId="10">
    <w:name w:val="Normal Table"/>
    <w:unhideWhenUsed/>
    <w:uiPriority w:val="99"/>
    <w:tblPr>
      <w:tblCellMar>
        <w:top w:w="0" w:type="dxa"/>
        <w:left w:w="108" w:type="dxa"/>
        <w:bottom w:w="0" w:type="dxa"/>
        <w:right w:w="108" w:type="dxa"/>
      </w:tblCellMar>
    </w:tblPr>
  </w:style>
  <w:style w:type="paragraph" w:styleId="2">
    <w:name w:val="annotation text"/>
    <w:basedOn w:val="1"/>
    <w:link w:val="21"/>
    <w:autoRedefine/>
    <w:unhideWhenUsed/>
    <w:qFormat/>
    <w:uiPriority w:val="99"/>
    <w:pPr>
      <w:jc w:val="left"/>
    </w:pPr>
  </w:style>
  <w:style w:type="paragraph" w:styleId="3">
    <w:name w:val="Body Text Indent 2"/>
    <w:basedOn w:val="1"/>
    <w:link w:val="19"/>
    <w:qFormat/>
    <w:uiPriority w:val="0"/>
    <w:pPr>
      <w:ind w:firstLine="540" w:firstLineChars="257"/>
    </w:pPr>
    <w:rPr>
      <w:rFonts w:ascii="宋体" w:hAnsi="宋体"/>
    </w:rPr>
  </w:style>
  <w:style w:type="paragraph" w:styleId="4">
    <w:name w:val="Balloon Text"/>
    <w:basedOn w:val="1"/>
    <w:link w:val="20"/>
    <w:unhideWhenUsed/>
    <w:qFormat/>
    <w:uiPriority w:val="99"/>
    <w:rPr>
      <w:sz w:val="18"/>
      <w:szCs w:val="18"/>
    </w:rPr>
  </w:style>
  <w:style w:type="paragraph" w:styleId="5">
    <w:name w:val="footer"/>
    <w:basedOn w:val="1"/>
    <w:link w:val="16"/>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5"/>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Body Text Indent 3"/>
    <w:basedOn w:val="1"/>
    <w:autoRedefine/>
    <w:unhideWhenUsed/>
    <w:qFormat/>
    <w:uiPriority w:val="99"/>
    <w:pPr>
      <w:spacing w:line="360" w:lineRule="auto"/>
      <w:ind w:firstLine="540" w:firstLineChars="225"/>
      <w:outlineLvl w:val="0"/>
    </w:pPr>
    <w:rPr>
      <w:rFonts w:ascii="仿宋_GB2312" w:eastAsia="仿宋_GB2312"/>
      <w:sz w:val="24"/>
      <w:szCs w:val="18"/>
    </w:rPr>
  </w:style>
  <w:style w:type="paragraph" w:styleId="8">
    <w:name w:val="Normal (Web)"/>
    <w:basedOn w:val="1"/>
    <w:autoRedefine/>
    <w:qFormat/>
    <w:uiPriority w:val="0"/>
    <w:pPr>
      <w:widowControl/>
      <w:spacing w:before="100" w:beforeAutospacing="1" w:after="100" w:afterAutospacing="1"/>
      <w:jc w:val="left"/>
    </w:pPr>
    <w:rPr>
      <w:rFonts w:hint="eastAsia" w:ascii="宋体" w:hAnsi="宋体"/>
      <w:kern w:val="0"/>
      <w:sz w:val="24"/>
    </w:rPr>
  </w:style>
  <w:style w:type="paragraph" w:styleId="9">
    <w:name w:val="annotation subject"/>
    <w:basedOn w:val="2"/>
    <w:next w:val="2"/>
    <w:link w:val="22"/>
    <w:unhideWhenUsed/>
    <w:qFormat/>
    <w:uiPriority w:val="99"/>
    <w:rPr>
      <w:b/>
      <w:bCs/>
    </w:rPr>
  </w:style>
  <w:style w:type="character" w:styleId="12">
    <w:name w:val="Strong"/>
    <w:basedOn w:val="11"/>
    <w:autoRedefine/>
    <w:qFormat/>
    <w:uiPriority w:val="22"/>
    <w:rPr>
      <w:b/>
      <w:bCs/>
    </w:rPr>
  </w:style>
  <w:style w:type="character" w:styleId="13">
    <w:name w:val="page number"/>
    <w:basedOn w:val="11"/>
    <w:autoRedefine/>
    <w:unhideWhenUsed/>
    <w:qFormat/>
    <w:uiPriority w:val="99"/>
  </w:style>
  <w:style w:type="character" w:styleId="14">
    <w:name w:val="annotation reference"/>
    <w:basedOn w:val="11"/>
    <w:autoRedefine/>
    <w:unhideWhenUsed/>
    <w:qFormat/>
    <w:uiPriority w:val="99"/>
    <w:rPr>
      <w:sz w:val="21"/>
      <w:szCs w:val="21"/>
    </w:rPr>
  </w:style>
  <w:style w:type="character" w:customStyle="1" w:styleId="15">
    <w:name w:val="页眉 字符"/>
    <w:basedOn w:val="11"/>
    <w:link w:val="6"/>
    <w:autoRedefine/>
    <w:qFormat/>
    <w:uiPriority w:val="99"/>
    <w:rPr>
      <w:sz w:val="18"/>
      <w:szCs w:val="18"/>
    </w:rPr>
  </w:style>
  <w:style w:type="character" w:customStyle="1" w:styleId="16">
    <w:name w:val="页脚 字符"/>
    <w:basedOn w:val="11"/>
    <w:link w:val="5"/>
    <w:autoRedefine/>
    <w:qFormat/>
    <w:uiPriority w:val="99"/>
    <w:rPr>
      <w:sz w:val="18"/>
      <w:szCs w:val="18"/>
    </w:rPr>
  </w:style>
  <w:style w:type="character" w:customStyle="1" w:styleId="17">
    <w:name w:val="apple-converted-space"/>
    <w:basedOn w:val="11"/>
    <w:autoRedefine/>
    <w:qFormat/>
    <w:uiPriority w:val="0"/>
  </w:style>
  <w:style w:type="character" w:customStyle="1" w:styleId="18">
    <w:name w:val="apple-style-span"/>
    <w:basedOn w:val="11"/>
    <w:autoRedefine/>
    <w:qFormat/>
    <w:uiPriority w:val="0"/>
  </w:style>
  <w:style w:type="character" w:customStyle="1" w:styleId="19">
    <w:name w:val="正文文本缩进 2 字符"/>
    <w:basedOn w:val="11"/>
    <w:link w:val="3"/>
    <w:autoRedefine/>
    <w:qFormat/>
    <w:uiPriority w:val="0"/>
    <w:rPr>
      <w:rFonts w:ascii="宋体" w:hAnsi="宋体" w:eastAsia="宋体" w:cs="Times New Roman"/>
      <w:szCs w:val="24"/>
    </w:rPr>
  </w:style>
  <w:style w:type="character" w:customStyle="1" w:styleId="20">
    <w:name w:val="批注框文本 字符"/>
    <w:basedOn w:val="11"/>
    <w:link w:val="4"/>
    <w:autoRedefine/>
    <w:semiHidden/>
    <w:qFormat/>
    <w:uiPriority w:val="99"/>
    <w:rPr>
      <w:rFonts w:ascii="Times New Roman" w:hAnsi="Times New Roman" w:eastAsia="宋体" w:cs="Times New Roman"/>
      <w:sz w:val="18"/>
      <w:szCs w:val="18"/>
    </w:rPr>
  </w:style>
  <w:style w:type="character" w:customStyle="1" w:styleId="21">
    <w:name w:val="批注文字 字符"/>
    <w:basedOn w:val="11"/>
    <w:link w:val="2"/>
    <w:autoRedefine/>
    <w:semiHidden/>
    <w:qFormat/>
    <w:uiPriority w:val="99"/>
    <w:rPr>
      <w:rFonts w:ascii="Times New Roman" w:hAnsi="Times New Roman" w:eastAsia="宋体" w:cs="Times New Roman"/>
      <w:szCs w:val="24"/>
    </w:rPr>
  </w:style>
  <w:style w:type="character" w:customStyle="1" w:styleId="22">
    <w:name w:val="批注主题 字符"/>
    <w:basedOn w:val="21"/>
    <w:link w:val="9"/>
    <w:autoRedefine/>
    <w:semiHidden/>
    <w:qFormat/>
    <w:uiPriority w:val="99"/>
    <w:rPr>
      <w:rFonts w:ascii="Times New Roman" w:hAnsi="Times New Roman" w:eastAsia="宋体" w:cs="Times New Roman"/>
      <w:b/>
      <w:bCs/>
      <w:szCs w:val="24"/>
    </w:rPr>
  </w:style>
  <w:style w:type="paragraph" w:customStyle="1" w:styleId="23">
    <w:name w:val="列表段落1"/>
    <w:basedOn w:val="1"/>
    <w:autoRedefine/>
    <w:qFormat/>
    <w:uiPriority w:val="34"/>
    <w:pPr>
      <w:ind w:firstLine="420" w:firstLineChars="200"/>
    </w:pPr>
  </w:style>
  <w:style w:type="paragraph" w:customStyle="1" w:styleId="24">
    <w:name w:val="List Paragraph"/>
    <w:basedOn w:val="1"/>
    <w:autoRedefine/>
    <w:qFormat/>
    <w:uiPriority w:val="34"/>
    <w:pPr>
      <w:ind w:firstLine="420" w:firstLineChars="200"/>
    </w:pPr>
  </w:style>
  <w:style w:type="paragraph" w:customStyle="1" w:styleId="25">
    <w:name w:val="列出段落1"/>
    <w:basedOn w:val="1"/>
    <w:autoRedefine/>
    <w:qFormat/>
    <w:uiPriority w:val="34"/>
    <w:pPr>
      <w:ind w:firstLine="420" w:firstLineChars="200"/>
    </w:pPr>
    <w:rPr>
      <w:rFonts w:ascii="Calibri" w:hAnsi="Calibri" w:cs="黑体"/>
      <w:szCs w:val="22"/>
    </w:rPr>
  </w:style>
  <w:style w:type="paragraph" w:customStyle="1" w:styleId="26">
    <w:name w:val="无间隔1"/>
    <w:autoRedefine/>
    <w:qFormat/>
    <w:uiPriority w:val="1"/>
    <w:pPr>
      <w:widowControl w:val="0"/>
      <w:jc w:val="both"/>
    </w:pPr>
    <w:rPr>
      <w:rFonts w:ascii="Times New Roman" w:hAnsi="Times New Roman" w:eastAsia="宋体" w:cs="Times New Roman"/>
      <w:kern w:val="2"/>
      <w:sz w:val="21"/>
      <w:lang w:val="en-US" w:eastAsia="zh-CN" w:bidi="ar-SA"/>
    </w:rPr>
  </w:style>
  <w:style w:type="paragraph" w:customStyle="1" w:styleId="27">
    <w:name w:val="Revision"/>
    <w:autoRedefine/>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64939B-3400-4ECD-A04A-5B36D33606B3}">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Pages>
  <Words>6856</Words>
  <Characters>6901</Characters>
  <Lines>64</Lines>
  <Paragraphs>18</Paragraphs>
  <TotalTime>6</TotalTime>
  <ScaleCrop>false</ScaleCrop>
  <LinksUpToDate>false</LinksUpToDate>
  <CharactersWithSpaces>6927</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2024-09-11T02:54:00Z</dcterms:created>
  <dc:creator>封树静</dc:creator>
  <cp:lastModifiedBy>刘晴</cp:lastModifiedBy>
  <dcterms:modified xsi:type="dcterms:W3CDTF">2024-11-05T05:37:12Z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BBE131A57940430AAC8ADD56027D2218_13</vt:lpwstr>
  </property>
</Properties>
</file>