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0"/>
        <w:widowControl/>
        <w:spacing w:after="156" w:afterLines="50"/>
        <w:ind w:left="0" w:leftChars="0" w:firstLine="0" w:firstLineChars="0"/>
        <w:jc w:val="center"/>
        <w:rPr>
          <w:b/>
          <w:sz w:val="28"/>
        </w:rPr>
      </w:pPr>
      <w:bookmarkStart w:id="1" w:name="_GoBack"/>
      <w:bookmarkEnd w:id="1"/>
      <w:r>
        <w:rPr>
          <w:rFonts w:hint="eastAsia"/>
          <w:b/>
          <w:sz w:val="28"/>
        </w:rPr>
        <w:t>华农财产保险股份有限公司</w:t>
      </w:r>
    </w:p>
    <w:p>
      <w:pPr>
        <w:spacing w:after="156" w:afterLines="50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</w:rPr>
        <w:t>癌症医疗保险</w:t>
      </w:r>
      <w:r>
        <w:rPr>
          <w:rFonts w:hint="eastAsia" w:ascii="宋体" w:hAnsi="宋体"/>
          <w:b/>
          <w:sz w:val="28"/>
          <w:lang w:val="en-US" w:eastAsia="zh-CN"/>
        </w:rPr>
        <w:t>A款</w:t>
      </w:r>
      <w:r>
        <w:rPr>
          <w:rFonts w:hint="eastAsia" w:ascii="宋体" w:hAnsi="宋体"/>
          <w:b/>
          <w:sz w:val="28"/>
        </w:rPr>
        <w:t>费率表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互联网专属）</w:t>
      </w:r>
    </w:p>
    <w:p>
      <w:pPr>
        <w:pStyle w:val="10"/>
        <w:spacing w:after="156" w:afterLines="50"/>
        <w:ind w:left="0" w:leftChars="0" w:firstLine="0" w:firstLineChars="0"/>
        <w:jc w:val="center"/>
        <w:outlineLvl w:val="1"/>
        <w:rPr>
          <w:rFonts w:ascii="宋体" w:hAnsi="宋体"/>
          <w:b/>
          <w:sz w:val="28"/>
        </w:rPr>
      </w:pPr>
    </w:p>
    <w:p>
      <w:pPr>
        <w:pStyle w:val="10"/>
        <w:spacing w:after="156" w:afterLines="50"/>
        <w:ind w:left="0" w:leftChars="0" w:firstLine="0" w:firstLineChars="0"/>
        <w:jc w:val="center"/>
        <w:rPr>
          <w:rFonts w:ascii="宋体" w:hAnsi="宋体"/>
          <w:b/>
        </w:rPr>
      </w:pPr>
    </w:p>
    <w:p>
      <w:pPr>
        <w:numPr>
          <w:ilvl w:val="0"/>
          <w:numId w:val="1"/>
        </w:numPr>
        <w:spacing w:line="312" w:lineRule="auto"/>
        <w:rPr>
          <w:rFonts w:hAnsi="宋体"/>
          <w:sz w:val="21"/>
        </w:rPr>
      </w:pPr>
      <w:r>
        <w:rPr>
          <w:rFonts w:hint="eastAsia" w:hAnsi="宋体"/>
          <w:b/>
          <w:sz w:val="21"/>
        </w:rPr>
        <w:t>年基准保险费</w:t>
      </w:r>
    </w:p>
    <w:p>
      <w:pPr>
        <w:spacing w:line="312" w:lineRule="auto"/>
        <w:jc w:val="center"/>
        <w:rPr>
          <w:rFonts w:hAnsi="宋体"/>
          <w:sz w:val="21"/>
        </w:rPr>
      </w:pPr>
      <w:r>
        <w:rPr>
          <w:rFonts w:hint="eastAsia" w:hAnsi="宋体"/>
          <w:b/>
          <w:sz w:val="21"/>
          <w:lang w:val="en-US" w:eastAsia="zh-CN"/>
        </w:rPr>
        <w:t xml:space="preserve">                                                </w:t>
      </w:r>
      <w:r>
        <w:rPr>
          <w:rFonts w:hint="eastAsia" w:hAnsi="宋体"/>
          <w:b/>
          <w:sz w:val="21"/>
        </w:rPr>
        <w:t>单位：人民币元</w:t>
      </w:r>
    </w:p>
    <w:tbl>
      <w:tblPr>
        <w:tblStyle w:val="7"/>
        <w:tblW w:w="61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956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保险金额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100万元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2</w:t>
            </w:r>
            <w:r>
              <w:rPr>
                <w:rFonts w:hint="eastAsia" w:hAnsi="宋体" w:cs="宋体"/>
                <w:sz w:val="21"/>
              </w:rPr>
              <w:t>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widowControl/>
              <w:jc w:val="left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 xml:space="preserve">        社保情况</w:t>
            </w:r>
          </w:p>
          <w:p>
            <w:pPr>
              <w:widowControl/>
              <w:jc w:val="left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年龄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0-4周岁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127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299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160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5-10周岁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71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11-15周岁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131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16-20周岁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7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14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21-25周岁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hAnsi="宋体" w:eastAsia="宋体" w:cs="宋体"/>
                <w:sz w:val="21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1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20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26-30周岁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293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164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31-35周岁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192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374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203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399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36-40周岁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267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517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287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41-45周岁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364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700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389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747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46-50周岁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572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1062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609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1135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51-55周岁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769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1397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822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56-60周岁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100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179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1070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1918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61-65周岁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141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1</w:t>
            </w: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251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1</w:t>
            </w: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1512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2686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66-70周岁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201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4</w:t>
            </w: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358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2153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3837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71-75周岁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282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4</w:t>
            </w: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501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3023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5363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76-80周岁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sz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352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>6</w:t>
            </w:r>
            <w:r>
              <w:rPr>
                <w:rFonts w:hint="eastAsia" w:hAnsi="宋体" w:cs="宋体"/>
                <w:color w:val="000000"/>
                <w:sz w:val="22"/>
                <w:lang w:val="en-US" w:eastAsia="zh-CN" w:bidi="ar"/>
              </w:rPr>
              <w:t>198</w:t>
            </w: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3765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6631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81-85周岁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4367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7707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4675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8247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86-90周岁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4811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8447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5149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9039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91-95周岁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5586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9798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5979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10485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96-100周岁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6228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11136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6667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11919 </w:t>
            </w:r>
          </w:p>
        </w:tc>
      </w:tr>
    </w:tbl>
    <w:p>
      <w:pPr>
        <w:numPr>
          <w:ilvl w:val="255"/>
          <w:numId w:val="0"/>
        </w:numPr>
        <w:jc w:val="left"/>
        <w:rPr>
          <w:rFonts w:hint="eastAsia" w:ascii="宋体" w:hAnsi="宋体" w:cs="宋体"/>
          <w:b w:val="0"/>
          <w:bCs/>
          <w:sz w:val="21"/>
          <w:szCs w:val="21"/>
        </w:rPr>
      </w:pP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</w:rPr>
        <w:t>0周岁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指</w:t>
      </w:r>
      <w:r>
        <w:rPr>
          <w:rFonts w:hint="eastAsia" w:ascii="宋体" w:hAnsi="宋体" w:cs="宋体"/>
          <w:b w:val="0"/>
          <w:bCs/>
          <w:sz w:val="21"/>
          <w:szCs w:val="21"/>
        </w:rPr>
        <w:t>出生满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28</w:t>
      </w:r>
      <w:r>
        <w:rPr>
          <w:rFonts w:hint="eastAsia" w:ascii="宋体" w:hAnsi="宋体" w:cs="宋体"/>
          <w:b w:val="0"/>
          <w:bCs/>
          <w:sz w:val="21"/>
          <w:szCs w:val="21"/>
        </w:rPr>
        <w:t>日且已健康出院</w:t>
      </w:r>
    </w:p>
    <w:p>
      <w:pPr>
        <w:numPr>
          <w:ilvl w:val="255"/>
          <w:numId w:val="0"/>
        </w:numPr>
        <w:jc w:val="left"/>
        <w:rPr>
          <w:rFonts w:hint="eastAsia" w:ascii="宋体" w:hAnsi="宋体" w:cs="宋体"/>
          <w:b w:val="0"/>
          <w:bCs/>
          <w:sz w:val="21"/>
          <w:szCs w:val="21"/>
        </w:rPr>
      </w:pPr>
    </w:p>
    <w:p>
      <w:pPr>
        <w:numPr>
          <w:ilvl w:val="0"/>
          <w:numId w:val="1"/>
        </w:numPr>
        <w:spacing w:line="312" w:lineRule="auto"/>
        <w:rPr>
          <w:rFonts w:hAnsi="宋体"/>
          <w:b/>
          <w:sz w:val="21"/>
        </w:rPr>
      </w:pPr>
      <w:r>
        <w:rPr>
          <w:rFonts w:hint="eastAsia" w:hAnsi="宋体"/>
          <w:b/>
          <w:sz w:val="21"/>
        </w:rPr>
        <w:t>调整系数</w:t>
      </w:r>
    </w:p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1.免赔额调整系数</w:t>
      </w:r>
    </w:p>
    <w:tbl>
      <w:tblPr>
        <w:tblStyle w:val="7"/>
        <w:tblW w:w="10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066"/>
        <w:gridCol w:w="1066"/>
        <w:gridCol w:w="1301"/>
        <w:gridCol w:w="1302"/>
        <w:gridCol w:w="1301"/>
        <w:gridCol w:w="1301"/>
        <w:gridCol w:w="13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免赔额(元)</w:t>
            </w:r>
          </w:p>
        </w:tc>
        <w:tc>
          <w:tcPr>
            <w:tcW w:w="10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0</w:t>
            </w:r>
          </w:p>
        </w:tc>
        <w:tc>
          <w:tcPr>
            <w:tcW w:w="10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5000</w:t>
            </w:r>
          </w:p>
        </w:tc>
        <w:tc>
          <w:tcPr>
            <w:tcW w:w="1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8000</w:t>
            </w:r>
          </w:p>
        </w:tc>
        <w:tc>
          <w:tcPr>
            <w:tcW w:w="13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10000</w:t>
            </w:r>
          </w:p>
        </w:tc>
        <w:tc>
          <w:tcPr>
            <w:tcW w:w="1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15000</w:t>
            </w:r>
          </w:p>
        </w:tc>
        <w:tc>
          <w:tcPr>
            <w:tcW w:w="1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20000</w:t>
            </w:r>
          </w:p>
        </w:tc>
        <w:tc>
          <w:tcPr>
            <w:tcW w:w="13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  <w:tc>
          <w:tcPr>
            <w:tcW w:w="10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1.0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/>
                <w:sz w:val="21"/>
                <w:lang w:val="en-US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0.8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/>
                <w:sz w:val="21"/>
                <w:lang w:val="en-US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0.5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0.4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2.</w:t>
      </w:r>
      <w:r>
        <w:rPr>
          <w:rFonts w:hint="eastAsia" w:hAnsi="宋体"/>
          <w:sz w:val="21"/>
          <w:lang w:val="en-US" w:eastAsia="zh-CN"/>
        </w:rPr>
        <w:t>给付</w:t>
      </w:r>
      <w:r>
        <w:rPr>
          <w:rFonts w:hint="eastAsia" w:hAnsi="宋体"/>
          <w:sz w:val="21"/>
        </w:rPr>
        <w:t>比例调整系数</w:t>
      </w:r>
    </w:p>
    <w:tbl>
      <w:tblPr>
        <w:tblStyle w:val="7"/>
        <w:tblW w:w="96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380"/>
        <w:gridCol w:w="1276"/>
        <w:gridCol w:w="1276"/>
        <w:gridCol w:w="1417"/>
        <w:gridCol w:w="1276"/>
        <w:gridCol w:w="15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  <w:lang w:val="en-US" w:eastAsia="zh-CN"/>
              </w:rPr>
              <w:t>给付</w:t>
            </w:r>
            <w:r>
              <w:rPr>
                <w:rFonts w:hint="eastAsia" w:hAnsi="宋体"/>
                <w:sz w:val="21"/>
              </w:rPr>
              <w:t>比例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≤50%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（50%,60%]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（60%,70%]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（70%,80%]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（80%,90%]</w:t>
            </w:r>
          </w:p>
        </w:tc>
        <w:tc>
          <w:tcPr>
            <w:tcW w:w="15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（90%,100%]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0,0.5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0.5,0.6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0.6,0.7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0.7,0.8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0.8,0.9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3.规模调整系数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4.历史赔付率调整系数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</w:t>
            </w:r>
            <w:r>
              <w:rPr>
                <w:rFonts w:hint="eastAsia" w:hAnsi="宋体"/>
                <w:sz w:val="21"/>
              </w:rPr>
              <w:t>0.5,0.7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(</w:t>
            </w:r>
            <w:r>
              <w:rPr>
                <w:rFonts w:hint="eastAsia" w:hAnsi="宋体"/>
                <w:sz w:val="21"/>
              </w:rPr>
              <w:t>0.7,0.9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(</w:t>
            </w:r>
            <w:r>
              <w:rPr>
                <w:rFonts w:hint="eastAsia" w:hAnsi="宋体"/>
                <w:sz w:val="21"/>
              </w:rPr>
              <w:t>0.9,1.1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(</w:t>
            </w:r>
            <w:r>
              <w:rPr>
                <w:rFonts w:hint="eastAsia" w:hAnsi="宋体"/>
                <w:sz w:val="21"/>
              </w:rPr>
              <w:t>1.1,1.5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1.0</w:t>
            </w:r>
          </w:p>
        </w:tc>
      </w:tr>
    </w:tbl>
    <w:p>
      <w:pPr>
        <w:spacing w:line="288" w:lineRule="auto"/>
        <w:ind w:firstLine="421"/>
        <w:rPr>
          <w:rFonts w:hAnsi="宋体"/>
          <w:sz w:val="21"/>
          <w:lang w:bidi="ar"/>
        </w:rPr>
      </w:pPr>
      <w:r>
        <w:rPr>
          <w:rFonts w:hint="eastAsia" w:hAnsi="宋体"/>
          <w:sz w:val="21"/>
          <w:lang w:val="en-US" w:eastAsia="zh-CN" w:bidi="ar"/>
        </w:rPr>
        <w:t>5.</w:t>
      </w:r>
      <w:r>
        <w:rPr>
          <w:rFonts w:hint="eastAsia" w:hAnsi="宋体"/>
          <w:sz w:val="21"/>
          <w:lang w:bidi="ar"/>
        </w:rPr>
        <w:t>等待期调整系数</w:t>
      </w:r>
    </w:p>
    <w:tbl>
      <w:tblPr>
        <w:tblStyle w:val="7"/>
        <w:tblW w:w="4678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2</w:t>
            </w:r>
            <w:r>
              <w:rPr>
                <w:rFonts w:hint="eastAsia" w:hAnsi="宋体"/>
                <w:kern w:val="2"/>
                <w:sz w:val="21"/>
                <w:szCs w:val="21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30天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1.</w:t>
            </w:r>
            <w:r>
              <w:rPr>
                <w:rFonts w:hAnsi="宋体"/>
                <w:kern w:val="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60天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90天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1</w:t>
            </w:r>
            <w:r>
              <w:rPr>
                <w:rFonts w:hint="eastAsia" w:hAnsi="宋体"/>
                <w:kern w:val="2"/>
                <w:sz w:val="21"/>
                <w:szCs w:val="21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120天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0.</w:t>
            </w:r>
            <w:r>
              <w:rPr>
                <w:rFonts w:hAnsi="宋体"/>
                <w:kern w:val="2"/>
                <w:sz w:val="21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1</w:t>
            </w:r>
            <w:r>
              <w:rPr>
                <w:rFonts w:hAnsi="宋体"/>
                <w:kern w:val="2"/>
                <w:sz w:val="21"/>
                <w:szCs w:val="21"/>
              </w:rPr>
              <w:t>50天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hint="eastAsia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val="en-US" w:eastAsia="zh-CN"/>
              </w:rPr>
              <w:t>180天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val="en-US" w:eastAsia="zh-CN"/>
              </w:rPr>
              <w:t>0.7</w:t>
            </w:r>
          </w:p>
        </w:tc>
      </w:tr>
    </w:tbl>
    <w:p>
      <w:pPr>
        <w:numPr>
          <w:ilvl w:val="255"/>
          <w:numId w:val="0"/>
        </w:numPr>
        <w:ind w:firstLine="630" w:firstLineChars="300"/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6.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0"/>
    </w:tbl>
    <w:p>
      <w:pPr>
        <w:spacing w:line="240" w:lineRule="auto"/>
        <w:ind w:firstLine="210" w:firstLineChars="100"/>
        <w:rPr>
          <w:rFonts w:hint="eastAsia" w:hAnsi="宋体"/>
          <w:b w:val="0"/>
          <w:sz w:val="21"/>
          <w:lang w:val="en-US" w:eastAsia="zh-CN"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spacing w:line="288" w:lineRule="auto"/>
        <w:rPr>
          <w:rFonts w:hint="eastAsia" w:hAnsi="宋体"/>
          <w:b/>
          <w:sz w:val="21"/>
        </w:rPr>
      </w:pPr>
      <w:r>
        <w:rPr>
          <w:rFonts w:hint="eastAsia" w:hAnsi="宋体"/>
          <w:b/>
          <w:sz w:val="21"/>
        </w:rPr>
        <w:t>保险费计算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/>
          <w:b w:val="0"/>
          <w:color w:val="auto"/>
          <w:sz w:val="21"/>
          <w:lang w:val="en-US" w:eastAsia="zh-CN"/>
        </w:rPr>
        <w:t>1.</w:t>
      </w:r>
      <w:r>
        <w:rPr>
          <w:rFonts w:hint="eastAsia" w:hAnsi="宋体"/>
          <w:color w:val="auto"/>
          <w:sz w:val="21"/>
        </w:rPr>
        <w:t>年保</w:t>
      </w:r>
      <w:r>
        <w:rPr>
          <w:rFonts w:hint="eastAsia" w:hAnsi="宋体"/>
          <w:sz w:val="21"/>
        </w:rPr>
        <w:t>险费=年基准保险费×免赔额调整系数×</w:t>
      </w:r>
      <w:r>
        <w:rPr>
          <w:rFonts w:hint="eastAsia" w:hAnsi="宋体"/>
          <w:sz w:val="21"/>
          <w:lang w:val="en-US" w:eastAsia="zh-CN"/>
        </w:rPr>
        <w:t>给付</w:t>
      </w:r>
      <w:r>
        <w:rPr>
          <w:rFonts w:hint="eastAsia" w:hAnsi="宋体"/>
          <w:sz w:val="21"/>
        </w:rPr>
        <w:t>比例调整系数×规模调整系数×历史赔付率调整系数</w:t>
      </w:r>
      <w:r>
        <w:rPr>
          <w:rFonts w:hint="eastAsia" w:hAnsi="宋体" w:cs="Arial"/>
          <w:kern w:val="2"/>
          <w:sz w:val="21"/>
          <w:szCs w:val="21"/>
        </w:rPr>
        <w:t>×等待期调整系数</w:t>
      </w:r>
      <w:r>
        <w:rPr>
          <w:rFonts w:hint="eastAsia" w:hAnsi="宋体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</w:pP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2.保险合同按分期缴付保险费，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根据保险费分期支付期数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，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使用如下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公式计收每期保险费：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</w:rPr>
      </w:pPr>
      <w:r>
        <w:rPr>
          <w:rFonts w:hint="eastAsia" w:hAnsi="宋体" w:cs="Times New Roman"/>
          <w:color w:val="auto"/>
          <w:kern w:val="0"/>
          <w:sz w:val="21"/>
          <w:szCs w:val="22"/>
        </w:rPr>
        <w:t>每期保险费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（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按四舍五入计算）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=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年保险费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÷分期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缴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费期数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kern w:val="2"/>
          <w:sz w:val="21"/>
          <w:szCs w:val="21"/>
        </w:rPr>
      </w:pPr>
    </w:p>
    <w:p>
      <w:pPr>
        <w:snapToGrid w:val="0"/>
        <w:spacing w:line="288" w:lineRule="auto"/>
        <w:rPr>
          <w:rFonts w:hAnsi="宋体"/>
          <w:b/>
          <w:sz w:val="21"/>
        </w:rPr>
      </w:pPr>
      <w:r>
        <w:rPr>
          <w:rFonts w:hint="eastAsia" w:hAnsi="宋体"/>
          <w:b/>
          <w:sz w:val="21"/>
        </w:rPr>
        <w:t>四、短期费率表</w:t>
      </w:r>
    </w:p>
    <w:p>
      <w:pPr>
        <w:snapToGrid w:val="0"/>
        <w:spacing w:line="288" w:lineRule="auto"/>
        <w:ind w:firstLine="482"/>
        <w:rPr>
          <w:rFonts w:hAnsi="宋体"/>
          <w:sz w:val="21"/>
        </w:rPr>
      </w:pPr>
      <w:r>
        <w:rPr>
          <w:rFonts w:hint="eastAsia" w:hAnsi="宋体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100%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2214E"/>
    <w:multiLevelType w:val="multilevel"/>
    <w:tmpl w:val="58D2214E"/>
    <w:lvl w:ilvl="0" w:tentative="0">
      <w:start w:val="1"/>
      <w:numFmt w:val="chineseCounting"/>
      <w:suff w:val="nothing"/>
      <w:lvlText w:val="%1、"/>
      <w:lvlJc w:val="left"/>
      <w:rPr>
        <w:rFonts w:hint="default"/>
        <w:u w:val="none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5B0E66"/>
    <w:rsid w:val="00002D5C"/>
    <w:rsid w:val="00074012"/>
    <w:rsid w:val="000D047F"/>
    <w:rsid w:val="00173657"/>
    <w:rsid w:val="001A78DD"/>
    <w:rsid w:val="00250A54"/>
    <w:rsid w:val="002A103F"/>
    <w:rsid w:val="0034578F"/>
    <w:rsid w:val="0037753C"/>
    <w:rsid w:val="00545284"/>
    <w:rsid w:val="00571737"/>
    <w:rsid w:val="0060173C"/>
    <w:rsid w:val="006C7DD1"/>
    <w:rsid w:val="008E214D"/>
    <w:rsid w:val="009440E7"/>
    <w:rsid w:val="009516BA"/>
    <w:rsid w:val="009C370E"/>
    <w:rsid w:val="00A5099B"/>
    <w:rsid w:val="00AA34F9"/>
    <w:rsid w:val="00AE2F5B"/>
    <w:rsid w:val="00B02D30"/>
    <w:rsid w:val="00B05FEC"/>
    <w:rsid w:val="00B16ACF"/>
    <w:rsid w:val="00C049CB"/>
    <w:rsid w:val="00C25771"/>
    <w:rsid w:val="00CF7C25"/>
    <w:rsid w:val="00E46353"/>
    <w:rsid w:val="00EF1ED1"/>
    <w:rsid w:val="00F536B6"/>
    <w:rsid w:val="00F91E73"/>
    <w:rsid w:val="00FA4D54"/>
    <w:rsid w:val="00FB402C"/>
    <w:rsid w:val="05FA0328"/>
    <w:rsid w:val="06E27705"/>
    <w:rsid w:val="074B518D"/>
    <w:rsid w:val="08F644C0"/>
    <w:rsid w:val="0C7D530C"/>
    <w:rsid w:val="0D502222"/>
    <w:rsid w:val="0DB8110E"/>
    <w:rsid w:val="13A53C0C"/>
    <w:rsid w:val="14A32C59"/>
    <w:rsid w:val="217837A4"/>
    <w:rsid w:val="22B811E0"/>
    <w:rsid w:val="27D60AEC"/>
    <w:rsid w:val="2EF146C7"/>
    <w:rsid w:val="3BA400EF"/>
    <w:rsid w:val="3D356E64"/>
    <w:rsid w:val="40AB4788"/>
    <w:rsid w:val="45CF5FBA"/>
    <w:rsid w:val="48837966"/>
    <w:rsid w:val="4AD50EDB"/>
    <w:rsid w:val="4D252B1B"/>
    <w:rsid w:val="503A778E"/>
    <w:rsid w:val="52406AE7"/>
    <w:rsid w:val="5B5B0E66"/>
    <w:rsid w:val="5EE21E69"/>
    <w:rsid w:val="63AF0098"/>
    <w:rsid w:val="65F36DA4"/>
    <w:rsid w:val="673C0A1C"/>
    <w:rsid w:val="6D8E55F4"/>
    <w:rsid w:val="70CF2785"/>
    <w:rsid w:val="76C7121D"/>
    <w:rsid w:val="7700267B"/>
    <w:rsid w:val="776F438D"/>
    <w:rsid w:val="79413A77"/>
    <w:rsid w:val="7FFC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条款正文"/>
    <w:basedOn w:val="1"/>
    <w:unhideWhenUsed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/>
      <w:sz w:val="21"/>
    </w:rPr>
  </w:style>
  <w:style w:type="character" w:customStyle="1" w:styleId="11">
    <w:name w:val="批注框文本 Char"/>
    <w:basedOn w:val="8"/>
    <w:link w:val="3"/>
    <w:qFormat/>
    <w:uiPriority w:val="0"/>
    <w:rPr>
      <w:rFonts w:ascii="宋体"/>
      <w:sz w:val="18"/>
      <w:szCs w:val="18"/>
    </w:rPr>
  </w:style>
  <w:style w:type="character" w:customStyle="1" w:styleId="12">
    <w:name w:val="页眉 Char"/>
    <w:basedOn w:val="8"/>
    <w:link w:val="5"/>
    <w:qFormat/>
    <w:uiPriority w:val="0"/>
    <w:rPr>
      <w:rFonts w:ascii="宋体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ascii="宋体"/>
      <w:sz w:val="18"/>
      <w:szCs w:val="18"/>
    </w:rPr>
  </w:style>
  <w:style w:type="character" w:customStyle="1" w:styleId="14">
    <w:name w:val="批注文字 Char"/>
    <w:basedOn w:val="8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Char"/>
    <w:basedOn w:val="14"/>
    <w:link w:val="6"/>
    <w:qFormat/>
    <w:uiPriority w:val="0"/>
    <w:rPr>
      <w:rFonts w:ascii="宋体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277</Words>
  <Characters>1584</Characters>
  <Lines>13</Lines>
  <Paragraphs>3</Paragraphs>
  <TotalTime>2</TotalTime>
  <ScaleCrop>false</ScaleCrop>
  <LinksUpToDate>false</LinksUpToDate>
  <CharactersWithSpaces>1858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2021-04-12T03:23:00Z</dcterms:created>
  <dc:creator>Lenovo</dc:creator>
  <cp:lastModifiedBy>Zixuan Shen</cp:lastModifiedBy>
  <dcterms:modified xsi:type="dcterms:W3CDTF">2021-11-22T02:20:10Z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5CB008CA1677497486352329099D9237</vt:lpwstr>
  </property>
</Properties>
</file>