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Ansi="宋体" w:cs="Arial"/>
          <w:b/>
          <w:color w:val="000000"/>
          <w:kern w:val="2"/>
          <w:sz w:val="28"/>
          <w:szCs w:val="28"/>
        </w:rPr>
      </w:pPr>
      <w:r>
        <w:rPr>
          <w:rFonts w:hint="eastAsia" w:hAnsi="宋体" w:cs="宋体"/>
          <w:b/>
          <w:color w:val="000000"/>
          <w:kern w:val="2"/>
          <w:sz w:val="28"/>
          <w:szCs w:val="28"/>
        </w:rPr>
        <w:t>华农财产保险股份有限公司</w:t>
      </w:r>
    </w:p>
    <w:p>
      <w:pPr>
        <w:pStyle w:val="6"/>
        <w:adjustRightInd w:val="0"/>
        <w:snapToGrid w:val="0"/>
        <w:spacing w:after="156" w:afterLines="50" w:afterAutospacing="0"/>
        <w:jc w:val="center"/>
        <w:outlineLvl w:val="1"/>
        <w:rPr>
          <w:rFonts w:cs="Arial"/>
          <w:b/>
          <w:color w:val="000000"/>
          <w:kern w:val="2"/>
          <w:sz w:val="28"/>
          <w:szCs w:val="28"/>
        </w:rPr>
      </w:pPr>
      <w:r>
        <w:rPr>
          <w:rFonts w:hint="eastAsia"/>
          <w:b/>
          <w:sz w:val="28"/>
          <w:szCs w:val="28"/>
        </w:rPr>
        <w:t>门（急）诊医疗费用保险A款</w:t>
      </w:r>
      <w:r>
        <w:rPr>
          <w:rFonts w:hint="eastAsia" w:cs="Arial"/>
          <w:b/>
          <w:color w:val="000000"/>
          <w:kern w:val="2"/>
          <w:sz w:val="28"/>
          <w:szCs w:val="28"/>
        </w:rPr>
        <w:t>费率表（互联网专属）</w:t>
      </w:r>
    </w:p>
    <w:p>
      <w:pPr>
        <w:pStyle w:val="6"/>
        <w:adjustRightInd w:val="0"/>
        <w:snapToGrid w:val="0"/>
        <w:spacing w:after="156" w:afterLines="50" w:afterAutospacing="0"/>
        <w:jc w:val="center"/>
        <w:rPr>
          <w:rFonts w:cs="Arial"/>
          <w:b/>
          <w:color w:val="000000"/>
          <w:kern w:val="2"/>
          <w:sz w:val="21"/>
          <w:szCs w:val="21"/>
        </w:rPr>
      </w:pPr>
      <w:r>
        <w:rPr>
          <w:rFonts w:hint="eastAsia" w:cs="Arial"/>
          <w:b/>
          <w:color w:val="000000"/>
          <w:kern w:val="2"/>
          <w:sz w:val="21"/>
          <w:szCs w:val="21"/>
        </w:rPr>
        <w:t xml:space="preserve"> </w:t>
      </w:r>
    </w:p>
    <w:p>
      <w:pPr>
        <w:numPr>
          <w:ilvl w:val="0"/>
          <w:numId w:val="1"/>
        </w:num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年基准保费</w:t>
      </w:r>
    </w:p>
    <w:p>
      <w:pPr>
        <w:numPr>
          <w:ilvl w:val="255"/>
          <w:numId w:val="0"/>
        </w:numPr>
        <w:jc w:val="left"/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1、门（急）诊医疗费用保险金</w:t>
      </w:r>
    </w:p>
    <w:tbl>
      <w:tblPr>
        <w:tblStyle w:val="8"/>
        <w:tblW w:w="6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0"/>
        <w:gridCol w:w="3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bookmarkStart w:id="0" w:name="OLE_LINK2"/>
            <w:r>
              <w:rPr>
                <w:rFonts w:hint="eastAsia" w:hAnsi="宋体" w:cs="宋体"/>
                <w:bCs/>
                <w:sz w:val="21"/>
                <w:szCs w:val="21"/>
              </w:rPr>
              <w:t>年龄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年基准保费</w:t>
            </w:r>
            <w:bookmarkStart w:id="1" w:name="OLE_LINK6"/>
            <w:r>
              <w:rPr>
                <w:rFonts w:hint="eastAsia" w:hAnsi="宋体" w:cs="宋体"/>
                <w:bCs/>
                <w:sz w:val="21"/>
                <w:szCs w:val="21"/>
              </w:rPr>
              <w:t>（元）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30天-5周岁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142+保险金额×107‰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6-17周岁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56+保险金额×42‰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18-30周岁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61+保险金额×46‰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31-40周岁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69+保险金额×52‰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41-50周岁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142+保险金额×107‰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51-60周岁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195+保险金额×148‰</w:t>
            </w:r>
          </w:p>
        </w:tc>
      </w:tr>
      <w:bookmarkEnd w:id="0"/>
    </w:tbl>
    <w:p>
      <w:pPr>
        <w:numPr>
          <w:ilvl w:val="255"/>
          <w:numId w:val="0"/>
        </w:numPr>
        <w:jc w:val="left"/>
        <w:rPr>
          <w:rFonts w:hint="eastAsia"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注：上表中保险金额为门（急）诊医疗费用保险金的保险金额</w:t>
      </w:r>
    </w:p>
    <w:p>
      <w:pPr>
        <w:numPr>
          <w:ilvl w:val="255"/>
          <w:numId w:val="0"/>
        </w:numPr>
        <w:jc w:val="left"/>
        <w:rPr>
          <w:rFonts w:hAnsi="宋体" w:cs="宋体"/>
          <w:bCs/>
          <w:sz w:val="21"/>
          <w:szCs w:val="21"/>
        </w:rPr>
      </w:pPr>
    </w:p>
    <w:p>
      <w:pPr>
        <w:numPr>
          <w:ilvl w:val="255"/>
          <w:numId w:val="0"/>
        </w:numPr>
        <w:jc w:val="left"/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2、互联网医院药品医疗费用保险金</w:t>
      </w:r>
    </w:p>
    <w:p>
      <w:pPr>
        <w:numPr>
          <w:ilvl w:val="255"/>
          <w:numId w:val="0"/>
        </w:numPr>
        <w:jc w:val="left"/>
        <w:rPr>
          <w:rFonts w:hAnsi="宋体" w:cs="宋体"/>
          <w:bCs/>
          <w:sz w:val="21"/>
          <w:szCs w:val="21"/>
        </w:rPr>
      </w:pPr>
    </w:p>
    <w:tbl>
      <w:tblPr>
        <w:tblStyle w:val="8"/>
        <w:tblW w:w="6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0"/>
        <w:gridCol w:w="3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年龄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年基准保费（元）</w:t>
            </w:r>
          </w:p>
        </w:tc>
      </w:tr>
      <w:tr>
        <w:trPr>
          <w:trHeight w:val="42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30天-5周岁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33+保险金额×3.85‰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6-17周岁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13+保险金额×1.55‰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18-30周岁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14+保险金额×1.70‰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31-40周岁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16+保险金额×1.90‰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41-50周岁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33+保险金额×3.85‰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51-60周岁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45+保险金额×5.25‰</w:t>
            </w:r>
          </w:p>
        </w:tc>
      </w:tr>
    </w:tbl>
    <w:p>
      <w:pPr>
        <w:numPr>
          <w:ilvl w:val="255"/>
          <w:numId w:val="0"/>
        </w:numPr>
        <w:jc w:val="left"/>
        <w:rPr>
          <w:rFonts w:hint="eastAsia"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注：上表中保险金额为互联网医院药品医疗费用保险金的保险金额</w:t>
      </w:r>
    </w:p>
    <w:p>
      <w:pPr>
        <w:numPr>
          <w:ilvl w:val="255"/>
          <w:numId w:val="0"/>
        </w:numPr>
        <w:jc w:val="left"/>
        <w:rPr>
          <w:rFonts w:hAnsi="宋体" w:cs="宋体"/>
          <w:bCs/>
          <w:sz w:val="21"/>
          <w:szCs w:val="21"/>
        </w:rPr>
      </w:pP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二、费率调整系数</w:t>
      </w:r>
    </w:p>
    <w:p>
      <w:pPr>
        <w:numPr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  <w:bookmarkStart w:id="2" w:name="_Hlk40970434"/>
      <w:r>
        <w:rPr>
          <w:rFonts w:hint="default" w:hAnsi="宋体" w:cs="Arial"/>
          <w:bCs/>
          <w:color w:val="000000"/>
          <w:kern w:val="2"/>
          <w:sz w:val="21"/>
          <w:szCs w:val="21"/>
        </w:rPr>
        <w:t>1</w:t>
      </w:r>
      <w:r>
        <w:rPr>
          <w:rFonts w:hint="eastAsia" w:hAnsi="宋体" w:cs="Arial"/>
          <w:bCs/>
          <w:color w:val="000000"/>
          <w:kern w:val="2"/>
          <w:sz w:val="21"/>
          <w:szCs w:val="21"/>
          <w:lang w:eastAsia="zh-Hans"/>
        </w:rPr>
        <w:t>、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等待期（天）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60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90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120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150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180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0.70</w:t>
            </w:r>
          </w:p>
        </w:tc>
      </w:tr>
    </w:tbl>
    <w:p>
      <w:pPr>
        <w:rPr>
          <w:rFonts w:hint="eastAsia" w:hAnsi="宋体" w:cs="Arial"/>
          <w:bCs/>
          <w:color w:val="000000"/>
          <w:kern w:val="2"/>
          <w:sz w:val="21"/>
          <w:szCs w:val="21"/>
        </w:rPr>
      </w:pPr>
      <w:bookmarkStart w:id="3" w:name="OLE_LINK15"/>
      <w:r>
        <w:rPr>
          <w:rFonts w:hint="eastAsia" w:hAnsi="宋体" w:cs="Arial"/>
          <w:bCs/>
          <w:color w:val="000000"/>
          <w:kern w:val="2"/>
          <w:sz w:val="21"/>
          <w:szCs w:val="21"/>
        </w:rPr>
        <w:t>注：如本合同约定承担</w:t>
      </w:r>
      <w:bookmarkStart w:id="4" w:name="OLE_LINK8"/>
      <w:r>
        <w:rPr>
          <w:rFonts w:hint="eastAsia" w:hAnsi="宋体" w:cs="Arial"/>
          <w:bCs/>
          <w:color w:val="000000"/>
          <w:kern w:val="2"/>
          <w:sz w:val="21"/>
          <w:szCs w:val="21"/>
        </w:rPr>
        <w:t>因高血压、高血脂、高血糖、糖尿病</w:t>
      </w:r>
      <w:bookmarkEnd w:id="4"/>
      <w:r>
        <w:rPr>
          <w:rFonts w:hint="eastAsia" w:hAnsi="宋体" w:cs="Arial"/>
          <w:bCs/>
          <w:color w:val="000000"/>
          <w:kern w:val="2"/>
          <w:sz w:val="21"/>
          <w:szCs w:val="21"/>
        </w:rPr>
        <w:t>导致的保险责任，等待期</w:t>
      </w:r>
      <w:r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  <w:t>为0天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。</w:t>
      </w:r>
    </w:p>
    <w:p>
      <w:pPr>
        <w:rPr>
          <w:rFonts w:hint="eastAsia" w:hAnsi="宋体" w:cs="Arial"/>
          <w:bCs/>
          <w:color w:val="000000"/>
          <w:kern w:val="2"/>
          <w:sz w:val="21"/>
          <w:szCs w:val="21"/>
        </w:rPr>
      </w:pPr>
    </w:p>
    <w:p>
      <w:pPr>
        <w:numPr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default" w:hAnsi="宋体" w:cs="Arial"/>
          <w:bCs/>
          <w:color w:val="000000"/>
          <w:kern w:val="2"/>
          <w:sz w:val="21"/>
          <w:szCs w:val="21"/>
        </w:rPr>
        <w:t>2</w:t>
      </w:r>
      <w:r>
        <w:rPr>
          <w:rFonts w:hint="eastAsia" w:hAnsi="宋体" w:cs="Arial"/>
          <w:bCs/>
          <w:color w:val="000000"/>
          <w:kern w:val="2"/>
          <w:sz w:val="21"/>
          <w:szCs w:val="21"/>
          <w:lang w:eastAsia="zh-Hans"/>
        </w:rPr>
        <w:t>、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单次免赔额调整系数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单次免赔额（元）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</w:t>
            </w: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50）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（1.1,1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.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[50,10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[100,200)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[200,30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[0.8,0.9]</w:t>
            </w:r>
          </w:p>
        </w:tc>
      </w:tr>
    </w:tbl>
    <w:p>
      <w:pPr>
        <w:rPr>
          <w:rFonts w:hint="eastAsia" w:hAnsi="宋体" w:cs="宋体"/>
          <w:bCs/>
          <w:sz w:val="21"/>
          <w:szCs w:val="21"/>
        </w:rPr>
      </w:pPr>
      <w:r>
        <w:rPr>
          <w:rStyle w:val="11"/>
          <w:rFonts w:hint="eastAsia"/>
          <w:lang w:val="en-US" w:eastAsia="zh-CN"/>
        </w:rPr>
        <w:t>注：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本项适用于</w:t>
      </w:r>
      <w:r>
        <w:rPr>
          <w:rFonts w:hint="eastAsia" w:hAnsi="宋体" w:cs="宋体"/>
          <w:bCs/>
          <w:sz w:val="21"/>
          <w:szCs w:val="21"/>
        </w:rPr>
        <w:t>门（急）诊医疗费用保险金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和</w:t>
      </w:r>
      <w:r>
        <w:rPr>
          <w:rFonts w:hint="eastAsia" w:hAnsi="宋体" w:cs="宋体"/>
          <w:bCs/>
          <w:sz w:val="21"/>
          <w:szCs w:val="21"/>
        </w:rPr>
        <w:t>互联网医院药品医疗费用保险金</w:t>
      </w:r>
    </w:p>
    <w:p>
      <w:pPr>
        <w:rPr>
          <w:rFonts w:hint="eastAsia" w:hAnsi="宋体" w:cs="宋体"/>
          <w:bCs/>
          <w:sz w:val="21"/>
          <w:szCs w:val="21"/>
        </w:rPr>
      </w:pPr>
    </w:p>
    <w:p>
      <w:pPr>
        <w:numPr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default" w:hAnsi="宋体" w:cs="Arial"/>
          <w:bCs/>
          <w:color w:val="000000"/>
          <w:kern w:val="2"/>
          <w:sz w:val="21"/>
          <w:szCs w:val="21"/>
        </w:rPr>
        <w:t>3</w:t>
      </w:r>
      <w:r>
        <w:rPr>
          <w:rFonts w:hint="eastAsia" w:hAnsi="宋体" w:cs="Arial"/>
          <w:bCs/>
          <w:color w:val="000000"/>
          <w:kern w:val="2"/>
          <w:sz w:val="21"/>
          <w:szCs w:val="21"/>
          <w:lang w:eastAsia="zh-Hans"/>
        </w:rPr>
        <w:t>、</w:t>
      </w:r>
      <w:bookmarkStart w:id="13" w:name="_GoBack"/>
      <w:bookmarkEnd w:id="13"/>
      <w:r>
        <w:rPr>
          <w:rFonts w:hint="eastAsia" w:hAnsi="宋体" w:cs="Arial"/>
          <w:bCs/>
          <w:color w:val="000000"/>
          <w:kern w:val="2"/>
          <w:sz w:val="21"/>
          <w:szCs w:val="21"/>
        </w:rPr>
        <w:t>赔付比例调整系数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赔付比例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（0%</w:t>
            </w: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30%]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.2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,0.3]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(30%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60%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0.3,0.6]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(60%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80%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0.6,0.8]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8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,10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0.8,1</w:t>
            </w: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.0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</w:tbl>
    <w:p>
      <w:pPr>
        <w:numPr>
          <w:ilvl w:val="255"/>
          <w:numId w:val="0"/>
        </w:numPr>
        <w:rPr>
          <w:rFonts w:hint="eastAsia" w:hAnsi="宋体" w:cs="宋体"/>
          <w:bCs/>
          <w:sz w:val="21"/>
          <w:szCs w:val="21"/>
        </w:rPr>
      </w:pPr>
      <w:r>
        <w:rPr>
          <w:rStyle w:val="11"/>
          <w:rFonts w:hint="eastAsia"/>
          <w:lang w:val="en-US" w:eastAsia="zh-CN"/>
        </w:rPr>
        <w:t>注：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本项适用于</w:t>
      </w:r>
      <w:r>
        <w:rPr>
          <w:rFonts w:hint="eastAsia" w:hAnsi="宋体" w:cs="宋体"/>
          <w:bCs/>
          <w:sz w:val="21"/>
          <w:szCs w:val="21"/>
        </w:rPr>
        <w:t>门（急）诊医疗费用保险金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和</w:t>
      </w:r>
      <w:r>
        <w:rPr>
          <w:rFonts w:hint="eastAsia" w:hAnsi="宋体" w:cs="宋体"/>
          <w:bCs/>
          <w:sz w:val="21"/>
          <w:szCs w:val="21"/>
        </w:rPr>
        <w:t>互联网医院药品医疗费用保险金</w:t>
      </w:r>
    </w:p>
    <w:p>
      <w:pPr>
        <w:numPr>
          <w:ilvl w:val="255"/>
          <w:numId w:val="0"/>
        </w:numPr>
        <w:rPr>
          <w:rFonts w:hint="eastAsia" w:hAnsi="宋体" w:cs="宋体"/>
          <w:bCs/>
          <w:sz w:val="21"/>
          <w:szCs w:val="21"/>
        </w:rPr>
      </w:pP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4、单次给付限额调整系数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单次给付限额（元）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（0</w:t>
            </w: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200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.2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,0.6]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(200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300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0.6,0.8]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(300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500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0.8,1.0]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5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,8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1.0,1.3]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8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,10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（1.3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1.5]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不限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1.8</w:t>
            </w:r>
          </w:p>
        </w:tc>
      </w:tr>
    </w:tbl>
    <w:p>
      <w:pPr>
        <w:numPr>
          <w:ilvl w:val="255"/>
          <w:numId w:val="0"/>
        </w:numPr>
        <w:rPr>
          <w:rFonts w:hint="eastAsia" w:hAnsi="宋体" w:cs="宋体"/>
          <w:bCs/>
          <w:sz w:val="21"/>
          <w:szCs w:val="21"/>
        </w:rPr>
      </w:pPr>
      <w:r>
        <w:rPr>
          <w:rStyle w:val="11"/>
          <w:rFonts w:hint="eastAsia"/>
          <w:lang w:val="en-US" w:eastAsia="zh-CN"/>
        </w:rPr>
        <w:t>注：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本项适用于</w:t>
      </w:r>
      <w:r>
        <w:rPr>
          <w:rFonts w:hint="eastAsia" w:hAnsi="宋体" w:cs="宋体"/>
          <w:bCs/>
          <w:sz w:val="21"/>
          <w:szCs w:val="21"/>
        </w:rPr>
        <w:t>门（急）诊医疗费用保险金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和</w:t>
      </w:r>
      <w:r>
        <w:rPr>
          <w:rFonts w:hint="eastAsia" w:hAnsi="宋体" w:cs="宋体"/>
          <w:bCs/>
          <w:sz w:val="21"/>
          <w:szCs w:val="21"/>
        </w:rPr>
        <w:t>互联网医院药品医疗费用保险金</w:t>
      </w:r>
    </w:p>
    <w:p>
      <w:pPr>
        <w:numPr>
          <w:ilvl w:val="255"/>
          <w:numId w:val="0"/>
        </w:numPr>
        <w:rPr>
          <w:rFonts w:hint="eastAsia" w:hAnsi="宋体" w:cs="宋体"/>
          <w:bCs/>
          <w:sz w:val="21"/>
          <w:szCs w:val="21"/>
        </w:rPr>
      </w:pPr>
    </w:p>
    <w:p>
      <w:pPr>
        <w:numPr>
          <w:ilvl w:val="0"/>
          <w:numId w:val="2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单位时间给付频次调整系数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单位时间给付频次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1次/季度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0.3,0.4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1-2次/月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[0.5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1.0]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3-4次/月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[1.2,1.5]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不限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1.8</w:t>
            </w:r>
          </w:p>
        </w:tc>
      </w:tr>
    </w:tbl>
    <w:p>
      <w:pPr>
        <w:numPr>
          <w:ilvl w:val="255"/>
          <w:numId w:val="0"/>
        </w:numPr>
        <w:rPr>
          <w:rFonts w:hint="eastAsia" w:hAnsi="宋体" w:cs="宋体"/>
          <w:bCs/>
          <w:sz w:val="21"/>
          <w:szCs w:val="21"/>
        </w:rPr>
      </w:pPr>
      <w:r>
        <w:rPr>
          <w:rStyle w:val="11"/>
          <w:rFonts w:hint="eastAsia"/>
          <w:lang w:val="en-US" w:eastAsia="zh-CN"/>
        </w:rPr>
        <w:t>注：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本项适用于</w:t>
      </w:r>
      <w:r>
        <w:rPr>
          <w:rFonts w:hint="eastAsia" w:hAnsi="宋体" w:cs="宋体"/>
          <w:bCs/>
          <w:sz w:val="21"/>
          <w:szCs w:val="21"/>
        </w:rPr>
        <w:t>门（急）诊医疗费用保险金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和</w:t>
      </w:r>
      <w:r>
        <w:rPr>
          <w:rFonts w:hint="eastAsia" w:hAnsi="宋体" w:cs="宋体"/>
          <w:bCs/>
          <w:sz w:val="21"/>
          <w:szCs w:val="21"/>
        </w:rPr>
        <w:t>互联网医院药品医疗费用保险金</w:t>
      </w:r>
    </w:p>
    <w:p>
      <w:pPr>
        <w:numPr>
          <w:ilvl w:val="255"/>
          <w:numId w:val="0"/>
        </w:numPr>
        <w:rPr>
          <w:rFonts w:hint="eastAsia" w:hAnsi="宋体" w:cs="宋体"/>
          <w:bCs/>
          <w:sz w:val="21"/>
          <w:szCs w:val="21"/>
        </w:rPr>
      </w:pPr>
    </w:p>
    <w:p>
      <w:pPr>
        <w:numPr>
          <w:ilvl w:val="0"/>
          <w:numId w:val="2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给付总次数调整系数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给付总次数（次）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[6,12]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[0.8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0.9]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,24]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0.9,1.0]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4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,48]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</w:t>
            </w: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,1.5]</w:t>
            </w:r>
          </w:p>
        </w:tc>
      </w:tr>
      <w:t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4</w:t>
            </w: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8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以上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(1.5,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1.8</w:t>
            </w:r>
            <w:r>
              <w:rPr>
                <w:rFonts w:hint="default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</w:tbl>
    <w:p>
      <w:pPr>
        <w:numPr>
          <w:ilvl w:val="255"/>
          <w:numId w:val="0"/>
        </w:numPr>
        <w:rPr>
          <w:rFonts w:hint="eastAsia" w:hAnsi="宋体" w:cs="宋体"/>
          <w:bCs/>
          <w:sz w:val="21"/>
          <w:szCs w:val="21"/>
        </w:rPr>
      </w:pPr>
      <w:r>
        <w:rPr>
          <w:rStyle w:val="11"/>
          <w:rFonts w:hint="eastAsia"/>
          <w:lang w:val="en-US" w:eastAsia="zh-CN"/>
        </w:rPr>
        <w:t>注：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本项适用于</w:t>
      </w:r>
      <w:r>
        <w:rPr>
          <w:rFonts w:hint="eastAsia" w:hAnsi="宋体" w:cs="宋体"/>
          <w:bCs/>
          <w:sz w:val="21"/>
          <w:szCs w:val="21"/>
        </w:rPr>
        <w:t>门（急）诊医疗费用保险金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和</w:t>
      </w:r>
      <w:r>
        <w:rPr>
          <w:rFonts w:hint="eastAsia" w:hAnsi="宋体" w:cs="宋体"/>
          <w:bCs/>
          <w:sz w:val="21"/>
          <w:szCs w:val="21"/>
        </w:rPr>
        <w:t>互联网医院药品医疗费用保险金</w:t>
      </w:r>
    </w:p>
    <w:p>
      <w:pPr>
        <w:numPr>
          <w:ilvl w:val="255"/>
          <w:numId w:val="0"/>
        </w:numPr>
        <w:rPr>
          <w:rFonts w:hint="eastAsia" w:hAnsi="宋体" w:cs="宋体"/>
          <w:bCs/>
          <w:sz w:val="21"/>
          <w:szCs w:val="21"/>
        </w:rPr>
      </w:pPr>
    </w:p>
    <w:p>
      <w:pPr>
        <w:numPr>
          <w:ilvl w:val="0"/>
          <w:numId w:val="2"/>
        </w:numPr>
        <w:rPr>
          <w:rFonts w:hAnsi="宋体" w:cs="宋体"/>
          <w:kern w:val="2"/>
          <w:sz w:val="21"/>
          <w:szCs w:val="21"/>
        </w:rPr>
      </w:pPr>
      <w:bookmarkStart w:id="5" w:name="OLE_LINK4"/>
      <w:r>
        <w:rPr>
          <w:rFonts w:hint="eastAsia" w:hAnsi="宋体" w:cs="宋体"/>
          <w:kern w:val="2"/>
          <w:sz w:val="21"/>
          <w:szCs w:val="21"/>
        </w:rPr>
        <w:t>基本医疗保险/公费医疗调整系数</w:t>
      </w:r>
    </w:p>
    <w:bookmarkEnd w:id="5"/>
    <w:p>
      <w:pPr>
        <w:numPr>
          <w:ilvl w:val="255"/>
          <w:numId w:val="0"/>
        </w:numPr>
        <w:rPr>
          <w:rFonts w:hAnsi="宋体" w:cs="宋体"/>
          <w:kern w:val="2"/>
          <w:sz w:val="21"/>
          <w:szCs w:val="21"/>
        </w:rPr>
      </w:pPr>
    </w:p>
    <w:tbl>
      <w:tblPr>
        <w:tblStyle w:val="8"/>
        <w:tblW w:w="59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2131"/>
      </w:tblGrid>
      <w:tr>
        <w:trPr>
          <w:trHeight w:val="467" w:hRule="atLeast"/>
          <w:jc w:val="center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被保险人基本医疗保险/公费医疗状况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调整系数</w:t>
            </w:r>
          </w:p>
        </w:tc>
      </w:tr>
      <w:tr>
        <w:trPr>
          <w:jc w:val="center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已参加基本医疗保险/公费医疗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int="default" w:hAnsi="宋体" w:cs="宋体"/>
                <w:sz w:val="21"/>
                <w:szCs w:val="21"/>
              </w:rPr>
            </w:pPr>
            <w:r>
              <w:rPr>
                <w:rFonts w:hint="default" w:hAnsi="宋体" w:cs="宋体"/>
                <w:sz w:val="21"/>
                <w:szCs w:val="21"/>
                <w:lang w:eastAsia="zh-CN" w:bidi="ar"/>
              </w:rPr>
              <w:t>1.0</w:t>
            </w:r>
          </w:p>
        </w:tc>
      </w:tr>
      <w:tr>
        <w:trPr>
          <w:jc w:val="center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未参加基本医疗保险/公费医疗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default" w:hAnsi="宋体" w:cs="宋体"/>
                <w:sz w:val="21"/>
                <w:szCs w:val="21"/>
                <w:lang w:eastAsia="zh-CN" w:bidi="ar"/>
              </w:rPr>
              <w:t>1.2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注：本项仅适用于</w:t>
      </w:r>
      <w:r>
        <w:rPr>
          <w:rFonts w:hint="eastAsia" w:hAnsi="宋体" w:cs="宋体"/>
          <w:bCs/>
          <w:sz w:val="21"/>
          <w:szCs w:val="21"/>
        </w:rPr>
        <w:t>门（急）诊医疗费用保险金</w:t>
      </w:r>
    </w:p>
    <w:p>
      <w:pPr>
        <w:numPr>
          <w:ilvl w:val="0"/>
          <w:numId w:val="2"/>
        </w:numPr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</w:rPr>
        <w:t>三高调整系数</w:t>
      </w:r>
    </w:p>
    <w:p>
      <w:pPr>
        <w:numPr>
          <w:ilvl w:val="255"/>
          <w:numId w:val="0"/>
        </w:numPr>
        <w:rPr>
          <w:rFonts w:hAnsi="宋体" w:cs="宋体"/>
          <w:kern w:val="2"/>
          <w:sz w:val="21"/>
          <w:szCs w:val="21"/>
        </w:rPr>
      </w:pPr>
    </w:p>
    <w:tbl>
      <w:tblPr>
        <w:tblStyle w:val="8"/>
        <w:tblW w:w="810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4"/>
        <w:gridCol w:w="2337"/>
      </w:tblGrid>
      <w:tr>
        <w:trPr>
          <w:trHeight w:val="467" w:hRule="atLeast"/>
          <w:jc w:val="center"/>
        </w:trPr>
        <w:tc>
          <w:tcPr>
            <w:tcW w:w="5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保险责任状况</w:t>
            </w:r>
          </w:p>
        </w:tc>
        <w:tc>
          <w:tcPr>
            <w:tcW w:w="2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调整系数</w:t>
            </w:r>
          </w:p>
        </w:tc>
      </w:tr>
      <w:tr>
        <w:trPr>
          <w:jc w:val="center"/>
        </w:trPr>
        <w:tc>
          <w:tcPr>
            <w:tcW w:w="5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不包含因高血压、高血脂、高血糖、糖尿病产生的医疗费用</w:t>
            </w:r>
          </w:p>
        </w:tc>
        <w:tc>
          <w:tcPr>
            <w:tcW w:w="2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[0.8,1.1）</w:t>
            </w:r>
          </w:p>
        </w:tc>
      </w:tr>
      <w:tr>
        <w:trPr>
          <w:jc w:val="center"/>
        </w:trPr>
        <w:tc>
          <w:tcPr>
            <w:tcW w:w="5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包含因高血压、高血脂、高血糖、糖尿病产生的医疗费用</w:t>
            </w:r>
          </w:p>
        </w:tc>
        <w:tc>
          <w:tcPr>
            <w:tcW w:w="2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[1.1,1.7]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0"/>
          <w:numId w:val="3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投保人数调整系数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8"/>
        <w:tblW w:w="60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2"/>
        <w:gridCol w:w="2709"/>
      </w:tblGrid>
      <w:tr>
        <w:trPr>
          <w:trHeight w:val="300" w:hRule="atLeast"/>
          <w:jc w:val="center"/>
        </w:trPr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投保人数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rPr>
          <w:trHeight w:val="300" w:hRule="atLeast"/>
          <w:jc w:val="center"/>
        </w:trPr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个人投保（1人）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</w:t>
            </w:r>
          </w:p>
        </w:tc>
      </w:tr>
      <w:tr>
        <w:trPr>
          <w:trHeight w:val="300" w:hRule="atLeast"/>
          <w:jc w:val="center"/>
        </w:trPr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家庭投保（2人）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0.95</w:t>
            </w:r>
          </w:p>
        </w:tc>
      </w:tr>
      <w:tr>
        <w:trPr>
          <w:trHeight w:val="300" w:hRule="atLeast"/>
          <w:jc w:val="center"/>
        </w:trPr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家庭投保（3人及以上）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0.90</w:t>
            </w:r>
          </w:p>
        </w:tc>
      </w:tr>
      <w:tr>
        <w:trPr>
          <w:trHeight w:val="300" w:hRule="atLeast"/>
          <w:jc w:val="center"/>
        </w:trPr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产品不做区分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10、缴费方式调整系数</w:t>
      </w:r>
      <w:bookmarkEnd w:id="3"/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</w:p>
    <w:tbl>
      <w:tblPr>
        <w:tblStyle w:val="8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bookmarkStart w:id="6" w:name="OLE_LINK3"/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[0.95,1.0]</w:t>
            </w:r>
          </w:p>
        </w:tc>
      </w:tr>
      <w:bookmarkEnd w:id="6"/>
    </w:tbl>
    <w:p>
      <w:pPr>
        <w:ind w:firstLine="210" w:firstLineChars="100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 xml:space="preserve"> 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11</w:t>
      </w:r>
      <w:r>
        <w:rPr>
          <w:rFonts w:hAnsi="宋体" w:cs="Arial"/>
          <w:bCs/>
          <w:color w:val="000000"/>
          <w:kern w:val="2"/>
          <w:sz w:val="21"/>
          <w:szCs w:val="21"/>
        </w:rPr>
        <w:t>、</w:t>
      </w:r>
      <w:bookmarkStart w:id="7" w:name="OLE_LINK17"/>
      <w:r>
        <w:rPr>
          <w:rFonts w:hint="eastAsia" w:hAnsi="宋体" w:cs="Arial"/>
          <w:bCs/>
          <w:color w:val="000000"/>
          <w:kern w:val="2"/>
          <w:sz w:val="21"/>
          <w:szCs w:val="21"/>
        </w:rPr>
        <w:t>渠道性质调整系数</w:t>
      </w:r>
      <w:bookmarkEnd w:id="7"/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8"/>
        <w:tblW w:w="7111" w:type="dxa"/>
        <w:jc w:val="center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2"/>
        <w:gridCol w:w="3259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</w:tblPrEx>
        <w:trPr>
          <w:trHeight w:val="270" w:hRule="atLeast"/>
          <w:jc w:val="center"/>
        </w:trPr>
        <w:tc>
          <w:tcPr>
            <w:tcW w:w="3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cs="宋体"/>
                <w:bCs/>
                <w:sz w:val="21"/>
                <w:szCs w:val="21"/>
              </w:rPr>
            </w:pPr>
            <w:r>
              <w:rPr>
                <w:rFonts w:hint="eastAsia" w:ascii="Times New Roman" w:cs="宋体"/>
                <w:bCs/>
                <w:sz w:val="21"/>
                <w:szCs w:val="21"/>
              </w:rPr>
              <w:t>渠道性质</w:t>
            </w:r>
          </w:p>
        </w:tc>
        <w:tc>
          <w:tcPr>
            <w:tcW w:w="3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cs="宋体"/>
                <w:bCs/>
                <w:sz w:val="21"/>
                <w:szCs w:val="21"/>
              </w:rPr>
            </w:pPr>
            <w:r>
              <w:rPr>
                <w:rFonts w:hint="eastAsia" w:ascii="Times New Roman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</w:tblPrEx>
        <w:trPr>
          <w:trHeight w:val="270" w:hRule="atLeast"/>
          <w:jc w:val="center"/>
        </w:trPr>
        <w:tc>
          <w:tcPr>
            <w:tcW w:w="3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cs="宋体"/>
                <w:sz w:val="21"/>
                <w:szCs w:val="21"/>
              </w:rPr>
            </w:pPr>
            <w:r>
              <w:rPr>
                <w:rFonts w:hint="eastAsia" w:ascii="Times New Roman" w:cs="宋体"/>
                <w:sz w:val="21"/>
                <w:szCs w:val="21"/>
              </w:rPr>
              <w:t>网络直销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[0.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7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</w:tblPrEx>
        <w:trPr>
          <w:trHeight w:val="270" w:hRule="atLeast"/>
          <w:jc w:val="center"/>
        </w:trPr>
        <w:tc>
          <w:tcPr>
            <w:tcW w:w="3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cs="宋体"/>
                <w:sz w:val="21"/>
                <w:szCs w:val="21"/>
              </w:rPr>
            </w:pPr>
            <w:r>
              <w:rPr>
                <w:rFonts w:hint="eastAsia" w:ascii="Times New Roman" w:cs="宋体"/>
                <w:sz w:val="21"/>
                <w:szCs w:val="21"/>
              </w:rPr>
              <w:t>网络中介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[0.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8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,1.2]</w:t>
            </w:r>
          </w:p>
        </w:tc>
      </w:tr>
    </w:tbl>
    <w:p>
      <w:pPr>
        <w:spacing w:line="312" w:lineRule="auto"/>
        <w:rPr>
          <w:rFonts w:hAnsi="宋体" w:cs="宋体"/>
          <w:sz w:val="21"/>
          <w:szCs w:val="21"/>
        </w:rPr>
      </w:pPr>
    </w:p>
    <w:p>
      <w:pPr>
        <w:numPr>
          <w:ilvl w:val="255"/>
          <w:numId w:val="0"/>
        </w:numPr>
        <w:spacing w:line="312" w:lineRule="auto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</w:t>
      </w:r>
      <w:r>
        <w:rPr>
          <w:rFonts w:hint="eastAsia" w:hAnsi="宋体" w:cs="宋体"/>
          <w:sz w:val="21"/>
          <w:szCs w:val="21"/>
          <w:lang w:val="en-US" w:eastAsia="zh-CN"/>
        </w:rPr>
        <w:t>2</w:t>
      </w:r>
      <w:r>
        <w:rPr>
          <w:rFonts w:hint="eastAsia" w:hAnsi="宋体" w:cs="宋体"/>
          <w:sz w:val="21"/>
          <w:szCs w:val="21"/>
        </w:rPr>
        <w:t>、预期/</w:t>
      </w:r>
      <w:r>
        <w:rPr>
          <w:rFonts w:hAnsi="宋体" w:cs="宋体"/>
          <w:sz w:val="21"/>
          <w:szCs w:val="21"/>
        </w:rPr>
        <w:t>历史赔付率调整系数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预期/历史赔付率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</w:rPr>
              <w:t>0.5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0.7]</w:t>
            </w:r>
          </w:p>
        </w:tc>
      </w:tr>
      <w:tr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0.7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0.9]</w:t>
            </w:r>
          </w:p>
        </w:tc>
      </w:tr>
      <w:tr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0.9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1.1]</w:t>
            </w:r>
          </w:p>
        </w:tc>
      </w:tr>
      <w:tr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1.1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1.5]</w:t>
            </w:r>
          </w:p>
        </w:tc>
      </w:tr>
      <w:tr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1.0</w:t>
            </w:r>
          </w:p>
        </w:tc>
      </w:tr>
      <w:bookmarkEnd w:id="2"/>
    </w:tbl>
    <w:p>
      <w:pPr>
        <w:rPr>
          <w:rFonts w:hAnsi="宋体" w:cs="Arial"/>
          <w:b/>
          <w:color w:val="000000"/>
          <w:kern w:val="2"/>
          <w:sz w:val="21"/>
          <w:szCs w:val="21"/>
        </w:rPr>
      </w:pP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三、保险费计算</w:t>
      </w:r>
    </w:p>
    <w:p>
      <w:pPr>
        <w:numPr>
          <w:ilvl w:val="255"/>
          <w:numId w:val="0"/>
        </w:numPr>
        <w:spacing w:line="360" w:lineRule="auto"/>
        <w:ind w:firstLine="420" w:firstLineChars="200"/>
        <w:rPr>
          <w:rFonts w:hAnsi="宋体" w:cs="宋体"/>
          <w:bCs/>
          <w:sz w:val="21"/>
          <w:szCs w:val="21"/>
        </w:rPr>
      </w:pPr>
      <w:bookmarkStart w:id="8" w:name="_Hlk40970459"/>
      <w:r>
        <w:rPr>
          <w:rFonts w:hint="eastAsia" w:hAnsi="宋体" w:cs="宋体"/>
          <w:bCs/>
          <w:sz w:val="21"/>
          <w:szCs w:val="21"/>
        </w:rPr>
        <w:t>1、投保人选择</w:t>
      </w:r>
      <w:bookmarkStart w:id="9" w:name="OLE_LINK5"/>
      <w:r>
        <w:rPr>
          <w:rFonts w:hint="eastAsia" w:hAnsi="宋体" w:cs="宋体"/>
          <w:bCs/>
          <w:sz w:val="21"/>
          <w:szCs w:val="21"/>
        </w:rPr>
        <w:t>一次性缴付保险费</w:t>
      </w:r>
      <w:bookmarkEnd w:id="9"/>
    </w:p>
    <w:p>
      <w:pPr>
        <w:numPr>
          <w:ilvl w:val="255"/>
          <w:numId w:val="0"/>
        </w:numPr>
        <w:spacing w:line="360" w:lineRule="auto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门（急）诊医疗费用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保险金年</w:t>
      </w:r>
      <w:r>
        <w:rPr>
          <w:rFonts w:hint="eastAsia" w:hAnsi="宋体" w:cs="宋体"/>
          <w:bCs/>
          <w:sz w:val="21"/>
          <w:szCs w:val="21"/>
        </w:rPr>
        <w:t>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=</w:t>
      </w:r>
      <w:r>
        <w:rPr>
          <w:rFonts w:hint="eastAsia" w:hAnsi="宋体" w:cs="宋体"/>
          <w:bCs/>
          <w:sz w:val="21"/>
          <w:szCs w:val="21"/>
        </w:rPr>
        <w:t>门（急）诊医疗费用保险金年基准保费</w:t>
      </w:r>
      <w:bookmarkStart w:id="10" w:name="_Hlk82708614"/>
      <w:r>
        <w:rPr>
          <w:rFonts w:hint="eastAsia"/>
          <w:sz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</w:t>
      </w:r>
      <w:r>
        <w:rPr>
          <w:rFonts w:hint="eastAsia" w:hAnsi="宋体" w:cs="Arial"/>
          <w:color w:val="000000"/>
          <w:kern w:val="2"/>
          <w:sz w:val="21"/>
          <w:szCs w:val="21"/>
        </w:rPr>
        <w:t>免赔额调整系数×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  <w:t>赔付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比例调整系数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单次给付限额调整系数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单位时间给付频次调整系数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给付总次数调整系数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×基本医疗保险/公费医疗调整系数×三高调整系数×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投保人数调整系数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渠道性质调整系数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宋体"/>
          <w:sz w:val="21"/>
          <w:szCs w:val="21"/>
        </w:rPr>
        <w:t>预期/</w:t>
      </w:r>
      <w:r>
        <w:rPr>
          <w:rFonts w:hAnsi="宋体" w:cs="宋体"/>
          <w:sz w:val="21"/>
          <w:szCs w:val="21"/>
        </w:rPr>
        <w:t>历史赔付率调整系数</w:t>
      </w:r>
    </w:p>
    <w:bookmarkEnd w:id="10"/>
    <w:p>
      <w:pPr>
        <w:spacing w:line="360" w:lineRule="auto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互联网医院药品医疗费用保险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金年保险</w:t>
      </w:r>
      <w:r>
        <w:rPr>
          <w:rFonts w:hint="eastAsia" w:hAnsi="宋体" w:cs="宋体"/>
          <w:bCs/>
          <w:sz w:val="21"/>
          <w:szCs w:val="21"/>
        </w:rPr>
        <w:t>费</w:t>
      </w:r>
      <w:r>
        <w:rPr>
          <w:rFonts w:hint="eastAsia" w:hAnsi="宋体" w:cs="Arial"/>
          <w:color w:val="000000"/>
          <w:kern w:val="2"/>
          <w:sz w:val="21"/>
          <w:szCs w:val="21"/>
        </w:rPr>
        <w:t>=</w:t>
      </w:r>
      <w:r>
        <w:rPr>
          <w:rFonts w:hint="eastAsia" w:hAnsi="宋体" w:cs="宋体"/>
          <w:bCs/>
          <w:sz w:val="21"/>
          <w:szCs w:val="21"/>
        </w:rPr>
        <w:t>互联网医院药品医疗费用保险金年基准保费</w:t>
      </w:r>
      <w:r>
        <w:rPr>
          <w:rFonts w:hint="eastAsia"/>
          <w:sz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</w:t>
      </w:r>
      <w:r>
        <w:rPr>
          <w:rFonts w:hint="eastAsia" w:hAnsi="宋体" w:cs="Arial"/>
          <w:color w:val="000000"/>
          <w:kern w:val="2"/>
          <w:sz w:val="21"/>
          <w:szCs w:val="21"/>
        </w:rPr>
        <w:t>免赔额调整系数×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  <w:t>赔付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比例调整系数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单次给付限额调整系数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单位时间给付频次调整系数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给付总次数调整系数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×三高调整系数×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投保人数调整系数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渠道性质调整系数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宋体"/>
          <w:sz w:val="21"/>
          <w:szCs w:val="21"/>
        </w:rPr>
        <w:t>预期/</w:t>
      </w:r>
      <w:r>
        <w:rPr>
          <w:rFonts w:hAnsi="宋体" w:cs="宋体"/>
          <w:sz w:val="21"/>
          <w:szCs w:val="21"/>
        </w:rPr>
        <w:t>历史赔付率调整系数</w:t>
      </w:r>
    </w:p>
    <w:p>
      <w:pPr>
        <w:spacing w:line="360" w:lineRule="auto"/>
        <w:ind w:firstLine="420" w:firstLineChars="200"/>
        <w:rPr>
          <w:rFonts w:hAnsi="宋体" w:cs="宋体"/>
          <w:bCs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  <w:lang w:val="en-US" w:eastAsia="zh-CN"/>
        </w:rPr>
        <w:t>年总</w:t>
      </w:r>
      <w:r>
        <w:rPr>
          <w:rFonts w:hint="eastAsia" w:hAnsi="宋体" w:cs="Arial"/>
          <w:color w:val="000000"/>
          <w:kern w:val="2"/>
          <w:sz w:val="21"/>
          <w:szCs w:val="21"/>
        </w:rPr>
        <w:t xml:space="preserve">保险费= </w:t>
      </w:r>
      <w:bookmarkEnd w:id="8"/>
      <w:r>
        <w:rPr>
          <w:rFonts w:hint="eastAsia" w:hAnsi="宋体" w:cs="宋体"/>
          <w:bCs/>
          <w:sz w:val="21"/>
          <w:szCs w:val="21"/>
        </w:rPr>
        <w:t>门（急）诊医疗费用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保险金年</w:t>
      </w:r>
      <w:r>
        <w:rPr>
          <w:rFonts w:hint="eastAsia" w:hAnsi="宋体" w:cs="宋体"/>
          <w:bCs/>
          <w:sz w:val="21"/>
          <w:szCs w:val="21"/>
        </w:rPr>
        <w:t>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+</w:t>
      </w:r>
      <w:r>
        <w:rPr>
          <w:rFonts w:hint="eastAsia" w:hAnsi="宋体" w:cs="宋体"/>
          <w:bCs/>
          <w:sz w:val="21"/>
          <w:szCs w:val="21"/>
        </w:rPr>
        <w:t>互联网医院药品医疗费用保险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金年保险</w:t>
      </w:r>
      <w:r>
        <w:rPr>
          <w:rFonts w:hint="eastAsia" w:hAnsi="宋体" w:cs="宋体"/>
          <w:bCs/>
          <w:sz w:val="21"/>
          <w:szCs w:val="21"/>
        </w:rPr>
        <w:t>费</w:t>
      </w:r>
    </w:p>
    <w:p>
      <w:pPr>
        <w:spacing w:line="360" w:lineRule="auto"/>
        <w:ind w:firstLine="420" w:firstLineChars="200"/>
        <w:jc w:val="left"/>
        <w:rPr>
          <w:rFonts w:hAnsi="宋体"/>
          <w:sz w:val="21"/>
        </w:rPr>
      </w:pPr>
      <w:bookmarkStart w:id="11" w:name="OLE_LINK1"/>
      <w:r>
        <w:rPr>
          <w:rFonts w:hint="eastAsia" w:hAnsi="宋体"/>
          <w:sz w:val="21"/>
        </w:rPr>
        <w:t>2、投保人选择分期缴付保险费，保险人根据保险费分期</w:t>
      </w:r>
      <w:r>
        <w:rPr>
          <w:rFonts w:hint="eastAsia" w:hAnsi="宋体"/>
          <w:sz w:val="21"/>
          <w:lang w:val="en-US" w:eastAsia="zh-CN"/>
        </w:rPr>
        <w:t>缴费</w:t>
      </w:r>
      <w:r>
        <w:rPr>
          <w:rFonts w:hint="eastAsia" w:hAnsi="宋体"/>
          <w:sz w:val="21"/>
        </w:rPr>
        <w:t>期数，计收每期保险费：</w:t>
      </w:r>
    </w:p>
    <w:bookmarkEnd w:id="11"/>
    <w:p>
      <w:pPr>
        <w:numPr>
          <w:ilvl w:val="255"/>
          <w:numId w:val="0"/>
        </w:numPr>
        <w:spacing w:line="360" w:lineRule="auto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门（急）诊医疗费用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保险金年</w:t>
      </w:r>
      <w:r>
        <w:rPr>
          <w:rFonts w:hint="eastAsia" w:hAnsi="宋体" w:cs="宋体"/>
          <w:bCs/>
          <w:sz w:val="21"/>
          <w:szCs w:val="21"/>
        </w:rPr>
        <w:t>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=</w:t>
      </w:r>
      <w:r>
        <w:rPr>
          <w:rFonts w:hint="eastAsia" w:hAnsi="宋体" w:cs="宋体"/>
          <w:bCs/>
          <w:sz w:val="21"/>
          <w:szCs w:val="21"/>
        </w:rPr>
        <w:t>门（急）诊医疗费用保险金年基准保费</w:t>
      </w:r>
      <w:r>
        <w:rPr>
          <w:rFonts w:hint="eastAsia"/>
          <w:sz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</w:t>
      </w:r>
      <w:r>
        <w:rPr>
          <w:rFonts w:hint="eastAsia" w:hAnsi="宋体" w:cs="Arial"/>
          <w:color w:val="000000"/>
          <w:kern w:val="2"/>
          <w:sz w:val="21"/>
          <w:szCs w:val="21"/>
        </w:rPr>
        <w:t>免赔额调整系数×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  <w:t>赔付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比例调整系数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单次给付限额调整系数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单位时间给付频次调整系数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给付总次数调整系数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×基本医疗保险/公费医疗调整系数×三高调整系数×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投保人数调整系数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渠道性质调整系数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宋体"/>
          <w:sz w:val="21"/>
          <w:szCs w:val="21"/>
        </w:rPr>
        <w:t>预期/</w:t>
      </w:r>
      <w:r>
        <w:rPr>
          <w:rFonts w:hAnsi="宋体" w:cs="宋体"/>
          <w:sz w:val="21"/>
          <w:szCs w:val="21"/>
        </w:rPr>
        <w:t>历史赔付率调整系数</w:t>
      </w:r>
    </w:p>
    <w:p>
      <w:pPr>
        <w:spacing w:line="360" w:lineRule="auto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互联网医院药品医疗费用保险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金年保险</w:t>
      </w:r>
      <w:r>
        <w:rPr>
          <w:rFonts w:hint="eastAsia" w:hAnsi="宋体" w:cs="宋体"/>
          <w:bCs/>
          <w:sz w:val="21"/>
          <w:szCs w:val="21"/>
        </w:rPr>
        <w:t>费</w:t>
      </w:r>
      <w:r>
        <w:rPr>
          <w:rFonts w:hint="eastAsia" w:hAnsi="宋体" w:cs="Arial"/>
          <w:color w:val="000000"/>
          <w:kern w:val="2"/>
          <w:sz w:val="21"/>
          <w:szCs w:val="21"/>
        </w:rPr>
        <w:t>=</w:t>
      </w:r>
      <w:r>
        <w:rPr>
          <w:rFonts w:hint="eastAsia" w:hAnsi="宋体" w:cs="宋体"/>
          <w:bCs/>
          <w:sz w:val="21"/>
          <w:szCs w:val="21"/>
        </w:rPr>
        <w:t>互联网医院药品医疗费用保险金年基准保费</w:t>
      </w:r>
      <w:r>
        <w:rPr>
          <w:rFonts w:hint="eastAsia"/>
          <w:sz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</w:t>
      </w:r>
      <w:r>
        <w:rPr>
          <w:rFonts w:hint="eastAsia" w:hAnsi="宋体" w:cs="Arial"/>
          <w:color w:val="000000"/>
          <w:kern w:val="2"/>
          <w:sz w:val="21"/>
          <w:szCs w:val="21"/>
        </w:rPr>
        <w:t>免赔额调整系数×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  <w:t>赔付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比例调整系数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单次给付限额调整系数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单位时间给付频次调整系数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给付总次数调整系数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×三高调整系数×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投保人数调整系数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渠道性质调整系数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宋体"/>
          <w:sz w:val="21"/>
          <w:szCs w:val="21"/>
        </w:rPr>
        <w:t>预期/</w:t>
      </w:r>
      <w:r>
        <w:rPr>
          <w:rFonts w:hAnsi="宋体" w:cs="宋体"/>
          <w:sz w:val="21"/>
          <w:szCs w:val="21"/>
        </w:rPr>
        <w:t>历史赔付率调整系数</w:t>
      </w:r>
    </w:p>
    <w:p>
      <w:pPr>
        <w:spacing w:line="360" w:lineRule="auto"/>
        <w:ind w:firstLine="420" w:firstLineChars="200"/>
        <w:jc w:val="left"/>
        <w:rPr>
          <w:rFonts w:hint="eastAsia" w:hAnsi="宋体" w:cs="宋体"/>
          <w:bCs/>
          <w:sz w:val="21"/>
          <w:szCs w:val="21"/>
          <w:lang w:val="en-US" w:eastAsia="zh-CN"/>
        </w:rPr>
      </w:pPr>
      <w:r>
        <w:rPr>
          <w:rFonts w:hint="eastAsia" w:hAnsi="宋体" w:cs="宋体"/>
          <w:bCs/>
          <w:sz w:val="21"/>
          <w:szCs w:val="21"/>
        </w:rPr>
        <w:t>门（急）诊医疗费用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保险金每期</w:t>
      </w:r>
      <w:r>
        <w:rPr>
          <w:rFonts w:hint="eastAsia" w:hAnsi="宋体" w:cs="宋体"/>
          <w:bCs/>
          <w:sz w:val="21"/>
          <w:szCs w:val="21"/>
        </w:rPr>
        <w:t>保险费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（按四舍五入计算</w:t>
      </w:r>
      <w:r>
        <w:rPr>
          <w:rFonts w:hint="eastAsia" w:hAnsi="宋体" w:cs="宋体"/>
          <w:bCs/>
          <w:sz w:val="21"/>
          <w:szCs w:val="21"/>
          <w:lang w:eastAsia="zh-CN"/>
        </w:rPr>
        <w:t>）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=</w:t>
      </w:r>
      <w:r>
        <w:rPr>
          <w:rFonts w:hint="eastAsia" w:hAnsi="宋体" w:cs="宋体"/>
          <w:bCs/>
          <w:sz w:val="21"/>
          <w:szCs w:val="21"/>
        </w:rPr>
        <w:t>门（急）诊医疗费用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保险金年</w:t>
      </w:r>
      <w:r>
        <w:rPr>
          <w:rFonts w:hint="eastAsia" w:hAnsi="宋体" w:cs="宋体"/>
          <w:bCs/>
          <w:sz w:val="21"/>
          <w:szCs w:val="21"/>
        </w:rPr>
        <w:t>保险费÷分期缴费期数</w:t>
      </w:r>
    </w:p>
    <w:p>
      <w:pPr>
        <w:spacing w:line="360" w:lineRule="auto"/>
        <w:ind w:firstLine="420" w:firstLineChars="200"/>
        <w:jc w:val="left"/>
        <w:rPr>
          <w:rFonts w:hint="eastAsia" w:hAnsi="宋体" w:eastAsia="宋体"/>
          <w:sz w:val="21"/>
          <w:lang w:val="en-US" w:eastAsia="zh-CN"/>
        </w:rPr>
      </w:pPr>
      <w:r>
        <w:rPr>
          <w:rFonts w:hint="eastAsia" w:hAnsi="宋体" w:cs="宋体"/>
          <w:bCs/>
          <w:sz w:val="21"/>
          <w:szCs w:val="21"/>
        </w:rPr>
        <w:t>互联网医院药品医疗费用保险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金每期保险</w:t>
      </w:r>
      <w:r>
        <w:rPr>
          <w:rFonts w:hint="eastAsia" w:hAnsi="宋体" w:cs="宋体"/>
          <w:bCs/>
          <w:sz w:val="21"/>
          <w:szCs w:val="21"/>
        </w:rPr>
        <w:t>费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（按四舍五入计算</w:t>
      </w:r>
      <w:r>
        <w:rPr>
          <w:rFonts w:hint="eastAsia" w:hAnsi="宋体" w:cs="宋体"/>
          <w:bCs/>
          <w:sz w:val="21"/>
          <w:szCs w:val="21"/>
          <w:lang w:eastAsia="zh-CN"/>
        </w:rPr>
        <w:t>）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=</w:t>
      </w:r>
      <w:r>
        <w:rPr>
          <w:rFonts w:hint="eastAsia" w:hAnsi="宋体" w:cs="宋体"/>
          <w:bCs/>
          <w:sz w:val="21"/>
          <w:szCs w:val="21"/>
        </w:rPr>
        <w:t>互联网医院药品医疗费用保险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金年保险</w:t>
      </w:r>
      <w:r>
        <w:rPr>
          <w:rFonts w:hint="eastAsia" w:hAnsi="宋体" w:cs="宋体"/>
          <w:bCs/>
          <w:sz w:val="21"/>
          <w:szCs w:val="21"/>
        </w:rPr>
        <w:t>费</w:t>
      </w:r>
      <w:r>
        <w:rPr>
          <w:rFonts w:hint="eastAsia" w:hAnsi="宋体"/>
          <w:sz w:val="21"/>
        </w:rPr>
        <w:t>÷分期缴费期数</w:t>
      </w:r>
    </w:p>
    <w:p>
      <w:pPr>
        <w:spacing w:line="360" w:lineRule="auto"/>
        <w:ind w:firstLine="420" w:firstLineChars="200"/>
        <w:jc w:val="left"/>
        <w:rPr>
          <w:rFonts w:hint="eastAsia" w:hAnsi="宋体"/>
          <w:sz w:val="21"/>
          <w:lang w:eastAsia="zh-CN"/>
        </w:rPr>
      </w:pPr>
      <w:r>
        <w:rPr>
          <w:rFonts w:hint="eastAsia" w:hAnsi="宋体"/>
          <w:sz w:val="21"/>
        </w:rPr>
        <w:t>每期</w:t>
      </w:r>
      <w:r>
        <w:rPr>
          <w:rFonts w:hint="eastAsia" w:hAnsi="宋体"/>
          <w:sz w:val="21"/>
          <w:lang w:val="en-US" w:eastAsia="zh-CN"/>
        </w:rPr>
        <w:t>总</w:t>
      </w:r>
      <w:r>
        <w:rPr>
          <w:rFonts w:hint="eastAsia" w:hAnsi="宋体"/>
          <w:sz w:val="21"/>
        </w:rPr>
        <w:t>保险费=</w:t>
      </w:r>
      <w:r>
        <w:rPr>
          <w:rFonts w:hint="eastAsia" w:hAnsi="宋体" w:cs="宋体"/>
          <w:bCs/>
          <w:sz w:val="21"/>
          <w:szCs w:val="21"/>
        </w:rPr>
        <w:t>门（急）诊医疗费用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保险金每期</w:t>
      </w:r>
      <w:r>
        <w:rPr>
          <w:rFonts w:hint="eastAsia" w:hAnsi="宋体" w:cs="宋体"/>
          <w:bCs/>
          <w:sz w:val="21"/>
          <w:szCs w:val="21"/>
        </w:rPr>
        <w:t>保险费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+</w:t>
      </w:r>
      <w:r>
        <w:rPr>
          <w:rFonts w:hint="eastAsia" w:hAnsi="宋体" w:cs="宋体"/>
          <w:bCs/>
          <w:sz w:val="21"/>
          <w:szCs w:val="21"/>
        </w:rPr>
        <w:t>互联网医院药品医疗费用保险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金每期保险</w:t>
      </w:r>
      <w:r>
        <w:rPr>
          <w:rFonts w:hint="eastAsia" w:hAnsi="宋体" w:cs="宋体"/>
          <w:bCs/>
          <w:sz w:val="21"/>
          <w:szCs w:val="21"/>
        </w:rPr>
        <w:t>费</w:t>
      </w:r>
    </w:p>
    <w:p>
      <w:pPr>
        <w:spacing w:line="360" w:lineRule="auto"/>
        <w:ind w:firstLine="420" w:firstLineChars="200"/>
        <w:jc w:val="left"/>
        <w:rPr>
          <w:rFonts w:hint="eastAsia" w:hAnsi="宋体" w:eastAsia="宋体" w:cs="Arial"/>
          <w:color w:val="000000"/>
          <w:kern w:val="2"/>
          <w:sz w:val="21"/>
          <w:szCs w:val="21"/>
          <w:lang w:val="en-US" w:eastAsia="zh-CN"/>
        </w:rPr>
      </w:pPr>
      <w:r>
        <w:rPr>
          <w:rFonts w:hint="eastAsia" w:hAnsi="宋体" w:cs="Arial"/>
          <w:color w:val="000000"/>
          <w:kern w:val="2"/>
          <w:sz w:val="21"/>
          <w:szCs w:val="21"/>
          <w:lang w:val="en-US" w:eastAsia="zh-CN"/>
        </w:rPr>
        <w:t>年总</w:t>
      </w:r>
      <w:r>
        <w:rPr>
          <w:rFonts w:hint="eastAsia" w:hAnsi="宋体" w:cs="Arial"/>
          <w:color w:val="000000"/>
          <w:kern w:val="2"/>
          <w:sz w:val="21"/>
          <w:szCs w:val="21"/>
        </w:rPr>
        <w:t>保险费</w:t>
      </w:r>
      <w:r>
        <w:rPr>
          <w:rFonts w:hint="eastAsia" w:hAnsi="宋体" w:cs="Arial"/>
          <w:color w:val="000000"/>
          <w:kern w:val="2"/>
          <w:sz w:val="21"/>
          <w:szCs w:val="21"/>
          <w:lang w:val="en-US" w:eastAsia="zh-CN"/>
        </w:rPr>
        <w:t>=</w:t>
      </w:r>
      <w:r>
        <w:rPr>
          <w:rFonts w:hint="eastAsia" w:hAnsi="宋体"/>
          <w:sz w:val="21"/>
        </w:rPr>
        <w:t>每期</w:t>
      </w:r>
      <w:r>
        <w:rPr>
          <w:rFonts w:hint="eastAsia" w:hAnsi="宋体"/>
          <w:sz w:val="21"/>
          <w:lang w:val="en-US" w:eastAsia="zh-CN"/>
        </w:rPr>
        <w:t>总</w:t>
      </w:r>
      <w:r>
        <w:rPr>
          <w:rFonts w:hint="eastAsia" w:hAnsi="宋体"/>
          <w:sz w:val="21"/>
        </w:rPr>
        <w:t>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/>
          <w:sz w:val="21"/>
        </w:rPr>
        <w:t>分期缴费期数</w:t>
      </w:r>
    </w:p>
    <w:p>
      <w:pPr>
        <w:spacing w:line="360" w:lineRule="auto"/>
        <w:ind w:firstLine="420" w:firstLineChars="200"/>
        <w:jc w:val="left"/>
        <w:rPr>
          <w:rFonts w:hAnsi="宋体"/>
          <w:sz w:val="21"/>
        </w:rPr>
      </w:pPr>
      <w:r>
        <w:rPr>
          <w:rFonts w:hint="eastAsia" w:hAnsi="宋体"/>
          <w:sz w:val="21"/>
        </w:rPr>
        <w:t>注：本产品涉及分期缴费，每期缴费金额一致。</w:t>
      </w:r>
    </w:p>
    <w:p>
      <w:pPr>
        <w:spacing w:line="312" w:lineRule="auto"/>
        <w:ind w:firstLine="420" w:firstLineChars="200"/>
        <w:rPr>
          <w:rFonts w:hAnsi="宋体" w:cs="Arial"/>
          <w:color w:val="000000"/>
          <w:kern w:val="2"/>
          <w:sz w:val="21"/>
          <w:szCs w:val="21"/>
        </w:rPr>
      </w:pPr>
    </w:p>
    <w:p>
      <w:pPr>
        <w:spacing w:line="312" w:lineRule="auto"/>
        <w:ind w:firstLine="420" w:firstLineChars="200"/>
        <w:rPr>
          <w:rFonts w:hAnsi="宋体" w:cs="Arial"/>
          <w:b/>
          <w:color w:val="000000"/>
          <w:kern w:val="2"/>
          <w:sz w:val="21"/>
          <w:szCs w:val="21"/>
        </w:rPr>
      </w:pPr>
      <w:bookmarkStart w:id="12" w:name="_Hlk40869430"/>
      <w:r>
        <w:rPr>
          <w:rFonts w:hint="eastAsia" w:hAnsi="宋体" w:cs="Arial"/>
          <w:b/>
          <w:color w:val="000000"/>
          <w:kern w:val="2"/>
          <w:sz w:val="21"/>
          <w:szCs w:val="21"/>
        </w:rPr>
        <w:t>四、短期费率表</w:t>
      </w:r>
    </w:p>
    <w:p>
      <w:pPr>
        <w:spacing w:after="156" w:afterLines="50" w:line="312" w:lineRule="auto"/>
        <w:ind w:firstLine="470" w:firstLineChars="224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</w:rPr>
        <w:t>1、保险期间不足一年的，按以下标准计算短期保险费（按年保险费的百分比计算，保险期间在1个月以上的，不足一个月的按一个月计算）：</w:t>
      </w:r>
    </w:p>
    <w:tbl>
      <w:tblPr>
        <w:tblStyle w:val="8"/>
        <w:tblW w:w="94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一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二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三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四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五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六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七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八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九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一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二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</w:tr>
      <w:tr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100%</w:t>
            </w:r>
          </w:p>
        </w:tc>
      </w:tr>
      <w:bookmarkEnd w:id="12"/>
    </w:tbl>
    <w:p>
      <w:pPr>
        <w:adjustRightInd w:val="0"/>
        <w:snapToGrid w:val="0"/>
        <w:spacing w:line="360" w:lineRule="auto"/>
        <w:ind w:firstLine="482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2、保险期间不足一个月的，按以下标准计算极短期保险费：</w:t>
      </w:r>
    </w:p>
    <w:p>
      <w:pPr>
        <w:adjustRightInd w:val="0"/>
        <w:snapToGrid w:val="0"/>
        <w:spacing w:line="360" w:lineRule="auto"/>
        <w:ind w:firstLine="482"/>
        <w:rPr>
          <w:rFonts w:hint="eastAsia"/>
        </w:rPr>
      </w:pPr>
      <w:r>
        <w:rPr>
          <w:rFonts w:hint="eastAsia" w:hAnsi="宋体" w:cs="宋体"/>
          <w:sz w:val="21"/>
          <w:szCs w:val="21"/>
        </w:rPr>
        <w:t>极短期保险费=年</w:t>
      </w:r>
      <w:r>
        <w:rPr>
          <w:rFonts w:hint="eastAsia" w:hAnsi="宋体" w:cs="宋体"/>
          <w:sz w:val="21"/>
          <w:szCs w:val="21"/>
          <w:lang w:val="en-US" w:eastAsia="zh-CN"/>
        </w:rPr>
        <w:t>总</w:t>
      </w:r>
      <w:r>
        <w:rPr>
          <w:rFonts w:hint="eastAsia" w:hAnsi="宋体" w:cs="宋体"/>
          <w:sz w:val="21"/>
          <w:szCs w:val="21"/>
        </w:rPr>
        <w:t>保险费×保险天数÷365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42BCC9"/>
    <w:multiLevelType w:val="singleLevel"/>
    <w:tmpl w:val="6142BCC9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615305C3"/>
    <w:multiLevelType w:val="singleLevel"/>
    <w:tmpl w:val="615305C3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6154073F"/>
    <w:multiLevelType w:val="singleLevel"/>
    <w:tmpl w:val="6154073F"/>
    <w:lvl w:ilvl="0" w:tentative="0">
      <w:start w:val="9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EA9"/>
    <w:rsid w:val="000105E8"/>
    <w:rsid w:val="000526C5"/>
    <w:rsid w:val="0005385A"/>
    <w:rsid w:val="000A313F"/>
    <w:rsid w:val="000C5F5A"/>
    <w:rsid w:val="000C7B51"/>
    <w:rsid w:val="000D71B1"/>
    <w:rsid w:val="001436B8"/>
    <w:rsid w:val="00152517"/>
    <w:rsid w:val="001615F8"/>
    <w:rsid w:val="00181006"/>
    <w:rsid w:val="00183679"/>
    <w:rsid w:val="00193BDD"/>
    <w:rsid w:val="001968FE"/>
    <w:rsid w:val="001976C7"/>
    <w:rsid w:val="001B4D13"/>
    <w:rsid w:val="001E00C1"/>
    <w:rsid w:val="00231530"/>
    <w:rsid w:val="002B7387"/>
    <w:rsid w:val="002C3D26"/>
    <w:rsid w:val="002E4BA2"/>
    <w:rsid w:val="00310925"/>
    <w:rsid w:val="0031495C"/>
    <w:rsid w:val="00344709"/>
    <w:rsid w:val="00396328"/>
    <w:rsid w:val="003A4F9F"/>
    <w:rsid w:val="003E53F1"/>
    <w:rsid w:val="003F029A"/>
    <w:rsid w:val="00430524"/>
    <w:rsid w:val="004855B0"/>
    <w:rsid w:val="004A56DF"/>
    <w:rsid w:val="004B606B"/>
    <w:rsid w:val="00513C05"/>
    <w:rsid w:val="0051705F"/>
    <w:rsid w:val="00567A01"/>
    <w:rsid w:val="0059086D"/>
    <w:rsid w:val="005A1F73"/>
    <w:rsid w:val="005A3C37"/>
    <w:rsid w:val="005D6127"/>
    <w:rsid w:val="005E6C18"/>
    <w:rsid w:val="00614A57"/>
    <w:rsid w:val="0062007F"/>
    <w:rsid w:val="00634A7C"/>
    <w:rsid w:val="006D7A85"/>
    <w:rsid w:val="006F3152"/>
    <w:rsid w:val="007448E8"/>
    <w:rsid w:val="00746647"/>
    <w:rsid w:val="00767B6C"/>
    <w:rsid w:val="007877A5"/>
    <w:rsid w:val="007B4505"/>
    <w:rsid w:val="007D4633"/>
    <w:rsid w:val="007D7523"/>
    <w:rsid w:val="007E2528"/>
    <w:rsid w:val="007F1154"/>
    <w:rsid w:val="00800D98"/>
    <w:rsid w:val="008678A4"/>
    <w:rsid w:val="00897B55"/>
    <w:rsid w:val="008C24CF"/>
    <w:rsid w:val="009C279D"/>
    <w:rsid w:val="009D2EA9"/>
    <w:rsid w:val="009F28B5"/>
    <w:rsid w:val="009F5C7C"/>
    <w:rsid w:val="00A322C2"/>
    <w:rsid w:val="00AB28C3"/>
    <w:rsid w:val="00B64D2C"/>
    <w:rsid w:val="00B728FF"/>
    <w:rsid w:val="00BF42BB"/>
    <w:rsid w:val="00C006C5"/>
    <w:rsid w:val="00C3408A"/>
    <w:rsid w:val="00C3789F"/>
    <w:rsid w:val="00C87FB9"/>
    <w:rsid w:val="00CB773E"/>
    <w:rsid w:val="00D02DC0"/>
    <w:rsid w:val="00D31F71"/>
    <w:rsid w:val="00D542FA"/>
    <w:rsid w:val="00D90B37"/>
    <w:rsid w:val="00D925DE"/>
    <w:rsid w:val="00DA13CC"/>
    <w:rsid w:val="00DB55C6"/>
    <w:rsid w:val="00E058A8"/>
    <w:rsid w:val="00E12A41"/>
    <w:rsid w:val="00E265A2"/>
    <w:rsid w:val="00E35F1D"/>
    <w:rsid w:val="00E661F6"/>
    <w:rsid w:val="00ED53CA"/>
    <w:rsid w:val="00ED5725"/>
    <w:rsid w:val="00F0565D"/>
    <w:rsid w:val="00F4122C"/>
    <w:rsid w:val="00F75AFB"/>
    <w:rsid w:val="00FD062B"/>
    <w:rsid w:val="00FE1113"/>
    <w:rsid w:val="01160C25"/>
    <w:rsid w:val="01292EFD"/>
    <w:rsid w:val="03413741"/>
    <w:rsid w:val="03690011"/>
    <w:rsid w:val="04060867"/>
    <w:rsid w:val="04203ED0"/>
    <w:rsid w:val="04225EA6"/>
    <w:rsid w:val="04F45324"/>
    <w:rsid w:val="057D53A7"/>
    <w:rsid w:val="05EB7128"/>
    <w:rsid w:val="08B202D9"/>
    <w:rsid w:val="0A20364D"/>
    <w:rsid w:val="0B7117B3"/>
    <w:rsid w:val="0BC24FE7"/>
    <w:rsid w:val="0BCD25F3"/>
    <w:rsid w:val="0C4A566D"/>
    <w:rsid w:val="0D3F6EA3"/>
    <w:rsid w:val="0E3F43A3"/>
    <w:rsid w:val="0E893F9F"/>
    <w:rsid w:val="0FAA7E32"/>
    <w:rsid w:val="1195219F"/>
    <w:rsid w:val="12A91FEB"/>
    <w:rsid w:val="159D7AC9"/>
    <w:rsid w:val="16A955FC"/>
    <w:rsid w:val="1710427C"/>
    <w:rsid w:val="17857DA8"/>
    <w:rsid w:val="182A4033"/>
    <w:rsid w:val="1B004294"/>
    <w:rsid w:val="1BBF3482"/>
    <w:rsid w:val="1C804A2D"/>
    <w:rsid w:val="1DE10D41"/>
    <w:rsid w:val="210E4263"/>
    <w:rsid w:val="225D0039"/>
    <w:rsid w:val="23FC4684"/>
    <w:rsid w:val="25285D3D"/>
    <w:rsid w:val="26937DAE"/>
    <w:rsid w:val="297214C3"/>
    <w:rsid w:val="2A2345B4"/>
    <w:rsid w:val="2A327258"/>
    <w:rsid w:val="2BDE0535"/>
    <w:rsid w:val="2CB34A44"/>
    <w:rsid w:val="2CE86DA6"/>
    <w:rsid w:val="2E10227E"/>
    <w:rsid w:val="2E1D2F4E"/>
    <w:rsid w:val="2EF1514C"/>
    <w:rsid w:val="2F3F6B2C"/>
    <w:rsid w:val="314158B5"/>
    <w:rsid w:val="3413280D"/>
    <w:rsid w:val="34280D47"/>
    <w:rsid w:val="347B247A"/>
    <w:rsid w:val="35CA1203"/>
    <w:rsid w:val="36800AC3"/>
    <w:rsid w:val="36C5274F"/>
    <w:rsid w:val="382C65D7"/>
    <w:rsid w:val="389A3241"/>
    <w:rsid w:val="389B4EDB"/>
    <w:rsid w:val="38B404F0"/>
    <w:rsid w:val="38EB7498"/>
    <w:rsid w:val="3AA8477D"/>
    <w:rsid w:val="3B3D0FF1"/>
    <w:rsid w:val="3F59368F"/>
    <w:rsid w:val="3FDBC2B6"/>
    <w:rsid w:val="416F4C32"/>
    <w:rsid w:val="41D73CE9"/>
    <w:rsid w:val="42D74C54"/>
    <w:rsid w:val="433108D4"/>
    <w:rsid w:val="47396071"/>
    <w:rsid w:val="49924C7B"/>
    <w:rsid w:val="49AA17FE"/>
    <w:rsid w:val="4AC829AA"/>
    <w:rsid w:val="4AE44EBC"/>
    <w:rsid w:val="4B9A1072"/>
    <w:rsid w:val="4C510D14"/>
    <w:rsid w:val="4D2772C7"/>
    <w:rsid w:val="4E2F1811"/>
    <w:rsid w:val="4F8B78D6"/>
    <w:rsid w:val="4FEA5EAD"/>
    <w:rsid w:val="50A311A3"/>
    <w:rsid w:val="52F4325B"/>
    <w:rsid w:val="530A0851"/>
    <w:rsid w:val="54047BE2"/>
    <w:rsid w:val="558414E6"/>
    <w:rsid w:val="568611C3"/>
    <w:rsid w:val="56BA5B79"/>
    <w:rsid w:val="572E11A9"/>
    <w:rsid w:val="582C2F3B"/>
    <w:rsid w:val="5B115BE2"/>
    <w:rsid w:val="5BE43503"/>
    <w:rsid w:val="5CB63D34"/>
    <w:rsid w:val="5DC161D8"/>
    <w:rsid w:val="5E512215"/>
    <w:rsid w:val="5EB760E5"/>
    <w:rsid w:val="5F226459"/>
    <w:rsid w:val="5F9829C2"/>
    <w:rsid w:val="61D6330C"/>
    <w:rsid w:val="633F7E95"/>
    <w:rsid w:val="665A5BC1"/>
    <w:rsid w:val="666C20AC"/>
    <w:rsid w:val="694864B2"/>
    <w:rsid w:val="6A543013"/>
    <w:rsid w:val="6A5C4EA8"/>
    <w:rsid w:val="6B706F0B"/>
    <w:rsid w:val="6CEB0119"/>
    <w:rsid w:val="6D9FE187"/>
    <w:rsid w:val="6ED42C2C"/>
    <w:rsid w:val="6F820641"/>
    <w:rsid w:val="7397088D"/>
    <w:rsid w:val="74A03E02"/>
    <w:rsid w:val="758F2146"/>
    <w:rsid w:val="759A7160"/>
    <w:rsid w:val="764364A0"/>
    <w:rsid w:val="770A3841"/>
    <w:rsid w:val="778A0F62"/>
    <w:rsid w:val="799D4BAC"/>
    <w:rsid w:val="7A006C6F"/>
    <w:rsid w:val="7A8F40D8"/>
    <w:rsid w:val="7B2B534C"/>
    <w:rsid w:val="7BB79729"/>
    <w:rsid w:val="7BF35B8E"/>
    <w:rsid w:val="7D722C8D"/>
    <w:rsid w:val="7ED7293A"/>
    <w:rsid w:val="7FB139BF"/>
    <w:rsid w:val="8FF5CCB1"/>
    <w:rsid w:val="BFFF5BF2"/>
    <w:rsid w:val="FBEB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7">
    <w:name w:val="annotation subject"/>
    <w:basedOn w:val="2"/>
    <w:next w:val="2"/>
    <w:link w:val="15"/>
    <w:qFormat/>
    <w:uiPriority w:val="0"/>
    <w:rPr>
      <w:b/>
      <w:bCs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批注框文本 字符"/>
    <w:basedOn w:val="10"/>
    <w:link w:val="3"/>
    <w:qFormat/>
    <w:uiPriority w:val="0"/>
    <w:rPr>
      <w:rFonts w:ascii="宋体"/>
      <w:sz w:val="18"/>
      <w:szCs w:val="18"/>
    </w:rPr>
  </w:style>
  <w:style w:type="character" w:customStyle="1" w:styleId="13">
    <w:name w:val="页眉 字符"/>
    <w:basedOn w:val="10"/>
    <w:link w:val="5"/>
    <w:qFormat/>
    <w:uiPriority w:val="0"/>
    <w:rPr>
      <w:rFonts w:ascii="宋体"/>
      <w:sz w:val="18"/>
      <w:szCs w:val="18"/>
    </w:rPr>
  </w:style>
  <w:style w:type="character" w:customStyle="1" w:styleId="14">
    <w:name w:val="批注文字 字符"/>
    <w:basedOn w:val="10"/>
    <w:link w:val="2"/>
    <w:qFormat/>
    <w:uiPriority w:val="0"/>
    <w:rPr>
      <w:rFonts w:ascii="宋体"/>
      <w:sz w:val="34"/>
      <w:szCs w:val="22"/>
    </w:rPr>
  </w:style>
  <w:style w:type="character" w:customStyle="1" w:styleId="15">
    <w:name w:val="批注主题 字符"/>
    <w:basedOn w:val="14"/>
    <w:link w:val="7"/>
    <w:qFormat/>
    <w:uiPriority w:val="0"/>
    <w:rPr>
      <w:rFonts w:ascii="宋体"/>
      <w:b/>
      <w:bCs/>
      <w:sz w:val="34"/>
      <w:szCs w:val="22"/>
    </w:rPr>
  </w:style>
  <w:style w:type="paragraph" w:customStyle="1" w:styleId="16">
    <w:name w:val="Revision"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1486</Words>
  <Characters>907</Characters>
  <Lines>7</Lines>
  <Paragraphs>4</Paragraphs>
  <TotalTime>2</TotalTime>
  <ScaleCrop>false</ScaleCrop>
  <LinksUpToDate>false</LinksUpToDate>
  <CharactersWithSpaces>2389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2021-09-09T18:47:00Z</dcterms:created>
  <dc:creator>Lenovo</dc:creator>
  <cp:lastModifiedBy>Zixuan Shen</cp:lastModifiedBy>
  <dcterms:modified xsi:type="dcterms:W3CDTF">2022-07-08T14:47:57Z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4D469A5FBDBC431D9A6BB734077CF732</vt:lpwstr>
  </property>
</Properties>
</file>