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附加一般医疗费用保险费率表（互联网专属）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1、保险金额：300万元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2、免赔额：1万元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3、赔付比例：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①若被保险人以参加基本医疗保险或公费医疗身份投保，并以基本医疗保险或公费医疗身份就诊并结算，赔付比例为100%。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②若被保险人以参加基本医疗保险或公费医疗身份投保，但未以基本医疗保险或公费医疗身份就诊并结算，赔付比例为60%。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③若被保险人未以参加基本医疗保险或公费医疗身份投保，赔付比例为100%。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4、等待期：30天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</w:t>
      </w:r>
      <w:r>
        <w:rPr>
          <w:rFonts w:hint="eastAsia" w:ascii="宋体" w:hAnsi="宋体" w:eastAsia="宋体" w:cs="宋体"/>
          <w:b/>
          <w:bCs/>
          <w:szCs w:val="21"/>
          <w:lang w:eastAsia="zh-Hans"/>
        </w:rPr>
        <w:t>保险费</w:t>
      </w:r>
      <w:r>
        <w:rPr>
          <w:rFonts w:hint="eastAsia" w:ascii="宋体" w:hAnsi="宋体" w:eastAsia="宋体" w:cs="宋体"/>
          <w:b/>
          <w:bCs/>
          <w:szCs w:val="21"/>
        </w:rPr>
        <w:t>（单位：元）</w:t>
      </w:r>
    </w:p>
    <w:tbl>
      <w:tblPr>
        <w:tblStyle w:val="11"/>
        <w:tblW w:w="6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126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1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193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409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159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124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174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235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347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460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707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947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1286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1701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2166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2749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3491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4448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5627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7123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9006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15390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三、费率调整</w:t>
      </w:r>
      <w:r>
        <w:rPr>
          <w:rFonts w:ascii="宋体" w:hAnsi="宋体" w:eastAsia="宋体" w:cs="宋体"/>
          <w:b/>
          <w:szCs w:val="21"/>
        </w:rPr>
        <w:t>系数</w:t>
      </w:r>
    </w:p>
    <w:p>
      <w:pPr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1、等待期调整系数（F1）</w:t>
      </w:r>
    </w:p>
    <w:tbl>
      <w:tblPr>
        <w:tblStyle w:val="10"/>
        <w:tblW w:w="3631" w:type="pct"/>
        <w:tblInd w:w="1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1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等待期（天）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[0,30)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[30,90)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[90,180]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[0.7,0.8]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Arial"/>
          <w:bCs/>
          <w:color w:val="000000"/>
          <w:szCs w:val="21"/>
          <w:highlight w:val="none"/>
        </w:rPr>
        <w:t>2、免赔额调整系数（F2）</w:t>
      </w:r>
    </w:p>
    <w:tbl>
      <w:tblPr>
        <w:tblStyle w:val="10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免赔额（万元）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1以下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(1.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,1.6]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1（含）-3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3（含）-5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val="en-US" w:eastAsia="zh-CN"/>
              </w:rPr>
              <w:t>含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(0.6,0.8]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Arial"/>
          <w:bCs/>
          <w:color w:val="000000"/>
          <w:szCs w:val="21"/>
          <w:highlight w:val="none"/>
        </w:rPr>
        <w:t>3、赔付比例调整系数（F3）</w:t>
      </w:r>
    </w:p>
    <w:tbl>
      <w:tblPr>
        <w:tblStyle w:val="10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赔付比例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80%-100%（含）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60%-80%（含）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40%-60%（含）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(0.4,0.6]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highlight w:val="none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0%（含）-</w:t>
            </w:r>
            <w:r>
              <w:rPr>
                <w:rFonts w:hint="eastAsia" w:ascii="PMingLiU" w:hAnsi="PMingLiU" w:eastAsia="PMingLiU" w:cs="Arial"/>
                <w:bCs/>
                <w:color w:val="000000"/>
                <w:szCs w:val="21"/>
                <w:highlight w:val="none"/>
                <w:lang w:eastAsia="zh-TW"/>
              </w:rPr>
              <w:t>4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[0.3,0.4]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Arial"/>
          <w:bCs/>
          <w:color w:val="000000"/>
          <w:szCs w:val="21"/>
          <w:highlight w:val="none"/>
        </w:rPr>
        <w:t>4、保险金额调整系数（F4）</w:t>
      </w:r>
    </w:p>
    <w:tbl>
      <w:tblPr>
        <w:tblStyle w:val="10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保单约定保险金额/基准保险金额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100%-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highlight w:val="none"/>
                <w:lang w:eastAsia="zh-TW"/>
              </w:rPr>
              <w:t>2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50%-100%（含）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&lt;=50%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[0.8,0.9]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5、被保险人健康状况调整系数（F5）</w:t>
      </w:r>
    </w:p>
    <w:tbl>
      <w:tblPr>
        <w:tblStyle w:val="11"/>
        <w:tblW w:w="0" w:type="auto"/>
        <w:tblInd w:w="1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被保险人健康状况</w:t>
            </w:r>
          </w:p>
        </w:tc>
        <w:tc>
          <w:tcPr>
            <w:tcW w:w="183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被保险人日常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生活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方式与身体健康状况及健康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管理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水平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良好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[0.6,0.8)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被保险人日常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生活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方式与身体健康状况及健康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管理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水平一般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[0.8,1.2)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被保险人日常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生活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方式与身体健康状况及健康</w:t>
            </w:r>
            <w:r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  <w:t>管理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水平较差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[1.2,2.0]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注：可根据被保险人是否定期体检，生活作息是否规律，是否有抽烟与饮酒的习惯，日常是否参加户外运动或体育运动等方面进行判断。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6、地区环境调整系数（F6）</w:t>
      </w:r>
    </w:p>
    <w:tbl>
      <w:tblPr>
        <w:tblStyle w:val="10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地区环境调整系数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生活地区环境佳,无污染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[0.6,0.8]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生活地区环境良好,有轻微污染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生活地区环境普通,有一般污染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(1.0,1.5]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7、地区医疗水平调整系数（F7）</w:t>
      </w:r>
    </w:p>
    <w:tbl>
      <w:tblPr>
        <w:tblStyle w:val="10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地区</w:t>
            </w:r>
            <w:r>
              <w:rPr>
                <w:rFonts w:hint="cs" w:ascii="宋体" w:hAnsi="宋体" w:eastAsia="宋体" w:cs="Arial"/>
                <w:bCs/>
                <w:color w:val="000000"/>
                <w:szCs w:val="21"/>
                <w:highlight w:val="none"/>
              </w:rPr>
              <w:t>医疗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水平调整系数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当地医疗资源完善,医疗支出水平高于全国平均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[0.6,0.8]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当地医疗资源良好,医疗支出在全国平均水平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当地医疗资源普通,医疗支出水平低于全国平均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(1.0,1.5]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highlight w:val="none"/>
          <w:lang w:bidi="ar"/>
        </w:rPr>
      </w:pPr>
      <w:r>
        <w:rPr>
          <w:rFonts w:hint="eastAsia" w:ascii="宋体" w:hAnsi="宋体" w:eastAsia="宋体" w:cs="宋体"/>
          <w:szCs w:val="21"/>
          <w:highlight w:val="none"/>
          <w:lang w:bidi="ar"/>
        </w:rPr>
        <w:t>8、</w:t>
      </w:r>
      <w:r>
        <w:rPr>
          <w:rFonts w:ascii="宋体" w:hAnsi="宋体" w:eastAsia="宋体" w:cs="宋体"/>
          <w:szCs w:val="21"/>
          <w:highlight w:val="none"/>
          <w:lang w:bidi="ar"/>
        </w:rPr>
        <w:t>投保人数调整系数</w:t>
      </w:r>
      <w:r>
        <w:rPr>
          <w:rFonts w:hint="eastAsia" w:ascii="宋体" w:hAnsi="宋体" w:eastAsia="宋体" w:cs="宋体"/>
          <w:szCs w:val="21"/>
          <w:highlight w:val="none"/>
        </w:rPr>
        <w:t>（F8）</w:t>
      </w:r>
      <w:r>
        <w:rPr>
          <w:rFonts w:hint="eastAsia" w:ascii="宋体" w:hAnsi="宋体" w:eastAsia="宋体" w:cs="宋体"/>
          <w:szCs w:val="21"/>
          <w:highlight w:val="none"/>
          <w:lang w:bidi="ar"/>
        </w:rPr>
        <w:t>：根据家庭投保人数，进行划分。</w:t>
      </w:r>
    </w:p>
    <w:tbl>
      <w:tblPr>
        <w:tblStyle w:val="10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家庭投保2人及以上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6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,1.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1</w:t>
            </w:r>
            <w:r>
              <w:rPr>
                <w:rFonts w:ascii="宋体" w:hAnsi="宋体" w:eastAsia="宋体"/>
                <w:highlight w:val="none"/>
              </w:rPr>
              <w:t>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9、预估承保</w:t>
      </w:r>
      <w:r>
        <w:rPr>
          <w:rFonts w:hint="eastAsia" w:ascii="宋体" w:hAnsi="宋体" w:eastAsia="宋体" w:cs="Times New Roman"/>
          <w:kern w:val="0"/>
          <w:highlight w:val="none"/>
        </w:rPr>
        <w:t>规模调整系数</w:t>
      </w:r>
      <w:r>
        <w:rPr>
          <w:rFonts w:hint="eastAsia" w:ascii="宋体" w:hAnsi="宋体" w:eastAsia="宋体" w:cs="宋体"/>
          <w:szCs w:val="21"/>
          <w:highlight w:val="none"/>
        </w:rPr>
        <w:t>（F9）</w:t>
      </w:r>
    </w:p>
    <w:tbl>
      <w:tblPr>
        <w:tblStyle w:val="10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预估年度投保人数（N人）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N&gt;10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3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,0.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6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5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00&lt;N≤10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2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00&lt;N≤5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5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00&lt;N≤2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N≤5</w:t>
            </w:r>
            <w:r>
              <w:rPr>
                <w:rFonts w:ascii="宋体" w:hAnsi="宋体" w:eastAsia="宋体" w:cs="Times New Roman"/>
                <w:kern w:val="0"/>
                <w:highlight w:val="none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highlight w:val="none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highlight w:val="none"/>
              </w:rPr>
            </w:pPr>
            <w:r>
              <w:rPr>
                <w:rFonts w:ascii="宋体" w:hAnsi="宋体" w:eastAsia="宋体" w:cs="Times New Roman"/>
                <w:kern w:val="0"/>
                <w:highlight w:val="none"/>
              </w:rPr>
              <w:t>[1.1,1.5]</w:t>
            </w:r>
          </w:p>
        </w:tc>
      </w:tr>
    </w:tbl>
    <w:p>
      <w:pPr>
        <w:widowControl/>
        <w:spacing w:line="360" w:lineRule="auto"/>
        <w:ind w:firstLine="420" w:firstLineChars="200"/>
        <w:rPr>
          <w:rFonts w:ascii="宋体" w:hAnsi="宋体" w:eastAsia="宋体" w:cs="宋体"/>
          <w:szCs w:val="21"/>
          <w:highlight w:val="none"/>
          <w:lang w:bidi="ar"/>
        </w:rPr>
      </w:pPr>
      <w:r>
        <w:rPr>
          <w:rFonts w:hint="eastAsia" w:ascii="宋体" w:hAnsi="宋体" w:eastAsia="宋体" w:cs="Times New Roman"/>
          <w:kern w:val="0"/>
          <w:highlight w:val="none"/>
        </w:rPr>
        <w:t>10、</w:t>
      </w:r>
      <w:r>
        <w:rPr>
          <w:rFonts w:hint="eastAsia" w:ascii="宋体" w:hAnsi="宋体" w:eastAsia="宋体" w:cs="宋体"/>
          <w:szCs w:val="21"/>
          <w:highlight w:val="none"/>
          <w:lang w:bidi="ar"/>
        </w:rPr>
        <w:t>预期/历史赔付率调整系数（F10）</w:t>
      </w:r>
    </w:p>
    <w:tbl>
      <w:tblPr>
        <w:tblStyle w:val="10"/>
        <w:tblW w:w="0" w:type="auto"/>
        <w:tblInd w:w="19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eastAsia="zh-TW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eastAsia="zh-TW"/>
              </w:rPr>
              <w:t>预期/历史赔付率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eastAsia="zh-TW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eastAsia="zh-TW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0%-30%（含）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30%-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  <w:lang w:eastAsia="zh-TW"/>
              </w:rPr>
              <w:t>6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5%（含）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(0.7,1.0]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  <w:lang w:eastAsia="zh-TW"/>
              </w:rPr>
              <w:t>6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5%-80%（含）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(1.0,1.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80%以上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(1.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szCs w:val="21"/>
                <w:highlight w:val="none"/>
              </w:rPr>
              <w:t>,1.5]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Arial"/>
          <w:bCs/>
          <w:color w:val="000000"/>
          <w:szCs w:val="21"/>
          <w:highlight w:val="none"/>
        </w:rPr>
        <w:t>11、销售渠道调整系数（F11）</w:t>
      </w:r>
    </w:p>
    <w:tbl>
      <w:tblPr>
        <w:tblStyle w:val="10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销售渠道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bidi="ar"/>
              </w:rPr>
              <w:t>其他第三方渠道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bidi="ar"/>
              </w:rPr>
              <w:t>[0.8,1.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TW" w:bidi="ar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直销（或销售费用率等同直销的渠道）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bidi="ar"/>
              </w:rPr>
              <w:t>[0.7,1.0]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  <w:highlight w:val="none"/>
          <w:lang w:bidi="ar"/>
        </w:rPr>
      </w:pPr>
      <w:r>
        <w:rPr>
          <w:rFonts w:hint="eastAsia" w:ascii="宋体" w:hAnsi="宋体" w:eastAsia="宋体" w:cs="Arial"/>
          <w:bCs/>
          <w:color w:val="000000"/>
          <w:szCs w:val="21"/>
          <w:highlight w:val="none"/>
        </w:rPr>
        <w:t>12、缴费方式调整系数</w:t>
      </w:r>
      <w:r>
        <w:rPr>
          <w:rFonts w:hint="eastAsia" w:ascii="宋体" w:hAnsi="宋体" w:eastAsia="宋体" w:cs="宋体"/>
          <w:szCs w:val="21"/>
          <w:highlight w:val="none"/>
        </w:rPr>
        <w:t>（F12）</w:t>
      </w:r>
    </w:p>
    <w:tbl>
      <w:tblPr>
        <w:tblStyle w:val="10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[1.0,1.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highlight w:val="none"/>
                <w:lang w:eastAsia="zh-TW"/>
              </w:rPr>
              <w:t>1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[1.0,1.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highlight w:val="none"/>
                <w:lang w:eastAsia="zh-TW"/>
              </w:rPr>
              <w:t>05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highlight w:val="none"/>
              </w:rPr>
              <w:t>1.0</w:t>
            </w:r>
          </w:p>
        </w:tc>
      </w:tr>
    </w:tbl>
    <w:p>
      <w:pPr>
        <w:jc w:val="left"/>
        <w:rPr>
          <w:rFonts w:ascii="宋体" w:hAnsi="宋体" w:eastAsia="宋体" w:cs="宋体"/>
          <w:b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Cs w:val="21"/>
        </w:rPr>
        <w:t>四、保险费</w:t>
      </w:r>
      <w:r>
        <w:rPr>
          <w:rFonts w:ascii="宋体" w:hAnsi="宋体" w:eastAsia="宋体" w:cs="宋体"/>
          <w:b/>
          <w:szCs w:val="21"/>
        </w:rPr>
        <w:t>计算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1、投保人选择一次性缴清保险费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年保险费=保险金额×年基准保费×F1×F2×F3×F4×F5×F6×F7×F8×F9×F10×F11×F12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2、投保人选择分期缴付保险费，保险人根据保险费分期缴费期数，计收每期保险费：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年保险费=保险金额×年基准保费×F1×F2×F3×F4×F5×F6×F7×F8×F9×F10×F11×F12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每期保险费（按四舍五入计算）=年保险费÷分期缴费期数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注：本产品涉及分期缴费，每期缴费金额一致。</w:t>
      </w:r>
    </w:p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五、</w:t>
      </w:r>
      <w:r>
        <w:rPr>
          <w:rFonts w:ascii="宋体" w:hAnsi="宋体" w:eastAsia="宋体" w:cs="宋体"/>
          <w:b/>
          <w:szCs w:val="21"/>
        </w:rPr>
        <w:t>短期费率表</w:t>
      </w:r>
    </w:p>
    <w:p>
      <w:pPr>
        <w:snapToGrid w:val="0"/>
        <w:spacing w:line="288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10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ind w:firstLine="420" w:firstLineChars="20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panose1 w:val="02020500000000000000"/>
    <w:charset w:val="88"/>
    <w:family w:val="roman"/>
    <w:pitch w:val="default"/>
    <w:sig w:usb0="A00002FF" w:usb1="2A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829047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172A27"/>
    <w:rsid w:val="00067978"/>
    <w:rsid w:val="000C1625"/>
    <w:rsid w:val="000D3F12"/>
    <w:rsid w:val="000E23FB"/>
    <w:rsid w:val="000F6296"/>
    <w:rsid w:val="00172A27"/>
    <w:rsid w:val="00195551"/>
    <w:rsid w:val="001B5EBE"/>
    <w:rsid w:val="001D128D"/>
    <w:rsid w:val="001E06D8"/>
    <w:rsid w:val="001E4174"/>
    <w:rsid w:val="001F113A"/>
    <w:rsid w:val="00210078"/>
    <w:rsid w:val="00214BF5"/>
    <w:rsid w:val="00220B06"/>
    <w:rsid w:val="00236AB7"/>
    <w:rsid w:val="002459E4"/>
    <w:rsid w:val="0025119D"/>
    <w:rsid w:val="00285063"/>
    <w:rsid w:val="002C0D5F"/>
    <w:rsid w:val="002F677C"/>
    <w:rsid w:val="0030652B"/>
    <w:rsid w:val="00312204"/>
    <w:rsid w:val="003156AE"/>
    <w:rsid w:val="003161C0"/>
    <w:rsid w:val="0031785E"/>
    <w:rsid w:val="00331B57"/>
    <w:rsid w:val="00392BBC"/>
    <w:rsid w:val="00401115"/>
    <w:rsid w:val="00452378"/>
    <w:rsid w:val="00457BAA"/>
    <w:rsid w:val="00474910"/>
    <w:rsid w:val="004C6B0A"/>
    <w:rsid w:val="004F0C62"/>
    <w:rsid w:val="00534019"/>
    <w:rsid w:val="005703DB"/>
    <w:rsid w:val="005760FF"/>
    <w:rsid w:val="00586F39"/>
    <w:rsid w:val="005A3F88"/>
    <w:rsid w:val="005A5A3B"/>
    <w:rsid w:val="005E62B5"/>
    <w:rsid w:val="00607782"/>
    <w:rsid w:val="00617DE4"/>
    <w:rsid w:val="00626D20"/>
    <w:rsid w:val="00650F38"/>
    <w:rsid w:val="00653535"/>
    <w:rsid w:val="0067728A"/>
    <w:rsid w:val="006D187A"/>
    <w:rsid w:val="00744F3C"/>
    <w:rsid w:val="00760559"/>
    <w:rsid w:val="00791FC6"/>
    <w:rsid w:val="007A1291"/>
    <w:rsid w:val="007A25A5"/>
    <w:rsid w:val="007B05B5"/>
    <w:rsid w:val="0080735C"/>
    <w:rsid w:val="0083095B"/>
    <w:rsid w:val="00866DAC"/>
    <w:rsid w:val="00890002"/>
    <w:rsid w:val="00895575"/>
    <w:rsid w:val="00895851"/>
    <w:rsid w:val="0090568D"/>
    <w:rsid w:val="00960831"/>
    <w:rsid w:val="00963111"/>
    <w:rsid w:val="00970626"/>
    <w:rsid w:val="0099441D"/>
    <w:rsid w:val="009C3683"/>
    <w:rsid w:val="00A805B1"/>
    <w:rsid w:val="00B45148"/>
    <w:rsid w:val="00B81B91"/>
    <w:rsid w:val="00B95B79"/>
    <w:rsid w:val="00C26D57"/>
    <w:rsid w:val="00C51745"/>
    <w:rsid w:val="00C955A5"/>
    <w:rsid w:val="00CB0C5C"/>
    <w:rsid w:val="00CB6A12"/>
    <w:rsid w:val="00CE3B6D"/>
    <w:rsid w:val="00D134A8"/>
    <w:rsid w:val="00D2232A"/>
    <w:rsid w:val="00D433E6"/>
    <w:rsid w:val="00D455C5"/>
    <w:rsid w:val="00DC47BA"/>
    <w:rsid w:val="00DC4F00"/>
    <w:rsid w:val="00DC530A"/>
    <w:rsid w:val="00DD32FB"/>
    <w:rsid w:val="00E0495F"/>
    <w:rsid w:val="00E24F8B"/>
    <w:rsid w:val="00E42118"/>
    <w:rsid w:val="00E70AA2"/>
    <w:rsid w:val="00E744A0"/>
    <w:rsid w:val="00E770A9"/>
    <w:rsid w:val="00ED016B"/>
    <w:rsid w:val="00ED7A77"/>
    <w:rsid w:val="00EE3C74"/>
    <w:rsid w:val="00F3236C"/>
    <w:rsid w:val="00FD130A"/>
    <w:rsid w:val="00FD2B69"/>
    <w:rsid w:val="0293255D"/>
    <w:rsid w:val="03F90AE6"/>
    <w:rsid w:val="05BE3C79"/>
    <w:rsid w:val="062067FE"/>
    <w:rsid w:val="078D467B"/>
    <w:rsid w:val="0AA773EB"/>
    <w:rsid w:val="0C6E2364"/>
    <w:rsid w:val="0D3E5E25"/>
    <w:rsid w:val="0DA55A42"/>
    <w:rsid w:val="0FF5579E"/>
    <w:rsid w:val="11EA0058"/>
    <w:rsid w:val="12463148"/>
    <w:rsid w:val="15C9656A"/>
    <w:rsid w:val="175969DD"/>
    <w:rsid w:val="18A40A5B"/>
    <w:rsid w:val="19F13CB5"/>
    <w:rsid w:val="1E6A6411"/>
    <w:rsid w:val="23D1671C"/>
    <w:rsid w:val="23FE4F6E"/>
    <w:rsid w:val="27DB666F"/>
    <w:rsid w:val="290A7D7B"/>
    <w:rsid w:val="2CF658F8"/>
    <w:rsid w:val="2E352597"/>
    <w:rsid w:val="31DA5E20"/>
    <w:rsid w:val="32CD27CF"/>
    <w:rsid w:val="33087414"/>
    <w:rsid w:val="334119DE"/>
    <w:rsid w:val="35A02F2C"/>
    <w:rsid w:val="35C41273"/>
    <w:rsid w:val="371643AC"/>
    <w:rsid w:val="373C4996"/>
    <w:rsid w:val="37F2267E"/>
    <w:rsid w:val="38443EFF"/>
    <w:rsid w:val="3A570486"/>
    <w:rsid w:val="3C1C744E"/>
    <w:rsid w:val="3D767D44"/>
    <w:rsid w:val="3DAD6929"/>
    <w:rsid w:val="3E0071CA"/>
    <w:rsid w:val="3F8C5103"/>
    <w:rsid w:val="40DB3913"/>
    <w:rsid w:val="45DE2210"/>
    <w:rsid w:val="46342CDD"/>
    <w:rsid w:val="4F814167"/>
    <w:rsid w:val="50147BF7"/>
    <w:rsid w:val="52481E04"/>
    <w:rsid w:val="52E141EC"/>
    <w:rsid w:val="54562DA6"/>
    <w:rsid w:val="5AE325C4"/>
    <w:rsid w:val="5BEE3E6C"/>
    <w:rsid w:val="5C313D81"/>
    <w:rsid w:val="5C327970"/>
    <w:rsid w:val="5F444203"/>
    <w:rsid w:val="5F685328"/>
    <w:rsid w:val="5FA274CB"/>
    <w:rsid w:val="5FEA94CC"/>
    <w:rsid w:val="60065292"/>
    <w:rsid w:val="648649F6"/>
    <w:rsid w:val="69BD14E3"/>
    <w:rsid w:val="6A116A1B"/>
    <w:rsid w:val="6B37642C"/>
    <w:rsid w:val="6BA505A7"/>
    <w:rsid w:val="6DAE2B0E"/>
    <w:rsid w:val="6DBC5A39"/>
    <w:rsid w:val="700A492A"/>
    <w:rsid w:val="7020421A"/>
    <w:rsid w:val="714A33D1"/>
    <w:rsid w:val="74820E90"/>
    <w:rsid w:val="753164B5"/>
    <w:rsid w:val="75AD03B6"/>
    <w:rsid w:val="763D7B69"/>
    <w:rsid w:val="79052133"/>
    <w:rsid w:val="7CDB0E9C"/>
    <w:rsid w:val="7D387D68"/>
    <w:rsid w:val="7F7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autoRedefine/>
    <w:semiHidden/>
    <w:unhideWhenUsed/>
    <w:qFormat/>
    <w:uiPriority w:val="99"/>
    <w:pPr>
      <w:jc w:val="left"/>
    </w:p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16"/>
      <w:szCs w:val="16"/>
      <w:lang w:eastAsia="en-US"/>
    </w:rPr>
  </w:style>
  <w:style w:type="paragraph" w:styleId="4">
    <w:name w:val="Body Text Indent"/>
    <w:basedOn w:val="1"/>
    <w:autoRedefine/>
    <w:unhideWhenUsed/>
    <w:qFormat/>
    <w:uiPriority w:val="99"/>
    <w:pPr>
      <w:ind w:firstLine="360"/>
    </w:pPr>
    <w:rPr>
      <w:szCs w:val="20"/>
    </w:rPr>
  </w:style>
  <w:style w:type="paragraph" w:styleId="5">
    <w:name w:val="Plain Text"/>
    <w:basedOn w:val="1"/>
    <w:autoRedefine/>
    <w:qFormat/>
    <w:uiPriority w:val="0"/>
    <w:pPr>
      <w:widowControl/>
      <w:spacing w:line="360" w:lineRule="auto"/>
      <w:ind w:left="420" w:hanging="420"/>
    </w:pPr>
    <w:rPr>
      <w:rFonts w:hAnsi="宋体" w:cs="宋体"/>
      <w:szCs w:val="21"/>
    </w:rPr>
  </w:style>
  <w:style w:type="paragraph" w:styleId="6">
    <w:name w:val="Balloon Text"/>
    <w:basedOn w:val="1"/>
    <w:link w:val="17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2"/>
    <w:next w:val="2"/>
    <w:link w:val="21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8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autoRedefine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12"/>
    <w:link w:val="6"/>
    <w:autoRedefine/>
    <w:semiHidden/>
    <w:qFormat/>
    <w:uiPriority w:val="99"/>
    <w:rPr>
      <w:sz w:val="18"/>
      <w:szCs w:val="18"/>
    </w:rPr>
  </w:style>
  <w:style w:type="paragraph" w:styleId="18">
    <w:name w:val="List Paragraph"/>
    <w:basedOn w:val="1"/>
    <w:autoRedefine/>
    <w:qFormat/>
    <w:uiPriority w:val="99"/>
    <w:pPr>
      <w:ind w:firstLine="420" w:firstLineChars="200"/>
    </w:pPr>
  </w:style>
  <w:style w:type="table" w:customStyle="1" w:styleId="19">
    <w:name w:val="网格型1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批注文字 字符"/>
    <w:basedOn w:val="12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1">
    <w:name w:val="批注主题 字符"/>
    <w:basedOn w:val="20"/>
    <w:link w:val="9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2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lang w:eastAsia="en-US"/>
    </w:rPr>
  </w:style>
  <w:style w:type="table" w:customStyle="1" w:styleId="2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10A8-5B3D-4ED0-903C-95E93A8E1D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351</Words>
  <Characters>2005</Characters>
  <Lines>16</Lines>
  <Paragraphs>4</Paragraphs>
  <TotalTime>17</TotalTime>
  <ScaleCrop>false</ScaleCrop>
  <LinksUpToDate>false</LinksUpToDate>
  <CharactersWithSpaces>2352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2020-02-15T23:24:00Z</dcterms:created>
  <dc:creator>林男 曹</dc:creator>
  <cp:lastModifiedBy>Zixuan Shen</cp:lastModifiedBy>
  <dcterms:modified xsi:type="dcterms:W3CDTF">2024-04-15T02:04:34Z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0E6EFDFFD6EA4E1198239DFCF3EAA021</vt:lpwstr>
  </property>
</Properties>
</file>