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25" w:lineRule="auto"/>
        <w:jc w:val="center"/>
        <w:outlineLvl w:val="0"/>
        <w:rPr>
          <w:rFonts w:ascii="宋体" w:hAnsi="宋体" w:eastAsia="宋体" w:cs="宋体"/>
          <w:b/>
          <w:bCs/>
          <w:spacing w:val="14"/>
          <w:sz w:val="28"/>
          <w:szCs w:val="28"/>
          <w:lang w:eastAsia="zh-CN"/>
        </w:rPr>
      </w:pPr>
      <w:r>
        <w:rPr>
          <w:rFonts w:hint="eastAsia" w:ascii="宋体" w:hAnsi="宋体" w:eastAsia="宋体" w:cs="宋体"/>
          <w:b/>
          <w:bCs/>
          <w:spacing w:val="14"/>
          <w:sz w:val="28"/>
          <w:szCs w:val="28"/>
          <w:lang w:eastAsia="zh-CN"/>
        </w:rPr>
        <w:t>华农</w:t>
      </w:r>
      <w:r>
        <w:rPr>
          <w:rFonts w:ascii="宋体" w:hAnsi="宋体" w:eastAsia="宋体" w:cs="宋体"/>
          <w:b/>
          <w:bCs/>
          <w:spacing w:val="14"/>
          <w:sz w:val="28"/>
          <w:szCs w:val="28"/>
          <w:lang w:eastAsia="zh-CN"/>
        </w:rPr>
        <w:t>财产保险股份有限公司</w:t>
      </w:r>
    </w:p>
    <w:p>
      <w:pPr>
        <w:spacing w:before="101" w:line="225" w:lineRule="auto"/>
        <w:jc w:val="center"/>
        <w:outlineLvl w:val="0"/>
        <w:rPr>
          <w:rFonts w:ascii="宋体" w:hAnsi="宋体" w:eastAsia="宋体" w:cs="宋体"/>
          <w:b/>
          <w:bCs/>
          <w:sz w:val="28"/>
          <w:szCs w:val="28"/>
          <w:lang w:eastAsia="zh-CN"/>
        </w:rPr>
      </w:pPr>
      <w:r>
        <w:rPr>
          <w:rFonts w:ascii="宋体" w:hAnsi="宋体" w:eastAsia="宋体" w:cs="宋体"/>
          <w:b/>
          <w:bCs/>
          <w:spacing w:val="14"/>
          <w:position w:val="27"/>
          <w:sz w:val="28"/>
          <w:szCs w:val="28"/>
          <w:lang w:eastAsia="zh-CN"/>
        </w:rPr>
        <w:t>附加家庭成员意外伤害医疗</w:t>
      </w:r>
      <w:bookmarkStart w:id="0" w:name="_GoBack"/>
      <w:bookmarkEnd w:id="0"/>
      <w:r>
        <w:rPr>
          <w:rFonts w:ascii="宋体" w:hAnsi="宋体" w:eastAsia="宋体" w:cs="宋体"/>
          <w:b/>
          <w:bCs/>
          <w:spacing w:val="14"/>
          <w:position w:val="27"/>
          <w:sz w:val="28"/>
          <w:szCs w:val="28"/>
          <w:lang w:eastAsia="zh-CN"/>
        </w:rPr>
        <w:t>保险（互联网</w:t>
      </w:r>
      <w:r>
        <w:rPr>
          <w:rFonts w:hint="eastAsia" w:ascii="宋体" w:hAnsi="宋体" w:eastAsia="宋体" w:cs="宋体"/>
          <w:b/>
          <w:bCs/>
          <w:spacing w:val="14"/>
          <w:position w:val="27"/>
          <w:sz w:val="28"/>
          <w:szCs w:val="28"/>
          <w:lang w:eastAsia="zh-CN"/>
        </w:rPr>
        <w:t>专属</w:t>
      </w:r>
      <w:r>
        <w:rPr>
          <w:rFonts w:ascii="宋体" w:hAnsi="宋体" w:eastAsia="宋体" w:cs="宋体"/>
          <w:b/>
          <w:bCs/>
          <w:spacing w:val="14"/>
          <w:position w:val="27"/>
          <w:sz w:val="28"/>
          <w:szCs w:val="28"/>
          <w:lang w:eastAsia="zh-CN"/>
        </w:rPr>
        <w:t>）费率表</w:t>
      </w:r>
    </w:p>
    <w:p>
      <w:pPr>
        <w:numPr>
          <w:ilvl w:val="0"/>
          <w:numId w:val="1"/>
        </w:numPr>
        <w:spacing w:line="219" w:lineRule="auto"/>
        <w:ind w:left="176"/>
        <w:rPr>
          <w:rFonts w:asciiTheme="majorEastAsia" w:hAnsiTheme="majorEastAsia" w:eastAsiaTheme="majorEastAsia" w:cstheme="majorEastAsia"/>
          <w:b/>
          <w:bCs/>
          <w:spacing w:val="2"/>
        </w:rPr>
      </w:pPr>
      <w:r>
        <w:rPr>
          <w:rFonts w:hint="eastAsia" w:asciiTheme="majorEastAsia" w:hAnsiTheme="majorEastAsia" w:eastAsiaTheme="majorEastAsia" w:cstheme="majorEastAsia"/>
          <w:b/>
          <w:bCs/>
          <w:spacing w:val="2"/>
        </w:rPr>
        <w:t>基准费率</w:t>
      </w:r>
    </w:p>
    <w:p>
      <w:pPr>
        <w:keepNext w:val="0"/>
        <w:keepLines w:val="0"/>
        <w:pageBreakBefore w:val="0"/>
        <w:widowControl/>
        <w:numPr>
          <w:ilvl w:val="255"/>
          <w:numId w:val="0"/>
        </w:numPr>
        <w:kinsoku w:val="0"/>
        <w:wordWrap/>
        <w:overflowPunct/>
        <w:topLinePunct w:val="0"/>
        <w:autoSpaceDE w:val="0"/>
        <w:autoSpaceDN w:val="0"/>
        <w:bidi w:val="0"/>
        <w:adjustRightInd w:val="0"/>
        <w:snapToGrid w:val="0"/>
        <w:spacing w:line="360" w:lineRule="auto"/>
        <w:textAlignment w:val="baseline"/>
        <w:rPr>
          <w:rFonts w:asciiTheme="majorEastAsia" w:hAnsiTheme="majorEastAsia" w:eastAsiaTheme="majorEastAsia" w:cstheme="majorEastAsia"/>
          <w:spacing w:val="2"/>
          <w:lang w:eastAsia="zh-CN"/>
        </w:rPr>
      </w:pPr>
      <w:r>
        <w:rPr>
          <w:rFonts w:hint="eastAsia" w:asciiTheme="majorEastAsia" w:hAnsiTheme="majorEastAsia" w:eastAsiaTheme="majorEastAsia" w:cstheme="majorEastAsia"/>
          <w:spacing w:val="2"/>
          <w:lang w:eastAsia="zh-CN"/>
        </w:rPr>
        <w:t xml:space="preserve">     1、基准免赔额：200元</w:t>
      </w:r>
    </w:p>
    <w:p>
      <w:pPr>
        <w:keepNext w:val="0"/>
        <w:keepLines w:val="0"/>
        <w:pageBreakBefore w:val="0"/>
        <w:widowControl/>
        <w:numPr>
          <w:ilvl w:val="255"/>
          <w:numId w:val="0"/>
        </w:numPr>
        <w:kinsoku w:val="0"/>
        <w:wordWrap/>
        <w:overflowPunct/>
        <w:topLinePunct w:val="0"/>
        <w:autoSpaceDE w:val="0"/>
        <w:autoSpaceDN w:val="0"/>
        <w:bidi w:val="0"/>
        <w:adjustRightInd w:val="0"/>
        <w:snapToGrid w:val="0"/>
        <w:spacing w:line="360" w:lineRule="auto"/>
        <w:textAlignment w:val="baseline"/>
        <w:rPr>
          <w:rFonts w:asciiTheme="majorEastAsia" w:hAnsiTheme="majorEastAsia" w:eastAsiaTheme="majorEastAsia" w:cstheme="majorEastAsia"/>
          <w:spacing w:val="2"/>
          <w:lang w:eastAsia="zh-CN"/>
        </w:rPr>
      </w:pPr>
      <w:r>
        <w:rPr>
          <w:rFonts w:hint="eastAsia" w:asciiTheme="majorEastAsia" w:hAnsiTheme="majorEastAsia" w:eastAsiaTheme="majorEastAsia" w:cstheme="majorEastAsia"/>
          <w:spacing w:val="2"/>
          <w:lang w:eastAsia="zh-CN"/>
        </w:rPr>
        <w:t xml:space="preserve">     2、基准赔付比例：</w:t>
      </w:r>
    </w:p>
    <w:p>
      <w:pPr>
        <w:keepNext w:val="0"/>
        <w:keepLines w:val="0"/>
        <w:pageBreakBefore w:val="0"/>
        <w:widowControl/>
        <w:numPr>
          <w:ilvl w:val="255"/>
          <w:numId w:val="0"/>
        </w:numPr>
        <w:kinsoku w:val="0"/>
        <w:wordWrap/>
        <w:overflowPunct/>
        <w:topLinePunct w:val="0"/>
        <w:autoSpaceDE w:val="0"/>
        <w:autoSpaceDN w:val="0"/>
        <w:bidi w:val="0"/>
        <w:adjustRightInd w:val="0"/>
        <w:snapToGrid w:val="0"/>
        <w:spacing w:line="360" w:lineRule="auto"/>
        <w:textAlignment w:val="baseline"/>
        <w:rPr>
          <w:rFonts w:asciiTheme="majorEastAsia" w:hAnsiTheme="majorEastAsia" w:eastAsiaTheme="majorEastAsia" w:cstheme="majorEastAsia"/>
          <w:spacing w:val="7"/>
          <w:lang w:eastAsia="zh-CN"/>
        </w:rPr>
      </w:pPr>
      <w:r>
        <w:rPr>
          <w:rFonts w:hint="eastAsia" w:asciiTheme="majorEastAsia" w:hAnsiTheme="majorEastAsia" w:eastAsiaTheme="majorEastAsia" w:cstheme="majorEastAsia"/>
          <w:spacing w:val="7"/>
          <w:lang w:eastAsia="zh-CN"/>
        </w:rPr>
        <w:t>被保险人以参加社会基本医疗保险或公费医疗身份就诊并结算的，赔付比例为90%；</w:t>
      </w:r>
    </w:p>
    <w:p>
      <w:pPr>
        <w:keepNext w:val="0"/>
        <w:keepLines w:val="0"/>
        <w:pageBreakBefore w:val="0"/>
        <w:widowControl/>
        <w:numPr>
          <w:ilvl w:val="255"/>
          <w:numId w:val="0"/>
        </w:numPr>
        <w:kinsoku w:val="0"/>
        <w:wordWrap/>
        <w:overflowPunct/>
        <w:topLinePunct w:val="0"/>
        <w:autoSpaceDE w:val="0"/>
        <w:autoSpaceDN w:val="0"/>
        <w:bidi w:val="0"/>
        <w:adjustRightInd w:val="0"/>
        <w:snapToGrid w:val="0"/>
        <w:spacing w:line="360" w:lineRule="auto"/>
        <w:textAlignment w:val="baseline"/>
        <w:rPr>
          <w:rFonts w:asciiTheme="majorEastAsia" w:hAnsiTheme="majorEastAsia" w:eastAsiaTheme="majorEastAsia" w:cstheme="majorEastAsia"/>
          <w:spacing w:val="7"/>
          <w:lang w:eastAsia="zh-CN"/>
        </w:rPr>
      </w:pPr>
      <w:r>
        <w:rPr>
          <w:rFonts w:hint="eastAsia" w:asciiTheme="majorEastAsia" w:hAnsiTheme="majorEastAsia" w:eastAsiaTheme="majorEastAsia" w:cstheme="majorEastAsia"/>
          <w:spacing w:val="7"/>
          <w:lang w:eastAsia="zh-CN"/>
        </w:rPr>
        <w:t>被保险人未以参加社会基本医疗保险或公费医疗身份就诊并结算的，赔付比例为54%。</w:t>
      </w:r>
    </w:p>
    <w:p>
      <w:pPr>
        <w:keepNext w:val="0"/>
        <w:keepLines w:val="0"/>
        <w:pageBreakBefore w:val="0"/>
        <w:widowControl/>
        <w:numPr>
          <w:ilvl w:val="255"/>
          <w:numId w:val="0"/>
        </w:numPr>
        <w:kinsoku w:val="0"/>
        <w:wordWrap/>
        <w:overflowPunct/>
        <w:topLinePunct w:val="0"/>
        <w:autoSpaceDE w:val="0"/>
        <w:autoSpaceDN w:val="0"/>
        <w:bidi w:val="0"/>
        <w:adjustRightInd w:val="0"/>
        <w:snapToGrid w:val="0"/>
        <w:spacing w:line="360" w:lineRule="auto"/>
        <w:ind w:firstLine="448" w:firstLineChars="200"/>
        <w:textAlignment w:val="baseline"/>
        <w:rPr>
          <w:rFonts w:asciiTheme="majorEastAsia" w:hAnsiTheme="majorEastAsia" w:eastAsiaTheme="majorEastAsia" w:cstheme="majorEastAsia"/>
          <w:spacing w:val="7"/>
          <w:lang w:eastAsia="zh-CN"/>
        </w:rPr>
      </w:pPr>
      <w:r>
        <w:rPr>
          <w:rFonts w:hint="eastAsia" w:asciiTheme="majorEastAsia" w:hAnsiTheme="majorEastAsia" w:eastAsiaTheme="majorEastAsia" w:cstheme="majorEastAsia"/>
          <w:spacing w:val="7"/>
          <w:lang w:eastAsia="zh-CN"/>
        </w:rPr>
        <w:t>3、基准费率：</w:t>
      </w:r>
    </w:p>
    <w:tbl>
      <w:tblPr>
        <w:tblStyle w:val="9"/>
        <w:tblW w:w="7754" w:type="dxa"/>
        <w:tblInd w:w="16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259"/>
        <w:gridCol w:w="349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4" w:hRule="atLeast"/>
        </w:trPr>
        <w:tc>
          <w:tcPr>
            <w:tcW w:w="4259" w:type="dxa"/>
          </w:tcPr>
          <w:p>
            <w:pPr>
              <w:pStyle w:val="10"/>
              <w:spacing w:before="261" w:line="228" w:lineRule="auto"/>
              <w:ind w:left="1232"/>
              <w:rPr>
                <w:rFonts w:asciiTheme="majorEastAsia" w:hAnsiTheme="majorEastAsia" w:eastAsiaTheme="majorEastAsia" w:cstheme="majorEastAsia"/>
              </w:rPr>
            </w:pPr>
            <w:r>
              <w:rPr>
                <w:rFonts w:hint="eastAsia" w:asciiTheme="majorEastAsia" w:hAnsiTheme="majorEastAsia" w:eastAsiaTheme="majorEastAsia" w:cstheme="majorEastAsia"/>
                <w:spacing w:val="13"/>
              </w:rPr>
              <w:t>保险金额分配方式</w:t>
            </w:r>
          </w:p>
        </w:tc>
        <w:tc>
          <w:tcPr>
            <w:tcW w:w="3495" w:type="dxa"/>
          </w:tcPr>
          <w:p>
            <w:pPr>
              <w:pStyle w:val="10"/>
              <w:spacing w:before="261" w:line="228" w:lineRule="auto"/>
              <w:ind w:left="738"/>
              <w:rPr>
                <w:rFonts w:asciiTheme="majorEastAsia" w:hAnsiTheme="majorEastAsia" w:eastAsiaTheme="majorEastAsia" w:cstheme="majorEastAsia"/>
              </w:rPr>
            </w:pPr>
            <w:r>
              <w:rPr>
                <w:rFonts w:hint="eastAsia" w:asciiTheme="majorEastAsia" w:hAnsiTheme="majorEastAsia" w:eastAsiaTheme="majorEastAsia" w:cstheme="majorEastAsia"/>
                <w:spacing w:val="11"/>
              </w:rPr>
              <w:t>基准费率（万分之）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1" w:hRule="atLeast"/>
        </w:trPr>
        <w:tc>
          <w:tcPr>
            <w:tcW w:w="4259" w:type="dxa"/>
          </w:tcPr>
          <w:p>
            <w:pPr>
              <w:pStyle w:val="10"/>
              <w:spacing w:before="257" w:line="228" w:lineRule="auto"/>
              <w:ind w:left="557"/>
              <w:rPr>
                <w:rFonts w:asciiTheme="majorEastAsia" w:hAnsiTheme="majorEastAsia" w:eastAsiaTheme="majorEastAsia" w:cstheme="majorEastAsia"/>
                <w:lang w:eastAsia="zh-CN"/>
              </w:rPr>
            </w:pPr>
            <w:r>
              <w:rPr>
                <w:rFonts w:hint="eastAsia" w:asciiTheme="majorEastAsia" w:hAnsiTheme="majorEastAsia" w:eastAsiaTheme="majorEastAsia" w:cstheme="majorEastAsia"/>
                <w:spacing w:val="13"/>
                <w:lang w:eastAsia="zh-CN"/>
              </w:rPr>
              <w:t>均分意外伤害医疗家庭保险金额</w:t>
            </w:r>
          </w:p>
        </w:tc>
        <w:tc>
          <w:tcPr>
            <w:tcW w:w="3495" w:type="dxa"/>
          </w:tcPr>
          <w:p>
            <w:pPr>
              <w:pStyle w:val="10"/>
              <w:spacing w:before="290" w:line="190" w:lineRule="auto"/>
              <w:ind w:left="1646"/>
              <w:rPr>
                <w:rFonts w:asciiTheme="majorEastAsia" w:hAnsiTheme="majorEastAsia" w:eastAsiaTheme="majorEastAsia" w:cstheme="majorEastAsia"/>
              </w:rPr>
            </w:pPr>
            <w:r>
              <w:rPr>
                <w:rFonts w:hint="eastAsia" w:asciiTheme="majorEastAsia" w:hAnsiTheme="majorEastAsia" w:eastAsiaTheme="majorEastAsia" w:cstheme="majorEastAsia"/>
                <w:spacing w:val="-3"/>
              </w:rPr>
              <w:t>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6" w:hRule="atLeast"/>
        </w:trPr>
        <w:tc>
          <w:tcPr>
            <w:tcW w:w="4259" w:type="dxa"/>
          </w:tcPr>
          <w:p>
            <w:pPr>
              <w:pStyle w:val="10"/>
              <w:spacing w:before="246" w:line="228" w:lineRule="auto"/>
              <w:ind w:left="555"/>
              <w:rPr>
                <w:rFonts w:asciiTheme="majorEastAsia" w:hAnsiTheme="majorEastAsia" w:eastAsiaTheme="majorEastAsia" w:cstheme="majorEastAsia"/>
                <w:lang w:eastAsia="zh-CN"/>
              </w:rPr>
            </w:pPr>
            <w:r>
              <w:rPr>
                <w:rFonts w:hint="eastAsia" w:asciiTheme="majorEastAsia" w:hAnsiTheme="majorEastAsia" w:eastAsiaTheme="majorEastAsia" w:cstheme="majorEastAsia"/>
                <w:spacing w:val="14"/>
                <w:lang w:eastAsia="zh-CN"/>
              </w:rPr>
              <w:t>共享意外伤害医疗家庭保险金额</w:t>
            </w:r>
          </w:p>
        </w:tc>
        <w:tc>
          <w:tcPr>
            <w:tcW w:w="3495" w:type="dxa"/>
          </w:tcPr>
          <w:p>
            <w:pPr>
              <w:pStyle w:val="10"/>
              <w:spacing w:before="280" w:line="189" w:lineRule="auto"/>
              <w:ind w:left="1634"/>
              <w:rPr>
                <w:rFonts w:asciiTheme="majorEastAsia" w:hAnsiTheme="majorEastAsia" w:eastAsiaTheme="majorEastAsia" w:cstheme="majorEastAsia"/>
              </w:rPr>
            </w:pPr>
            <w:r>
              <w:rPr>
                <w:rFonts w:hint="eastAsia" w:asciiTheme="majorEastAsia" w:hAnsiTheme="majorEastAsia" w:eastAsiaTheme="majorEastAsia" w:cstheme="majorEastAsia"/>
                <w:spacing w:val="3"/>
              </w:rPr>
              <w:t>30</w:t>
            </w:r>
          </w:p>
        </w:tc>
      </w:tr>
    </w:tbl>
    <w:p>
      <w:pPr>
        <w:keepNext w:val="0"/>
        <w:keepLines w:val="0"/>
        <w:pageBreakBefore w:val="0"/>
        <w:widowControl/>
        <w:kinsoku w:val="0"/>
        <w:wordWrap/>
        <w:overflowPunct/>
        <w:topLinePunct w:val="0"/>
        <w:autoSpaceDE w:val="0"/>
        <w:autoSpaceDN w:val="0"/>
        <w:bidi w:val="0"/>
        <w:adjustRightInd w:val="0"/>
        <w:snapToGrid w:val="0"/>
        <w:spacing w:before="313" w:line="360" w:lineRule="auto"/>
        <w:ind w:left="171"/>
        <w:textAlignment w:val="baseline"/>
        <w:rPr>
          <w:rFonts w:ascii="宋体" w:hAnsi="宋体" w:eastAsia="宋体" w:cs="宋体"/>
          <w:b/>
          <w:bCs/>
        </w:rPr>
      </w:pPr>
      <w:r>
        <w:rPr>
          <w:rFonts w:hint="eastAsia" w:ascii="宋体" w:hAnsi="宋体" w:eastAsia="宋体" w:cs="宋体"/>
          <w:b/>
          <w:bCs/>
          <w:spacing w:val="3"/>
          <w:lang w:eastAsia="zh-CN"/>
        </w:rPr>
        <w:t>二</w:t>
      </w:r>
      <w:r>
        <w:rPr>
          <w:rFonts w:ascii="宋体" w:hAnsi="宋体" w:eastAsia="宋体" w:cs="宋体"/>
          <w:b/>
          <w:bCs/>
          <w:spacing w:val="3"/>
        </w:rPr>
        <w:t>、费率调整系数</w:t>
      </w: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1、免赔额调整系数（F1）</w:t>
      </w:r>
    </w:p>
    <w:tbl>
      <w:tblPr>
        <w:tblStyle w:val="9"/>
        <w:tblW w:w="7779" w:type="dxa"/>
        <w:tblInd w:w="16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225"/>
        <w:gridCol w:w="35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0" w:hRule="atLeast"/>
        </w:trPr>
        <w:tc>
          <w:tcPr>
            <w:tcW w:w="422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免赔额（元）</w:t>
            </w:r>
          </w:p>
        </w:tc>
        <w:tc>
          <w:tcPr>
            <w:tcW w:w="35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调整系数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22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w:t>
            </w:r>
          </w:p>
        </w:tc>
        <w:tc>
          <w:tcPr>
            <w:tcW w:w="35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22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200</w:t>
            </w:r>
          </w:p>
        </w:tc>
        <w:tc>
          <w:tcPr>
            <w:tcW w:w="35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422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500</w:t>
            </w:r>
          </w:p>
        </w:tc>
        <w:tc>
          <w:tcPr>
            <w:tcW w:w="35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0.8</w:t>
            </w:r>
          </w:p>
        </w:tc>
      </w:tr>
    </w:tbl>
    <w:p>
      <w:pPr>
        <w:widowControl/>
        <w:kinsoku/>
        <w:autoSpaceDE/>
        <w:autoSpaceDN/>
        <w:adjustRightInd/>
        <w:snapToGrid/>
        <w:spacing w:after="20"/>
        <w:jc w:val="left"/>
        <w:textAlignment w:val="auto"/>
        <w:rPr>
          <w:rFonts w:hint="eastAsia" w:ascii="宋体" w:hAnsi="宋体" w:eastAsia="宋体" w:cs="Times New Roman"/>
          <w:bCs/>
          <w:snapToGrid/>
          <w:kern w:val="2"/>
          <w:szCs w:val="21"/>
          <w:lang w:val="en-US" w:eastAsia="zh-CN"/>
        </w:rPr>
      </w:pP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val="en-US" w:eastAsia="zh-CN"/>
        </w:rPr>
        <w:t>2、</w:t>
      </w:r>
      <w:r>
        <w:rPr>
          <w:rFonts w:hint="eastAsia" w:ascii="宋体" w:hAnsi="宋体" w:eastAsia="宋体" w:cs="Times New Roman"/>
          <w:bCs/>
          <w:snapToGrid/>
          <w:kern w:val="2"/>
          <w:szCs w:val="21"/>
          <w:lang w:eastAsia="zh-CN"/>
        </w:rPr>
        <w:t>赔付比例调整系数（F2）</w:t>
      </w:r>
    </w:p>
    <w:tbl>
      <w:tblPr>
        <w:tblStyle w:val="6"/>
        <w:tblW w:w="7798" w:type="dxa"/>
        <w:tblInd w:w="2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2"/>
        <w:gridCol w:w="2880"/>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被保险人以参加社会基本医疗保险或公费医疗身份就诊并结算的赔付比例</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被保险人未以参加社会基本医疗保险或公费医疗身份就诊并结算的赔付比例</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100%</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60%</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90%</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54%</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80%</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48%</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70%</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42%</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60%</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36%</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50%</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30%</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40%</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24%</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8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30%</w:t>
            </w:r>
          </w:p>
        </w:tc>
        <w:tc>
          <w:tcPr>
            <w:tcW w:w="288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18%</w:t>
            </w:r>
          </w:p>
        </w:tc>
        <w:tc>
          <w:tcPr>
            <w:tcW w:w="2056"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0.3</w:t>
            </w:r>
          </w:p>
        </w:tc>
      </w:tr>
    </w:tbl>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3 、被保险人风险状况调整系数（F3）</w:t>
      </w:r>
    </w:p>
    <w:tbl>
      <w:tblPr>
        <w:tblStyle w:val="9"/>
        <w:tblW w:w="781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15"/>
        <w:gridCol w:w="310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5" w:hRule="atLeast"/>
          <w:jc w:val="center"/>
        </w:trPr>
        <w:tc>
          <w:tcPr>
            <w:tcW w:w="471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被保险人风险状况</w:t>
            </w:r>
          </w:p>
        </w:tc>
        <w:tc>
          <w:tcPr>
            <w:tcW w:w="310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调整系数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5" w:hRule="atLeast"/>
          <w:jc w:val="center"/>
        </w:trPr>
        <w:tc>
          <w:tcPr>
            <w:tcW w:w="471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风险较低</w:t>
            </w:r>
          </w:p>
        </w:tc>
        <w:tc>
          <w:tcPr>
            <w:tcW w:w="310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[0.7，0.9]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5" w:hRule="atLeast"/>
          <w:jc w:val="center"/>
        </w:trPr>
        <w:tc>
          <w:tcPr>
            <w:tcW w:w="471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风险中等</w:t>
            </w:r>
          </w:p>
        </w:tc>
        <w:tc>
          <w:tcPr>
            <w:tcW w:w="310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(0.9，1.1]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0" w:hRule="atLeast"/>
          <w:jc w:val="center"/>
        </w:trPr>
        <w:tc>
          <w:tcPr>
            <w:tcW w:w="471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风险较高</w:t>
            </w:r>
          </w:p>
        </w:tc>
        <w:tc>
          <w:tcPr>
            <w:tcW w:w="310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(1.1，1.3]</w:t>
            </w:r>
          </w:p>
        </w:tc>
      </w:tr>
    </w:tbl>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 xml:space="preserve">  注：根据被保险人性别年龄结构，生活方式，健康管理意识，进行判断。</w:t>
      </w:r>
    </w:p>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4 、被保险家庭所在地区调整系数（F4）</w:t>
      </w:r>
    </w:p>
    <w:tbl>
      <w:tblPr>
        <w:tblStyle w:val="9"/>
        <w:tblW w:w="793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90"/>
        <w:gridCol w:w="31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jc w:val="center"/>
        </w:trPr>
        <w:tc>
          <w:tcPr>
            <w:tcW w:w="479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地区</w:t>
            </w:r>
          </w:p>
        </w:tc>
        <w:tc>
          <w:tcPr>
            <w:tcW w:w="3149"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调整系数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jc w:val="center"/>
        </w:trPr>
        <w:tc>
          <w:tcPr>
            <w:tcW w:w="479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高风险区域</w:t>
            </w:r>
          </w:p>
        </w:tc>
        <w:tc>
          <w:tcPr>
            <w:tcW w:w="3149"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(1.2，2.0]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3" w:hRule="atLeast"/>
          <w:jc w:val="center"/>
        </w:trPr>
        <w:tc>
          <w:tcPr>
            <w:tcW w:w="479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中风险区域</w:t>
            </w:r>
          </w:p>
        </w:tc>
        <w:tc>
          <w:tcPr>
            <w:tcW w:w="3149"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(0.8，1.2]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3" w:hRule="atLeast"/>
          <w:jc w:val="center"/>
        </w:trPr>
        <w:tc>
          <w:tcPr>
            <w:tcW w:w="479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低风险区域</w:t>
            </w:r>
          </w:p>
        </w:tc>
        <w:tc>
          <w:tcPr>
            <w:tcW w:w="3149"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(0.5，0.8]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3" w:hRule="atLeast"/>
          <w:jc w:val="center"/>
        </w:trPr>
        <w:tc>
          <w:tcPr>
            <w:tcW w:w="4790"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产品不做区分</w:t>
            </w:r>
          </w:p>
        </w:tc>
        <w:tc>
          <w:tcPr>
            <w:tcW w:w="3149"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1.00</w:t>
            </w:r>
          </w:p>
        </w:tc>
      </w:tr>
    </w:tbl>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 xml:space="preserve"> 注：根据被保险家庭所在地区的区域环境治理水平、人口死亡率及公司自身经验数据，进行判断。</w:t>
      </w: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5 、渠道类型调整系数（F5）：按渠道销售成本确定。</w:t>
      </w:r>
    </w:p>
    <w:tbl>
      <w:tblPr>
        <w:tblStyle w:val="9"/>
        <w:tblW w:w="787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17"/>
        <w:gridCol w:w="316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jc w:val="center"/>
        </w:trPr>
        <w:tc>
          <w:tcPr>
            <w:tcW w:w="4717"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渠道类型</w:t>
            </w:r>
          </w:p>
        </w:tc>
        <w:tc>
          <w:tcPr>
            <w:tcW w:w="31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调整系数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4" w:hRule="atLeast"/>
          <w:jc w:val="center"/>
        </w:trPr>
        <w:tc>
          <w:tcPr>
            <w:tcW w:w="4717"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直销（或销售费用率等同直销的渠道）</w:t>
            </w:r>
          </w:p>
        </w:tc>
        <w:tc>
          <w:tcPr>
            <w:tcW w:w="31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[0.7,1.0]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0" w:hRule="atLeast"/>
          <w:jc w:val="center"/>
        </w:trPr>
        <w:tc>
          <w:tcPr>
            <w:tcW w:w="4717"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其他第三方渠道</w:t>
            </w:r>
          </w:p>
        </w:tc>
        <w:tc>
          <w:tcPr>
            <w:tcW w:w="3162"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[0.8,1.</w:t>
            </w:r>
            <w:r>
              <w:rPr>
                <w:rFonts w:hint="eastAsia" w:ascii="宋体" w:hAnsi="宋体" w:eastAsia="宋体" w:cs="Times New Roman"/>
                <w:bCs/>
                <w:snapToGrid/>
                <w:kern w:val="2"/>
                <w:szCs w:val="21"/>
                <w:lang w:eastAsia="zh-TW"/>
              </w:rPr>
              <w:t>3</w:t>
            </w:r>
            <w:r>
              <w:rPr>
                <w:rFonts w:hint="eastAsia" w:ascii="宋体" w:hAnsi="宋体" w:eastAsia="宋体" w:cs="Times New Roman"/>
                <w:bCs/>
                <w:snapToGrid/>
                <w:kern w:val="2"/>
                <w:szCs w:val="21"/>
                <w:lang w:eastAsia="zh-CN"/>
              </w:rPr>
              <w:t>]</w:t>
            </w:r>
          </w:p>
        </w:tc>
      </w:tr>
    </w:tbl>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6 、经验/预期赔付率调整系数（F6）</w:t>
      </w:r>
    </w:p>
    <w:tbl>
      <w:tblPr>
        <w:tblStyle w:val="9"/>
        <w:tblW w:w="799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801"/>
        <w:gridCol w:w="31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9" w:hRule="atLeast"/>
          <w:jc w:val="center"/>
        </w:trPr>
        <w:tc>
          <w:tcPr>
            <w:tcW w:w="4801"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经验/预期赔付率</w:t>
            </w:r>
          </w:p>
        </w:tc>
        <w:tc>
          <w:tcPr>
            <w:tcW w:w="3198"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调整系数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1" w:hRule="atLeast"/>
          <w:jc w:val="center"/>
        </w:trPr>
        <w:tc>
          <w:tcPr>
            <w:tcW w:w="4801"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小于等于30%</w:t>
            </w:r>
          </w:p>
        </w:tc>
        <w:tc>
          <w:tcPr>
            <w:tcW w:w="3198"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[0.4，0.6]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5" w:hRule="atLeast"/>
          <w:jc w:val="center"/>
        </w:trPr>
        <w:tc>
          <w:tcPr>
            <w:tcW w:w="4801"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大于30%但小于等于60%</w:t>
            </w:r>
          </w:p>
        </w:tc>
        <w:tc>
          <w:tcPr>
            <w:tcW w:w="3198"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(0.6，0.8]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3" w:hRule="atLeast"/>
          <w:jc w:val="center"/>
        </w:trPr>
        <w:tc>
          <w:tcPr>
            <w:tcW w:w="4801"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大于60%但小于等于100%</w:t>
            </w:r>
          </w:p>
        </w:tc>
        <w:tc>
          <w:tcPr>
            <w:tcW w:w="3198"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(0.8，1.2]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jc w:val="center"/>
        </w:trPr>
        <w:tc>
          <w:tcPr>
            <w:tcW w:w="4801"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大于100%</w:t>
            </w:r>
          </w:p>
        </w:tc>
        <w:tc>
          <w:tcPr>
            <w:tcW w:w="3198"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(1.2，3.0]</w:t>
            </w:r>
          </w:p>
        </w:tc>
      </w:tr>
    </w:tbl>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7 、家庭成员承保人数调整系数（F7）：</w:t>
      </w:r>
    </w:p>
    <w:tbl>
      <w:tblPr>
        <w:tblStyle w:val="9"/>
        <w:tblW w:w="793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54"/>
        <w:gridCol w:w="318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jc w:val="center"/>
        </w:trPr>
        <w:tc>
          <w:tcPr>
            <w:tcW w:w="47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家庭成员承保人数</w:t>
            </w:r>
          </w:p>
        </w:tc>
        <w:tc>
          <w:tcPr>
            <w:tcW w:w="318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调整系数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jc w:val="center"/>
        </w:trPr>
        <w:tc>
          <w:tcPr>
            <w:tcW w:w="47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1人</w:t>
            </w:r>
          </w:p>
        </w:tc>
        <w:tc>
          <w:tcPr>
            <w:tcW w:w="318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jc w:val="center"/>
        </w:trPr>
        <w:tc>
          <w:tcPr>
            <w:tcW w:w="47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2人</w:t>
            </w:r>
          </w:p>
        </w:tc>
        <w:tc>
          <w:tcPr>
            <w:tcW w:w="318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jc w:val="center"/>
        </w:trPr>
        <w:tc>
          <w:tcPr>
            <w:tcW w:w="47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3-5人</w:t>
            </w:r>
          </w:p>
        </w:tc>
        <w:tc>
          <w:tcPr>
            <w:tcW w:w="318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7" w:hRule="atLeast"/>
          <w:jc w:val="center"/>
        </w:trPr>
        <w:tc>
          <w:tcPr>
            <w:tcW w:w="4754"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6-8人</w:t>
            </w:r>
          </w:p>
        </w:tc>
        <w:tc>
          <w:tcPr>
            <w:tcW w:w="3185" w:type="dxa"/>
            <w:vAlign w:val="center"/>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(2.0,3.0]</w:t>
            </w:r>
          </w:p>
        </w:tc>
      </w:tr>
    </w:tbl>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 xml:space="preserve"> 注：本调整系数仅适用于保险金额为家庭共享的分配方式。</w:t>
      </w:r>
    </w:p>
    <w:p>
      <w:pPr>
        <w:widowControl/>
        <w:kinsoku/>
        <w:autoSpaceDE/>
        <w:autoSpaceDN/>
        <w:adjustRightInd/>
        <w:snapToGrid/>
        <w:spacing w:after="20"/>
        <w:jc w:val="left"/>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8、缴费方式调整系数（F8）：按保单约定的缴费方式，进行划分。</w:t>
      </w:r>
    </w:p>
    <w:tbl>
      <w:tblPr>
        <w:tblStyle w:val="6"/>
        <w:tblW w:w="7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3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4676"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缴费方式</w:t>
            </w:r>
          </w:p>
        </w:tc>
        <w:tc>
          <w:tcPr>
            <w:tcW w:w="3063"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4676"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按月缴费</w:t>
            </w:r>
          </w:p>
        </w:tc>
        <w:tc>
          <w:tcPr>
            <w:tcW w:w="3063"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4676"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按季缴费</w:t>
            </w:r>
          </w:p>
        </w:tc>
        <w:tc>
          <w:tcPr>
            <w:tcW w:w="3063"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4676"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一次性缴清</w:t>
            </w:r>
          </w:p>
        </w:tc>
        <w:tc>
          <w:tcPr>
            <w:tcW w:w="3063" w:type="dxa"/>
          </w:tcPr>
          <w:p>
            <w:pPr>
              <w:widowControl/>
              <w:kinsoku/>
              <w:autoSpaceDE/>
              <w:autoSpaceDN/>
              <w:adjustRightInd/>
              <w:snapToGrid/>
              <w:spacing w:after="20"/>
              <w:jc w:val="center"/>
              <w:textAlignment w:val="auto"/>
              <w:rPr>
                <w:rFonts w:hint="eastAsia" w:ascii="宋体" w:hAnsi="宋体" w:eastAsia="宋体" w:cs="Times New Roman"/>
                <w:bCs/>
                <w:snapToGrid/>
                <w:kern w:val="2"/>
                <w:szCs w:val="21"/>
                <w:lang w:eastAsia="zh-CN"/>
              </w:rPr>
            </w:pPr>
            <w:r>
              <w:rPr>
                <w:rFonts w:hint="eastAsia" w:ascii="宋体" w:hAnsi="宋体" w:eastAsia="宋体" w:cs="Times New Roman"/>
                <w:bCs/>
                <w:snapToGrid/>
                <w:kern w:val="2"/>
                <w:szCs w:val="21"/>
                <w:lang w:eastAsia="zh-CN"/>
              </w:rPr>
              <w:t>1.00</w:t>
            </w:r>
          </w:p>
        </w:tc>
      </w:tr>
    </w:tbl>
    <w:p>
      <w:pPr>
        <w:spacing w:before="312" w:line="219" w:lineRule="auto"/>
        <w:ind w:left="200"/>
        <w:rPr>
          <w:rFonts w:ascii="宋体" w:hAnsi="宋体" w:eastAsia="宋体" w:cs="宋体"/>
          <w:b/>
          <w:bCs/>
          <w:lang w:eastAsia="zh-CN"/>
        </w:rPr>
      </w:pPr>
      <w:r>
        <w:rPr>
          <w:rFonts w:hint="eastAsia" w:ascii="宋体" w:hAnsi="宋体" w:eastAsia="宋体" w:cs="宋体"/>
          <w:b/>
          <w:bCs/>
          <w:spacing w:val="-1"/>
          <w:lang w:val="en-US" w:eastAsia="zh-CN"/>
        </w:rPr>
        <w:t>三</w:t>
      </w:r>
      <w:r>
        <w:rPr>
          <w:rFonts w:ascii="宋体" w:hAnsi="宋体" w:eastAsia="宋体" w:cs="宋体"/>
          <w:b/>
          <w:bCs/>
          <w:spacing w:val="-1"/>
          <w:lang w:eastAsia="zh-CN"/>
        </w:rPr>
        <w:t>、保险费计算</w:t>
      </w:r>
    </w:p>
    <w:p>
      <w:pPr>
        <w:spacing w:before="298" w:line="226" w:lineRule="auto"/>
        <w:ind w:left="169" w:right="178"/>
        <w:rPr>
          <w:rFonts w:ascii="宋体" w:hAnsi="宋体" w:eastAsia="宋体" w:cs="宋体"/>
          <w:lang w:eastAsia="zh-CN"/>
        </w:rPr>
      </w:pPr>
      <w:r>
        <w:rPr>
          <w:rFonts w:ascii="宋体" w:hAnsi="宋体" w:eastAsia="宋体" w:cs="宋体"/>
          <w:spacing w:val="18"/>
          <w:lang w:eastAsia="zh-CN"/>
        </w:rPr>
        <w:t>年保险费（均分方式）=</w:t>
      </w:r>
      <w:r>
        <w:rPr>
          <w:rFonts w:ascii="宋体" w:hAnsi="宋体" w:eastAsia="宋体" w:cs="宋体"/>
          <w:spacing w:val="43"/>
          <w:lang w:eastAsia="zh-CN"/>
        </w:rPr>
        <w:t xml:space="preserve"> </w:t>
      </w:r>
      <w:r>
        <w:rPr>
          <w:rFonts w:ascii="宋体" w:hAnsi="宋体" w:eastAsia="宋体" w:cs="宋体"/>
          <w:spacing w:val="18"/>
          <w:lang w:eastAsia="zh-CN"/>
        </w:rPr>
        <w:t>意外伤害医疗家庭保险金额×均分意外伤害医疗家庭保险金额基准费率×</w:t>
      </w:r>
      <w:r>
        <w:rPr>
          <w:rFonts w:ascii="宋体" w:hAnsi="宋体" w:eastAsia="宋体" w:cs="宋体"/>
          <w:spacing w:val="17"/>
          <w:lang w:eastAsia="zh-CN"/>
        </w:rPr>
        <w:t>免赔</w:t>
      </w:r>
      <w:r>
        <w:rPr>
          <w:rFonts w:hint="eastAsia" w:ascii="宋体" w:hAnsi="宋体" w:eastAsia="宋体" w:cs="宋体"/>
          <w:spacing w:val="15"/>
          <w:lang w:eastAsia="zh-CN"/>
        </w:rPr>
        <w:t>额</w:t>
      </w:r>
      <w:r>
        <w:rPr>
          <w:rFonts w:ascii="宋体" w:hAnsi="宋体" w:eastAsia="宋体" w:cs="宋体"/>
          <w:spacing w:val="15"/>
          <w:lang w:eastAsia="zh-CN"/>
        </w:rPr>
        <w:t>调整系数×</w:t>
      </w:r>
      <w:r>
        <w:rPr>
          <w:rFonts w:hint="eastAsia" w:ascii="宋体" w:hAnsi="宋体" w:eastAsia="宋体" w:cs="宋体"/>
          <w:spacing w:val="15"/>
          <w:lang w:eastAsia="zh-CN"/>
        </w:rPr>
        <w:t>赔付比例调整系数×F1×F2×F3×F4×F5×F</w:t>
      </w:r>
      <w:r>
        <w:rPr>
          <w:rFonts w:hint="eastAsia" w:ascii="宋体" w:hAnsi="宋体" w:eastAsia="PMingLiU" w:cs="宋体"/>
          <w:spacing w:val="15"/>
          <w:lang w:eastAsia="zh-CN"/>
        </w:rPr>
        <w:t>6</w:t>
      </w:r>
      <w:r>
        <w:rPr>
          <w:rFonts w:hint="eastAsia" w:ascii="宋体" w:hAnsi="宋体" w:eastAsia="宋体" w:cs="宋体"/>
          <w:spacing w:val="15"/>
          <w:lang w:eastAsia="zh-CN"/>
        </w:rPr>
        <w:t>×F8</w:t>
      </w:r>
    </w:p>
    <w:p>
      <w:pPr>
        <w:spacing w:before="298" w:line="226" w:lineRule="auto"/>
        <w:ind w:left="169" w:right="178"/>
        <w:rPr>
          <w:rFonts w:ascii="宋体" w:hAnsi="宋体" w:eastAsia="宋体" w:cs="宋体"/>
          <w:lang w:eastAsia="zh-CN"/>
        </w:rPr>
      </w:pPr>
      <w:r>
        <w:rPr>
          <w:rFonts w:ascii="宋体" w:hAnsi="宋体" w:eastAsia="宋体" w:cs="宋体"/>
          <w:spacing w:val="18"/>
          <w:lang w:eastAsia="zh-CN"/>
        </w:rPr>
        <w:t>年保险费（共享方式）=</w:t>
      </w:r>
      <w:r>
        <w:rPr>
          <w:rFonts w:ascii="宋体" w:hAnsi="宋体" w:eastAsia="宋体" w:cs="宋体"/>
          <w:spacing w:val="43"/>
          <w:lang w:eastAsia="zh-CN"/>
        </w:rPr>
        <w:t xml:space="preserve"> </w:t>
      </w:r>
      <w:r>
        <w:rPr>
          <w:rFonts w:ascii="宋体" w:hAnsi="宋体" w:eastAsia="宋体" w:cs="宋体"/>
          <w:spacing w:val="18"/>
          <w:lang w:eastAsia="zh-CN"/>
        </w:rPr>
        <w:t>意外伤害医疗家庭保险金额×共享意外伤害医疗家庭保险金额基准费率×</w:t>
      </w:r>
      <w:r>
        <w:rPr>
          <w:rFonts w:ascii="宋体" w:hAnsi="宋体" w:eastAsia="宋体" w:cs="宋体"/>
          <w:spacing w:val="17"/>
          <w:lang w:eastAsia="zh-CN"/>
        </w:rPr>
        <w:t>免赔</w:t>
      </w:r>
      <w:r>
        <w:rPr>
          <w:rFonts w:hint="eastAsia" w:ascii="宋体" w:hAnsi="宋体" w:eastAsia="宋体" w:cs="宋体"/>
          <w:lang w:eastAsia="zh-CN"/>
        </w:rPr>
        <w:t>额</w:t>
      </w:r>
      <w:r>
        <w:rPr>
          <w:rFonts w:ascii="宋体" w:hAnsi="宋体" w:eastAsia="宋体" w:cs="宋体"/>
          <w:spacing w:val="15"/>
          <w:lang w:eastAsia="zh-CN"/>
        </w:rPr>
        <w:t>调整系数×</w:t>
      </w:r>
      <w:r>
        <w:rPr>
          <w:rFonts w:hint="eastAsia" w:ascii="宋体" w:hAnsi="宋体" w:eastAsia="宋体" w:cs="宋体"/>
          <w:spacing w:val="15"/>
          <w:lang w:eastAsia="zh-CN"/>
        </w:rPr>
        <w:t>赔付比例调整系数×F1×F2×F3×F4×F5×F</w:t>
      </w:r>
      <w:r>
        <w:rPr>
          <w:rFonts w:hint="eastAsia" w:ascii="宋体" w:hAnsi="宋体" w:eastAsia="PMingLiU" w:cs="宋体"/>
          <w:spacing w:val="15"/>
          <w:lang w:eastAsia="zh-CN"/>
        </w:rPr>
        <w:t>6</w:t>
      </w:r>
      <w:r>
        <w:rPr>
          <w:rFonts w:hint="eastAsia" w:ascii="宋体" w:hAnsi="宋体" w:eastAsia="宋体" w:cs="宋体"/>
          <w:spacing w:val="15"/>
          <w:lang w:eastAsia="zh-CN"/>
        </w:rPr>
        <w:t>×F7×F8</w:t>
      </w:r>
    </w:p>
    <w:p>
      <w:pPr>
        <w:spacing w:before="298" w:line="226" w:lineRule="auto"/>
        <w:ind w:left="169" w:right="178" w:firstLine="0" w:firstLineChars="0"/>
        <w:rPr>
          <w:rFonts w:ascii="Calibri" w:hAnsi="宋体" w:eastAsia="宋体" w:cs="Times New Roman"/>
          <w:lang w:eastAsia="zh-CN"/>
        </w:rPr>
      </w:pPr>
      <w:r>
        <w:rPr>
          <w:rFonts w:hint="eastAsia" w:ascii="Calibri" w:hAnsi="宋体" w:eastAsia="宋体" w:cs="Times New Roman"/>
          <w:lang w:eastAsia="zh-CN"/>
        </w:rPr>
        <w:t>每个家庭的每期保险费（按四舍五入计算）=总年保险费÷分期缴费期数</w:t>
      </w:r>
    </w:p>
    <w:p>
      <w:pPr>
        <w:spacing w:line="360" w:lineRule="auto"/>
        <w:ind w:firstLine="210" w:firstLineChars="100"/>
        <w:rPr>
          <w:rFonts w:ascii="宋体" w:hAnsi="宋体" w:eastAsia="宋体" w:cs="Times New Roman"/>
          <w:lang w:eastAsia="zh-CN"/>
        </w:rPr>
      </w:pPr>
      <w:r>
        <w:rPr>
          <w:rFonts w:ascii="Calibri" w:hAnsi="宋体" w:eastAsia="宋体" w:cs="Times New Roman"/>
          <w:lang w:eastAsia="zh-CN"/>
        </w:rPr>
        <w:t>注</w:t>
      </w:r>
      <w:r>
        <w:rPr>
          <w:rFonts w:hint="eastAsia" w:ascii="Calibri" w:hAnsi="宋体" w:eastAsia="宋体" w:cs="Times New Roman"/>
          <w:lang w:eastAsia="zh-CN"/>
        </w:rPr>
        <w:t>：本产品涉及分期缴费，每期缴费金额一致。</w:t>
      </w:r>
    </w:p>
    <w:p>
      <w:pPr>
        <w:numPr>
          <w:ilvl w:val="0"/>
          <w:numId w:val="0"/>
        </w:numPr>
        <w:spacing w:before="298" w:line="226" w:lineRule="auto"/>
        <w:ind w:left="210" w:leftChars="0" w:right="178" w:rightChars="0"/>
        <w:rPr>
          <w:rFonts w:ascii="宋体" w:hAnsi="宋体" w:eastAsia="宋体" w:cs="宋体"/>
          <w:b/>
          <w:bCs/>
          <w:spacing w:val="15"/>
          <w:lang w:eastAsia="zh-CN"/>
        </w:rPr>
      </w:pPr>
      <w:r>
        <w:rPr>
          <w:rFonts w:hint="eastAsia" w:ascii="宋体" w:hAnsi="宋体" w:eastAsia="宋体" w:cs="宋体"/>
          <w:b/>
          <w:bCs/>
          <w:spacing w:val="15"/>
          <w:lang w:val="en-US" w:eastAsia="zh-CN"/>
        </w:rPr>
        <w:t>四、</w:t>
      </w:r>
      <w:r>
        <w:rPr>
          <w:rFonts w:hint="eastAsia" w:ascii="宋体" w:hAnsi="宋体" w:eastAsia="宋体" w:cs="宋体"/>
          <w:b/>
          <w:bCs/>
          <w:spacing w:val="15"/>
          <w:lang w:eastAsia="zh-CN"/>
        </w:rPr>
        <w:t>短期费率表</w:t>
      </w:r>
    </w:p>
    <w:p>
      <w:pPr>
        <w:spacing w:line="360" w:lineRule="auto"/>
        <w:ind w:firstLine="482"/>
        <w:rPr>
          <w:rFonts w:ascii="宋体" w:hAnsi="宋体" w:eastAsia="宋体" w:cs="宋体"/>
          <w:lang w:eastAsia="zh-CN"/>
        </w:rPr>
      </w:pPr>
      <w:r>
        <w:rPr>
          <w:rFonts w:hint="eastAsia" w:ascii="宋体" w:hAnsi="宋体" w:eastAsia="宋体" w:cs="宋体"/>
          <w:lang w:eastAsia="zh-CN" w:bidi="ar"/>
        </w:rPr>
        <w:t>保险期间不足一年的，按以下标准计算短期保险费（按年保险费的百分比计算，不足一个月的按一个月计算）：</w:t>
      </w:r>
    </w:p>
    <w:tbl>
      <w:tblPr>
        <w:tblStyle w:val="6"/>
        <w:tblW w:w="8440" w:type="dxa"/>
        <w:jc w:val="center"/>
        <w:tblLayout w:type="fixed"/>
        <w:tblCellMar>
          <w:top w:w="0" w:type="dxa"/>
          <w:left w:w="108" w:type="dxa"/>
          <w:bottom w:w="0" w:type="dxa"/>
          <w:right w:w="108" w:type="dxa"/>
        </w:tblCellMar>
      </w:tblPr>
      <w:tblGrid>
        <w:gridCol w:w="1120"/>
        <w:gridCol w:w="601"/>
        <w:gridCol w:w="601"/>
        <w:gridCol w:w="601"/>
        <w:gridCol w:w="601"/>
        <w:gridCol w:w="601"/>
        <w:gridCol w:w="601"/>
        <w:gridCol w:w="601"/>
        <w:gridCol w:w="601"/>
        <w:gridCol w:w="601"/>
        <w:gridCol w:w="601"/>
        <w:gridCol w:w="601"/>
        <w:gridCol w:w="709"/>
      </w:tblGrid>
      <w:tr>
        <w:tblPrEx>
          <w:tblCellMar>
            <w:top w:w="0" w:type="dxa"/>
            <w:left w:w="108" w:type="dxa"/>
            <w:bottom w:w="0" w:type="dxa"/>
            <w:right w:w="108" w:type="dxa"/>
          </w:tblCellMar>
        </w:tblPrEx>
        <w:trPr>
          <w:trHeight w:val="359" w:hRule="atLeast"/>
          <w:jc w:val="center"/>
        </w:trPr>
        <w:tc>
          <w:tcPr>
            <w:tcW w:w="112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保险期间</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一个月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二个月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三个月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四个月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五个月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六个月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七个月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八个月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九个月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十个月</w:t>
            </w:r>
          </w:p>
        </w:tc>
        <w:tc>
          <w:tcPr>
            <w:tcW w:w="60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十一个月</w:t>
            </w:r>
          </w:p>
        </w:tc>
        <w:tc>
          <w:tcPr>
            <w:tcW w:w="709"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rPr>
            </w:pPr>
            <w:r>
              <w:rPr>
                <w:rFonts w:hint="eastAsia" w:ascii="宋体" w:hAnsi="宋体" w:eastAsia="宋体" w:cs="宋体"/>
                <w:lang w:bidi="ar"/>
              </w:rPr>
              <w:t>十</w:t>
            </w:r>
          </w:p>
          <w:p>
            <w:pPr>
              <w:spacing w:line="360" w:lineRule="auto"/>
              <w:jc w:val="center"/>
              <w:rPr>
                <w:rFonts w:ascii="宋体" w:hAnsi="宋体" w:eastAsia="宋体" w:cs="宋体"/>
              </w:rPr>
            </w:pPr>
            <w:r>
              <w:rPr>
                <w:rFonts w:hint="eastAsia" w:ascii="宋体" w:hAnsi="宋体" w:eastAsia="宋体" w:cs="宋体"/>
                <w:lang w:bidi="ar"/>
              </w:rPr>
              <w:t>二</w:t>
            </w:r>
          </w:p>
          <w:p>
            <w:pPr>
              <w:spacing w:line="360" w:lineRule="auto"/>
              <w:jc w:val="center"/>
              <w:rPr>
                <w:rFonts w:ascii="宋体" w:hAnsi="宋体" w:eastAsia="宋体" w:cs="宋体"/>
              </w:rPr>
            </w:pPr>
            <w:r>
              <w:rPr>
                <w:rFonts w:hint="eastAsia" w:ascii="宋体" w:hAnsi="宋体" w:eastAsia="宋体" w:cs="宋体"/>
                <w:lang w:bidi="ar"/>
              </w:rPr>
              <w:t>个</w:t>
            </w:r>
          </w:p>
          <w:p>
            <w:pPr>
              <w:spacing w:line="360" w:lineRule="auto"/>
              <w:jc w:val="center"/>
              <w:rPr>
                <w:rFonts w:ascii="宋体" w:hAnsi="宋体" w:eastAsia="宋体" w:cs="宋体"/>
              </w:rPr>
            </w:pPr>
            <w:r>
              <w:rPr>
                <w:rFonts w:hint="eastAsia" w:ascii="宋体" w:hAnsi="宋体" w:eastAsia="宋体" w:cs="宋体"/>
                <w:lang w:bidi="ar"/>
              </w:rPr>
              <w:t>月</w:t>
            </w:r>
          </w:p>
        </w:tc>
      </w:tr>
      <w:tr>
        <w:tblPrEx>
          <w:tblCellMar>
            <w:top w:w="0" w:type="dxa"/>
            <w:left w:w="108" w:type="dxa"/>
            <w:bottom w:w="0" w:type="dxa"/>
            <w:right w:w="108" w:type="dxa"/>
          </w:tblCellMar>
        </w:tblPrEx>
        <w:trPr>
          <w:trHeight w:val="359" w:hRule="atLeast"/>
          <w:jc w:val="center"/>
        </w:trPr>
        <w:tc>
          <w:tcPr>
            <w:tcW w:w="112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年保险费的百分比</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10%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20%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30%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40%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50%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60%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70%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80%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85%</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90%</w:t>
            </w:r>
          </w:p>
        </w:tc>
        <w:tc>
          <w:tcPr>
            <w:tcW w:w="60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95%</w:t>
            </w:r>
          </w:p>
        </w:tc>
        <w:tc>
          <w:tcPr>
            <w:tcW w:w="709"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rPr>
            </w:pPr>
            <w:r>
              <w:rPr>
                <w:rFonts w:hint="eastAsia" w:ascii="宋体" w:hAnsi="宋体" w:eastAsia="宋体" w:cs="宋体"/>
                <w:lang w:bidi="ar"/>
              </w:rPr>
              <w:t>100%</w:t>
            </w:r>
          </w:p>
        </w:tc>
      </w:tr>
    </w:tbl>
    <w:p>
      <w:pPr>
        <w:spacing w:line="218" w:lineRule="exact"/>
        <w:ind w:firstLine="630" w:firstLineChars="300"/>
        <w:sectPr>
          <w:pgSz w:w="11900" w:h="16839"/>
          <w:pgMar w:top="1440" w:right="1800" w:bottom="1440" w:left="1800" w:header="0" w:footer="0" w:gutter="0"/>
          <w:cols w:space="720" w:num="1"/>
        </w:sectPr>
      </w:pPr>
    </w:p>
    <w:p>
      <w:pPr>
        <w:spacing w:line="68" w:lineRule="exact"/>
      </w:pPr>
    </w:p>
    <w:sectPr>
      <w:type w:val="continuous"/>
      <w:pgSz w:w="11900" w:h="16839"/>
      <w:pgMar w:top="1440" w:right="1800" w:bottom="1440" w:left="1800" w:header="0" w:footer="0" w:gutter="0"/>
      <w:cols w:equalWidth="0" w:num="1">
        <w:col w:w="1087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A41057"/>
    <w:multiLevelType w:val="singleLevel"/>
    <w:tmpl w:val="3DA4105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MDMwNDRhNmFmMzRlYTIyMDYzYjY3ZTY3MmRkZWYyNzUifQ=="/>
  </w:docVars>
  <w:rsids>
    <w:rsidRoot w:val="0015457A"/>
    <w:rsid w:val="00014BAD"/>
    <w:rsid w:val="0015457A"/>
    <w:rsid w:val="002E2ECF"/>
    <w:rsid w:val="0030609E"/>
    <w:rsid w:val="00882FB3"/>
    <w:rsid w:val="008E1BC7"/>
    <w:rsid w:val="00A00D85"/>
    <w:rsid w:val="00A02981"/>
    <w:rsid w:val="00AD2646"/>
    <w:rsid w:val="00B21E26"/>
    <w:rsid w:val="00B63F41"/>
    <w:rsid w:val="00BC2670"/>
    <w:rsid w:val="00EE039E"/>
    <w:rsid w:val="00F4409D"/>
    <w:rsid w:val="08141478"/>
    <w:rsid w:val="0ADF0A36"/>
    <w:rsid w:val="0DA6583B"/>
    <w:rsid w:val="10E41B77"/>
    <w:rsid w:val="1264693D"/>
    <w:rsid w:val="1D5D5AB0"/>
    <w:rsid w:val="219D3F97"/>
    <w:rsid w:val="2A6C420C"/>
    <w:rsid w:val="2BD575BF"/>
    <w:rsid w:val="2D0F3F9C"/>
    <w:rsid w:val="2D5B3AF4"/>
    <w:rsid w:val="2E5F7614"/>
    <w:rsid w:val="2F067538"/>
    <w:rsid w:val="30322AC0"/>
    <w:rsid w:val="32403281"/>
    <w:rsid w:val="33827AA0"/>
    <w:rsid w:val="3490053B"/>
    <w:rsid w:val="386D324D"/>
    <w:rsid w:val="4C154329"/>
    <w:rsid w:val="4D7E2652"/>
    <w:rsid w:val="52F4486A"/>
    <w:rsid w:val="533D1D0E"/>
    <w:rsid w:val="542B0560"/>
    <w:rsid w:val="57660AD0"/>
    <w:rsid w:val="5B110D1D"/>
    <w:rsid w:val="5E423F19"/>
    <w:rsid w:val="645676D5"/>
    <w:rsid w:val="79DD5C5F"/>
    <w:rsid w:val="7CCB7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style>
  <w:style w:type="paragraph" w:styleId="3">
    <w:name w:val="Body Text"/>
    <w:basedOn w:val="1"/>
    <w:autoRedefine/>
    <w:semiHidden/>
    <w:qFormat/>
    <w:uiPriority w:val="0"/>
    <w:rPr>
      <w:sz w:val="15"/>
      <w:szCs w:val="15"/>
    </w:rPr>
  </w:style>
  <w:style w:type="paragraph" w:styleId="4">
    <w:name w:val="footer"/>
    <w:basedOn w:val="1"/>
    <w:link w:val="14"/>
    <w:qFormat/>
    <w:uiPriority w:val="0"/>
    <w:pPr>
      <w:tabs>
        <w:tab w:val="center" w:pos="4153"/>
        <w:tab w:val="right" w:pos="8306"/>
      </w:tabs>
    </w:pPr>
    <w:rPr>
      <w:sz w:val="18"/>
      <w:szCs w:val="18"/>
    </w:rPr>
  </w:style>
  <w:style w:type="paragraph" w:styleId="5">
    <w:name w:val="header"/>
    <w:basedOn w:val="1"/>
    <w:link w:val="13"/>
    <w:qFormat/>
    <w:uiPriority w:val="0"/>
    <w:pPr>
      <w:tabs>
        <w:tab w:val="center" w:pos="4153"/>
        <w:tab w:val="right" w:pos="8306"/>
      </w:tabs>
      <w:jc w:val="center"/>
    </w:pPr>
    <w:rPr>
      <w:sz w:val="18"/>
      <w:szCs w:val="18"/>
    </w:rPr>
  </w:style>
  <w:style w:type="character" w:styleId="8">
    <w:name w:val="annotation reference"/>
    <w:basedOn w:val="7"/>
    <w:qFormat/>
    <w:uiPriority w:val="0"/>
    <w:rPr>
      <w:sz w:val="21"/>
      <w:szCs w:val="21"/>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rFonts w:ascii="宋体" w:hAnsi="宋体" w:eastAsia="宋体" w:cs="宋体"/>
    </w:rPr>
  </w:style>
  <w:style w:type="paragraph" w:customStyle="1" w:styleId="11">
    <w:name w:val="无间隔1"/>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12">
    <w:name w:val="Revision"/>
    <w:hidden/>
    <w:unhideWhenUsed/>
    <w:qFormat/>
    <w:uiPriority w:val="99"/>
    <w:rPr>
      <w:rFonts w:ascii="Arial" w:hAnsi="Arial" w:eastAsia="Arial" w:cs="Arial"/>
      <w:snapToGrid w:val="0"/>
      <w:color w:val="000000"/>
      <w:sz w:val="21"/>
      <w:szCs w:val="21"/>
      <w:lang w:val="en-US" w:eastAsia="en-US" w:bidi="ar-SA"/>
    </w:rPr>
  </w:style>
  <w:style w:type="character" w:customStyle="1" w:styleId="13">
    <w:name w:val="页眉 字符"/>
    <w:basedOn w:val="7"/>
    <w:link w:val="5"/>
    <w:qFormat/>
    <w:uiPriority w:val="0"/>
    <w:rPr>
      <w:rFonts w:eastAsia="Arial"/>
      <w:snapToGrid w:val="0"/>
      <w:color w:val="000000"/>
      <w:sz w:val="18"/>
      <w:szCs w:val="18"/>
      <w:lang w:eastAsia="en-US"/>
    </w:rPr>
  </w:style>
  <w:style w:type="character" w:customStyle="1" w:styleId="14">
    <w:name w:val="页脚 字符"/>
    <w:basedOn w:val="7"/>
    <w:link w:val="4"/>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1085</Words>
  <Characters>1340</Characters>
  <Lines>23</Lines>
  <Paragraphs>6</Paragraphs>
  <TotalTime>249</TotalTime>
  <ScaleCrop>false</ScaleCrop>
  <LinksUpToDate>false</LinksUpToDate>
  <CharactersWithSpaces>1361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2024-05-17T07:41:00Z</dcterms:created>
  <dc:creator>联想</dc:creator>
  <cp:lastModifiedBy>孙晓琪</cp:lastModifiedBy>
  <dcterms:modified xsi:type="dcterms:W3CDTF">2024-05-31T05:57:03Z</dcterms:modified>
  <dc:title>财产保险公司自主注册产品查询V1.0.0</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2024-05-17T15:44:26Z</vt:filetime>
  </property>
  <property fmtid="{D5CDD505-2E9C-101B-9397-08002B2CF9AE}" pid="4" name="KSOProductBuildVer">
    <vt:lpwstr>2052-12.1.0.16929</vt:lpwstr>
  </property>
  <property fmtid="{D5CDD505-2E9C-101B-9397-08002B2CF9AE}" pid="5" name="ICV">
    <vt:lpwstr>6043F045D51142CE827E8977F8254CF0_12</vt:lpwstr>
  </property>
</Properties>
</file>