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华农财产保险股份有限公司</w:t>
      </w:r>
    </w:p>
    <w:p>
      <w:pPr>
        <w:jc w:val="center"/>
        <w:rPr>
          <w:rFonts w:ascii="宋体" w:hAnsi="宋体" w:eastAsia="宋体" w:cs="宋体"/>
          <w:b/>
          <w:bCs/>
          <w:sz w:val="28"/>
          <w:szCs w:val="28"/>
        </w:rPr>
      </w:pPr>
      <w:r>
        <w:rPr>
          <w:rFonts w:hint="eastAsia" w:ascii="宋体" w:hAnsi="宋体" w:eastAsia="宋体" w:cs="宋体"/>
          <w:b/>
          <w:bCs/>
          <w:color w:val="000000"/>
          <w:kern w:val="0"/>
          <w:sz w:val="28"/>
          <w:szCs w:val="28"/>
        </w:rPr>
        <w:t>附加恶性肿瘤特定药品费用保险</w:t>
      </w:r>
      <w:r>
        <w:rPr>
          <w:rFonts w:hint="eastAsia" w:ascii="宋体" w:hAnsi="宋体" w:eastAsia="宋体" w:cs="宋体"/>
          <w:b/>
          <w:bCs/>
          <w:sz w:val="28"/>
          <w:szCs w:val="28"/>
        </w:rPr>
        <w:t>费率表（互联网专属）</w:t>
      </w:r>
    </w:p>
    <w:p>
      <w:pPr>
        <w:adjustRightInd w:val="0"/>
        <w:snapToGrid w:val="0"/>
        <w:spacing w:line="360" w:lineRule="auto"/>
        <w:ind w:firstLine="420" w:firstLineChars="200"/>
        <w:rPr>
          <w:rFonts w:ascii="宋体" w:hAnsi="宋体" w:eastAsia="宋体" w:cs="宋体"/>
          <w:szCs w:val="21"/>
        </w:rPr>
      </w:pPr>
    </w:p>
    <w:p>
      <w:pPr>
        <w:adjustRightInd w:val="0"/>
        <w:snapToGrid w:val="0"/>
        <w:spacing w:line="360" w:lineRule="auto"/>
        <w:ind w:firstLine="422" w:firstLineChars="200"/>
        <w:rPr>
          <w:rFonts w:ascii="宋体" w:hAnsi="宋体" w:eastAsia="宋体" w:cs="宋体"/>
          <w:b/>
          <w:szCs w:val="21"/>
        </w:rPr>
      </w:pPr>
      <w:r>
        <w:rPr>
          <w:rFonts w:hint="eastAsia" w:ascii="宋体" w:hAnsi="宋体" w:eastAsia="宋体" w:cs="宋体"/>
          <w:b/>
          <w:szCs w:val="21"/>
        </w:rPr>
        <w:t>一、基准给付标准</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（一）保险金额：100万元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（二）免赔额：0元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（三）给付比例：</w:t>
      </w:r>
    </w:p>
    <w:p>
      <w:pPr>
        <w:widowControl/>
        <w:adjustRightInd w:val="0"/>
        <w:snapToGrid w:val="0"/>
        <w:spacing w:line="360" w:lineRule="auto"/>
        <w:ind w:firstLine="420" w:firstLineChars="200"/>
        <w:jc w:val="left"/>
        <w:rPr>
          <w:rFonts w:ascii="宋体" w:hAnsi="宋体" w:eastAsia="宋体" w:cs="宋体"/>
          <w:szCs w:val="21"/>
        </w:rPr>
      </w:pPr>
      <w:bookmarkStart w:id="0" w:name="_Hlk31888858"/>
      <w:r>
        <w:rPr>
          <w:rFonts w:hint="eastAsia" w:ascii="宋体" w:hAnsi="宋体" w:eastAsia="宋体" w:cs="宋体"/>
          <w:szCs w:val="21"/>
        </w:rPr>
        <w:t>1．若被保险人以参加基本医疗保险身份投保：</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（1）如药品为基本医疗保险药品目录内且已经过基本医疗保险报销，给付比例为100%；</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（2）如药品为基本医疗保险药品目录内但未经过基本医疗保险报销，给付比例为60%；</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（3）如药品为基本医疗保险药品目录外，给付比例为100%。</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2.若被保险人未以参加基本医疗保险身份投保，则基本医疗保险药品目录内药品和基本医疗保险药品目录外药品给付比例均为100%。</w:t>
      </w:r>
    </w:p>
    <w:p>
      <w:pPr>
        <w:widowControl/>
        <w:adjustRightInd w:val="0"/>
        <w:snapToGrid w:val="0"/>
        <w:spacing w:line="360" w:lineRule="auto"/>
        <w:ind w:firstLine="420" w:firstLineChars="200"/>
        <w:jc w:val="left"/>
        <w:rPr>
          <w:rFonts w:ascii="宋体" w:hAnsi="宋体" w:eastAsia="宋体" w:cs="宋体"/>
          <w:szCs w:val="21"/>
        </w:rPr>
      </w:pPr>
    </w:p>
    <w:bookmarkEnd w:id="0"/>
    <w:p>
      <w:pPr>
        <w:adjustRightInd w:val="0"/>
        <w:snapToGrid w:val="0"/>
        <w:spacing w:line="360" w:lineRule="auto"/>
        <w:ind w:firstLine="422" w:firstLineChars="200"/>
        <w:rPr>
          <w:rFonts w:ascii="宋体" w:hAnsi="宋体" w:eastAsia="宋体" w:cs="宋体"/>
          <w:szCs w:val="21"/>
        </w:rPr>
      </w:pPr>
      <w:r>
        <w:rPr>
          <w:rFonts w:ascii="宋体" w:hAnsi="宋体" w:eastAsia="宋体" w:cs="宋体"/>
          <w:b/>
          <w:szCs w:val="21"/>
        </w:rPr>
        <w:t>二</w:t>
      </w:r>
      <w:r>
        <w:rPr>
          <w:rFonts w:hint="eastAsia" w:ascii="宋体" w:hAnsi="宋体" w:eastAsia="宋体" w:cs="宋体"/>
          <w:b/>
          <w:szCs w:val="21"/>
        </w:rPr>
        <w:t>、基准保险费</w:t>
      </w:r>
      <w:r>
        <w:rPr>
          <w:rFonts w:hint="eastAsia" w:ascii="宋体" w:hAnsi="宋体" w:eastAsia="宋体" w:cs="宋体"/>
          <w:szCs w:val="21"/>
        </w:rPr>
        <w:t xml:space="preserve">    </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1、首年保险费（单位：元）</w:t>
      </w:r>
    </w:p>
    <w:tbl>
      <w:tblPr>
        <w:tblStyle w:val="8"/>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年龄</w:t>
            </w:r>
          </w:p>
        </w:tc>
        <w:tc>
          <w:tcPr>
            <w:tcW w:w="2835" w:type="dxa"/>
            <w:noWrap/>
          </w:tcPr>
          <w:p>
            <w:pPr>
              <w:jc w:val="center"/>
              <w:rPr>
                <w:rFonts w:ascii="宋体" w:hAnsi="宋体" w:eastAsia="宋体" w:cs="宋体"/>
                <w:szCs w:val="21"/>
              </w:rPr>
            </w:pPr>
            <w:r>
              <w:rPr>
                <w:rFonts w:hint="eastAsia" w:ascii="宋体" w:hAnsi="宋体" w:eastAsia="宋体" w:cs="宋体"/>
                <w:szCs w:val="21"/>
              </w:rPr>
              <w:t>有社保</w:t>
            </w:r>
          </w:p>
        </w:tc>
        <w:tc>
          <w:tcPr>
            <w:tcW w:w="2835" w:type="dxa"/>
            <w:noWrap/>
          </w:tcPr>
          <w:p>
            <w:pPr>
              <w:jc w:val="center"/>
              <w:rPr>
                <w:rFonts w:ascii="宋体" w:hAnsi="宋体" w:eastAsia="宋体" w:cs="宋体"/>
                <w:szCs w:val="21"/>
              </w:rPr>
            </w:pPr>
            <w:r>
              <w:rPr>
                <w:rFonts w:hint="eastAsia" w:ascii="宋体" w:hAnsi="宋体" w:eastAsia="宋体" w:cs="宋体"/>
                <w:szCs w:val="21"/>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0-4周岁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49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5-10周岁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22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11-15周岁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9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16-20周岁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10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21-25周岁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14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26-30周岁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18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31-35周岁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24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54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36-40周岁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30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76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41-45周岁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36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46-50周岁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56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165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51-55周岁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70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56-60周岁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94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277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61-65周岁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120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361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66-70周岁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178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515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71-75周岁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226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652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76-80周岁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274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809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81-85周岁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427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1239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86-90周岁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544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1537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91-95周岁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693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1906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547" w:type="dxa"/>
            <w:noWrap/>
          </w:tcPr>
          <w:p>
            <w:pPr>
              <w:jc w:val="center"/>
              <w:rPr>
                <w:rFonts w:ascii="宋体" w:hAnsi="宋体" w:eastAsia="宋体" w:cs="宋体"/>
                <w:szCs w:val="21"/>
              </w:rPr>
            </w:pPr>
            <w:r>
              <w:rPr>
                <w:rFonts w:hint="eastAsia" w:ascii="宋体" w:hAnsi="宋体" w:eastAsia="宋体" w:cs="宋体"/>
                <w:szCs w:val="21"/>
              </w:rPr>
              <w:t>96-100周岁</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881 </w:t>
            </w:r>
          </w:p>
        </w:tc>
        <w:tc>
          <w:tcPr>
            <w:tcW w:w="2835" w:type="dxa"/>
            <w:noWrap/>
          </w:tcPr>
          <w:p>
            <w:pPr>
              <w:jc w:val="center"/>
              <w:rPr>
                <w:rFonts w:ascii="宋体" w:hAnsi="宋体" w:eastAsia="宋体" w:cs="宋体"/>
                <w:szCs w:val="21"/>
              </w:rPr>
            </w:pPr>
            <w:r>
              <w:rPr>
                <w:rFonts w:hint="eastAsia" w:ascii="宋体" w:hAnsi="宋体" w:eastAsia="宋体" w:cs="宋体"/>
                <w:szCs w:val="21"/>
              </w:rPr>
              <w:t xml:space="preserve">2370 </w:t>
            </w:r>
          </w:p>
        </w:tc>
      </w:tr>
    </w:tbl>
    <w:p>
      <w:pPr>
        <w:adjustRightInd w:val="0"/>
        <w:snapToGrid w:val="0"/>
        <w:spacing w:line="360" w:lineRule="auto"/>
        <w:ind w:firstLine="420"/>
        <w:rPr>
          <w:rFonts w:ascii="宋体" w:hAnsi="宋体" w:eastAsia="宋体" w:cs="宋体"/>
          <w:szCs w:val="21"/>
        </w:rPr>
      </w:pPr>
      <w:r>
        <w:rPr>
          <w:rFonts w:hint="eastAsia" w:ascii="宋体" w:hAnsi="宋体" w:eastAsia="宋体" w:cs="宋体"/>
          <w:szCs w:val="21"/>
        </w:rPr>
        <w:t xml:space="preserve"> 2、续年保险费（单位：元）</w:t>
      </w:r>
    </w:p>
    <w:tbl>
      <w:tblPr>
        <w:tblStyle w:val="7"/>
        <w:tblW w:w="8353" w:type="dxa"/>
        <w:tblInd w:w="0" w:type="dxa"/>
        <w:tblLayout w:type="fixed"/>
        <w:tblCellMar>
          <w:top w:w="15" w:type="dxa"/>
          <w:left w:w="15" w:type="dxa"/>
          <w:bottom w:w="15" w:type="dxa"/>
          <w:right w:w="15" w:type="dxa"/>
        </w:tblCellMar>
      </w:tblPr>
      <w:tblGrid>
        <w:gridCol w:w="2578"/>
        <w:gridCol w:w="2910"/>
        <w:gridCol w:w="2865"/>
      </w:tblGrid>
      <w:tr>
        <w:tblPrEx>
          <w:tblCellMar>
            <w:top w:w="15" w:type="dxa"/>
            <w:left w:w="15" w:type="dxa"/>
            <w:bottom w:w="15" w:type="dxa"/>
            <w:right w:w="15" w:type="dxa"/>
          </w:tblCellMar>
        </w:tblPrEx>
        <w:trPr>
          <w:trHeight w:val="345"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年龄</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有社保</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无社保</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0-4周岁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54</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108</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5-10周岁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23</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45</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11-15周岁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9</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20</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16-20周岁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12</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22</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21-25周岁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16</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32</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26-30周岁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20</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43</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31-35周岁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26</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59</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36-40周岁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32</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83</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41-45周岁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39</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114</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46-50周岁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61</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180</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51-55周岁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76</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242</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56-60周岁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103</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303</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61-65周岁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131</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394</w:t>
            </w:r>
          </w:p>
        </w:tc>
      </w:tr>
      <w:tr>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66-70周岁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195</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562</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71-75周岁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247</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711</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76-80周岁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298</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882</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81-85周岁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465</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1351</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86-90周岁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594</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1676</w:t>
            </w:r>
          </w:p>
        </w:tc>
      </w:tr>
      <w:tr>
        <w:tblPrEx>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91-95周岁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756</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2079</w:t>
            </w:r>
          </w:p>
        </w:tc>
      </w:tr>
      <w:tr>
        <w:tblPrEx>
          <w:tblCellMar>
            <w:top w:w="15" w:type="dxa"/>
            <w:left w:w="15" w:type="dxa"/>
            <w:bottom w:w="15" w:type="dxa"/>
            <w:right w:w="15" w:type="dxa"/>
          </w:tblCellMar>
        </w:tblPrEx>
        <w:trPr>
          <w:trHeight w:val="280"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96-100周岁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961</w:t>
            </w:r>
          </w:p>
        </w:tc>
        <w:tc>
          <w:tcPr>
            <w:tcW w:w="28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szCs w:val="21"/>
              </w:rPr>
            </w:pPr>
            <w:r>
              <w:rPr>
                <w:rFonts w:hint="eastAsia" w:ascii="宋体" w:hAnsi="宋体" w:eastAsia="宋体" w:cs="宋体"/>
                <w:szCs w:val="21"/>
              </w:rPr>
              <w:t>2585</w:t>
            </w:r>
          </w:p>
        </w:tc>
      </w:tr>
    </w:tbl>
    <w:p>
      <w:pPr>
        <w:rPr>
          <w:rFonts w:ascii="宋体" w:hAnsi="宋体" w:eastAsia="宋体" w:cs="宋体"/>
          <w:szCs w:val="21"/>
        </w:rPr>
      </w:pPr>
    </w:p>
    <w:p>
      <w:pPr>
        <w:jc w:val="center"/>
        <w:rPr>
          <w:rFonts w:ascii="宋体" w:hAnsi="宋体" w:eastAsia="宋体"/>
          <w:szCs w:val="21"/>
        </w:rPr>
      </w:pPr>
    </w:p>
    <w:p>
      <w:pPr>
        <w:ind w:firstLine="422" w:firstLineChars="200"/>
        <w:jc w:val="left"/>
        <w:rPr>
          <w:rFonts w:ascii="宋体" w:hAnsi="宋体" w:eastAsia="宋体"/>
          <w:b/>
          <w:szCs w:val="21"/>
        </w:rPr>
      </w:pPr>
      <w:r>
        <w:rPr>
          <w:rFonts w:ascii="宋体" w:hAnsi="宋体" w:eastAsia="宋体"/>
          <w:b/>
          <w:szCs w:val="21"/>
        </w:rPr>
        <w:t>三</w:t>
      </w:r>
      <w:r>
        <w:rPr>
          <w:rFonts w:hint="eastAsia" w:ascii="宋体" w:hAnsi="宋体" w:eastAsia="宋体"/>
          <w:b/>
          <w:szCs w:val="21"/>
        </w:rPr>
        <w:t>、调整系数</w:t>
      </w:r>
    </w:p>
    <w:p>
      <w:pPr>
        <w:spacing w:line="312" w:lineRule="auto"/>
        <w:ind w:firstLine="420" w:firstLineChars="200"/>
        <w:rPr>
          <w:rFonts w:ascii="宋体" w:hAnsi="宋体" w:eastAsia="宋体" w:cs="宋体"/>
          <w:szCs w:val="21"/>
        </w:rPr>
      </w:pPr>
      <w:r>
        <w:rPr>
          <w:rFonts w:ascii="宋体" w:hAnsi="宋体" w:eastAsia="宋体" w:cs="宋体"/>
          <w:szCs w:val="21"/>
          <w:lang w:bidi="ar"/>
        </w:rPr>
        <w:t>1</w:t>
      </w:r>
      <w:r>
        <w:rPr>
          <w:rFonts w:hint="eastAsia" w:ascii="宋体" w:hAnsi="宋体" w:eastAsia="宋体" w:cs="宋体"/>
          <w:szCs w:val="21"/>
          <w:lang w:bidi="ar"/>
        </w:rPr>
        <w:t>、规模调整系数：按渠道年度投保人数规模，进行划分。</w:t>
      </w:r>
    </w:p>
    <w:tbl>
      <w:tblPr>
        <w:tblStyle w:val="7"/>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年度投保人数（</w:t>
            </w:r>
            <w:r>
              <w:rPr>
                <w:rFonts w:ascii="宋体" w:hAnsi="宋体" w:eastAsia="宋体" w:cs="宋体"/>
                <w:szCs w:val="21"/>
                <w:lang w:bidi="ar"/>
              </w:rPr>
              <w:t>N）</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调整系数</w:t>
            </w:r>
          </w:p>
        </w:tc>
      </w:tr>
      <w:tr>
        <w:tblPrEx>
          <w:tblCellMar>
            <w:top w:w="0" w:type="dxa"/>
            <w:left w:w="108" w:type="dxa"/>
            <w:bottom w:w="0" w:type="dxa"/>
            <w:right w:w="108" w:type="dxa"/>
          </w:tblCellMar>
        </w:tblPrEx>
        <w:trPr>
          <w:trHeight w:val="9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N&gt;200</w:t>
            </w:r>
            <w:r>
              <w:rPr>
                <w:rFonts w:hint="eastAsia" w:ascii="宋体" w:hAnsi="宋体" w:eastAsia="宋体" w:cs="宋体"/>
                <w:szCs w:val="21"/>
                <w:lang w:bidi="ar"/>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[0.6,0.7)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100</w:t>
            </w:r>
            <w:r>
              <w:rPr>
                <w:rFonts w:ascii="宋体" w:hAnsi="宋体" w:eastAsia="宋体" w:cs="宋体"/>
                <w:szCs w:val="21"/>
                <w:lang w:bidi="ar"/>
              </w:rPr>
              <w:t>00&lt;N≤</w:t>
            </w:r>
            <w:r>
              <w:rPr>
                <w:rFonts w:hint="eastAsia" w:ascii="宋体" w:hAnsi="宋体" w:eastAsia="宋体" w:cs="宋体"/>
                <w:szCs w:val="21"/>
                <w:lang w:bidi="ar"/>
              </w:rPr>
              <w:t>200</w:t>
            </w:r>
            <w:r>
              <w:rPr>
                <w:rFonts w:ascii="宋体" w:hAnsi="宋体" w:eastAsia="宋体" w:cs="宋体"/>
                <w:szCs w:val="21"/>
                <w:lang w:bidi="ar"/>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[0.7,0.9)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50</w:t>
            </w:r>
            <w:r>
              <w:rPr>
                <w:rFonts w:ascii="宋体" w:hAnsi="宋体" w:eastAsia="宋体" w:cs="宋体"/>
                <w:szCs w:val="21"/>
                <w:lang w:bidi="ar"/>
              </w:rPr>
              <w:t>00&lt;N≤</w:t>
            </w:r>
            <w:r>
              <w:rPr>
                <w:rFonts w:hint="eastAsia" w:ascii="宋体" w:hAnsi="宋体" w:eastAsia="宋体" w:cs="宋体"/>
                <w:szCs w:val="21"/>
                <w:lang w:bidi="ar"/>
              </w:rPr>
              <w:t>100</w:t>
            </w:r>
            <w:r>
              <w:rPr>
                <w:rFonts w:ascii="宋体" w:hAnsi="宋体" w:eastAsia="宋体" w:cs="宋体"/>
                <w:szCs w:val="21"/>
                <w:lang w:bidi="ar"/>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[0.9,1.1)</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N≤</w:t>
            </w:r>
            <w:r>
              <w:rPr>
                <w:rFonts w:hint="eastAsia" w:ascii="宋体" w:hAnsi="宋体" w:eastAsia="宋体" w:cs="宋体"/>
                <w:szCs w:val="21"/>
                <w:lang w:bidi="ar"/>
              </w:rPr>
              <w:t>5</w:t>
            </w:r>
            <w:r>
              <w:rPr>
                <w:rFonts w:ascii="宋体" w:hAnsi="宋体" w:eastAsia="宋体" w:cs="宋体"/>
                <w:szCs w:val="21"/>
                <w:lang w:bidi="ar"/>
              </w:rPr>
              <w:t>00</w:t>
            </w:r>
            <w:r>
              <w:rPr>
                <w:rFonts w:hint="eastAsia" w:ascii="宋体" w:hAnsi="宋体" w:eastAsia="宋体" w:cs="宋体"/>
                <w:szCs w:val="21"/>
                <w:lang w:bidi="ar"/>
              </w:rPr>
              <w:t>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[1.1,1.5]</w:t>
            </w:r>
          </w:p>
        </w:tc>
      </w:tr>
    </w:tbl>
    <w:p>
      <w:pPr>
        <w:spacing w:line="312" w:lineRule="auto"/>
        <w:ind w:firstLine="420" w:firstLineChars="200"/>
        <w:rPr>
          <w:rFonts w:ascii="宋体" w:hAnsi="宋体" w:eastAsia="宋体" w:cs="宋体"/>
          <w:szCs w:val="21"/>
          <w:lang w:bidi="ar"/>
        </w:rPr>
      </w:pPr>
    </w:p>
    <w:p>
      <w:pPr>
        <w:spacing w:line="312" w:lineRule="auto"/>
        <w:ind w:firstLine="420" w:firstLineChars="200"/>
        <w:rPr>
          <w:rFonts w:ascii="宋体" w:hAnsi="宋体" w:eastAsia="宋体" w:cs="宋体"/>
          <w:szCs w:val="21"/>
        </w:rPr>
      </w:pPr>
      <w:r>
        <w:rPr>
          <w:rFonts w:ascii="宋体" w:hAnsi="宋体" w:eastAsia="宋体" w:cs="宋体"/>
          <w:szCs w:val="21"/>
          <w:lang w:bidi="ar"/>
        </w:rPr>
        <w:t>2</w:t>
      </w:r>
      <w:r>
        <w:rPr>
          <w:rFonts w:hint="eastAsia" w:ascii="宋体" w:hAnsi="宋体" w:eastAsia="宋体" w:cs="宋体"/>
          <w:szCs w:val="21"/>
          <w:lang w:bidi="ar"/>
        </w:rPr>
        <w:t>、历史赔付率调整系数：按渠道近三年赔付率情况，进行划分。</w:t>
      </w:r>
    </w:p>
    <w:tbl>
      <w:tblPr>
        <w:tblStyle w:val="7"/>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历史赔付率</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0%-30%（含）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[0.5,0.7]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30%-50%（含）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(0.7,0.9]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50%-80%（含）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(0.9,1.1]</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80%以上</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(1.1,1.5]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无历史赔付率</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1.0</w:t>
            </w:r>
          </w:p>
        </w:tc>
      </w:tr>
    </w:tbl>
    <w:p>
      <w:pPr>
        <w:ind w:firstLine="420" w:firstLineChars="200"/>
        <w:jc w:val="left"/>
        <w:rPr>
          <w:rFonts w:ascii="宋体" w:hAnsi="宋体" w:eastAsia="宋体"/>
          <w:szCs w:val="21"/>
        </w:rPr>
      </w:pPr>
    </w:p>
    <w:p>
      <w:pPr>
        <w:ind w:firstLine="420" w:firstLineChars="200"/>
        <w:jc w:val="left"/>
        <w:rPr>
          <w:rFonts w:ascii="宋体" w:hAnsi="宋体" w:eastAsia="宋体"/>
          <w:szCs w:val="21"/>
        </w:rPr>
      </w:pPr>
      <w:r>
        <w:rPr>
          <w:rFonts w:hint="eastAsia" w:ascii="宋体" w:hAnsi="宋体" w:eastAsia="宋体"/>
          <w:szCs w:val="21"/>
        </w:rPr>
        <w:t>3、</w:t>
      </w:r>
      <w:r>
        <w:rPr>
          <w:rFonts w:ascii="宋体" w:hAnsi="宋体" w:eastAsia="宋体"/>
          <w:szCs w:val="21"/>
        </w:rPr>
        <w:t>等待期调整系数</w:t>
      </w:r>
      <w:r>
        <w:rPr>
          <w:rFonts w:hint="eastAsia" w:ascii="宋体" w:hAnsi="宋体" w:eastAsia="宋体"/>
          <w:szCs w:val="21"/>
        </w:rPr>
        <w:t>：</w:t>
      </w:r>
      <w:r>
        <w:rPr>
          <w:rFonts w:hint="eastAsia" w:ascii="宋体" w:hAnsi="宋体" w:eastAsia="宋体" w:cs="宋体"/>
          <w:szCs w:val="21"/>
          <w:lang w:bidi="ar"/>
        </w:rPr>
        <w:t>按保单约定的等待期天数，进行划分。</w:t>
      </w:r>
    </w:p>
    <w:tbl>
      <w:tblPr>
        <w:tblStyle w:val="8"/>
        <w:tblW w:w="5688" w:type="dxa"/>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等待期</w:t>
            </w:r>
          </w:p>
        </w:tc>
        <w:tc>
          <w:tcPr>
            <w:tcW w:w="2838" w:type="dxa"/>
          </w:tcPr>
          <w:p>
            <w:pPr>
              <w:jc w:val="center"/>
              <w:rPr>
                <w:rFonts w:ascii="宋体" w:hAnsi="宋体" w:eastAsia="宋体" w:cs="Arial"/>
                <w:bCs/>
                <w:color w:val="000000"/>
                <w:szCs w:val="21"/>
              </w:rPr>
            </w:pPr>
            <w:r>
              <w:rPr>
                <w:rFonts w:hint="eastAsia" w:ascii="宋体" w:hAnsi="宋体" w:eastAsia="宋体" w:cs="Arial"/>
                <w:bCs/>
                <w:color w:val="000000"/>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after="156" w:afterLines="50"/>
              <w:jc w:val="center"/>
              <w:rPr>
                <w:rFonts w:ascii="宋体" w:hAnsi="宋体" w:eastAsia="宋体"/>
              </w:rPr>
            </w:pPr>
            <w:r>
              <w:rPr>
                <w:rFonts w:ascii="宋体" w:hAnsi="宋体" w:eastAsia="宋体"/>
              </w:rPr>
              <w:t>0</w:t>
            </w:r>
            <w:r>
              <w:rPr>
                <w:rFonts w:hint="eastAsia" w:ascii="宋体" w:hAnsi="宋体" w:eastAsia="宋体"/>
              </w:rPr>
              <w:t>天（含）至</w:t>
            </w:r>
            <w:r>
              <w:rPr>
                <w:rFonts w:ascii="宋体" w:hAnsi="宋体" w:eastAsia="宋体"/>
              </w:rPr>
              <w:t>30</w:t>
            </w:r>
            <w:r>
              <w:rPr>
                <w:rFonts w:hint="eastAsia" w:ascii="宋体" w:hAnsi="宋体" w:eastAsia="宋体"/>
              </w:rPr>
              <w:t>天（不含）</w:t>
            </w:r>
          </w:p>
        </w:tc>
        <w:tc>
          <w:tcPr>
            <w:tcW w:w="2838" w:type="dxa"/>
          </w:tcPr>
          <w:p>
            <w:pPr>
              <w:widowControl/>
              <w:spacing w:line="312" w:lineRule="auto"/>
              <w:jc w:val="center"/>
              <w:rPr>
                <w:rFonts w:ascii="宋体" w:hAnsi="宋体" w:eastAsia="宋体"/>
              </w:rPr>
            </w:pPr>
            <w:r>
              <w:rPr>
                <w:rFonts w:hint="eastAsia" w:ascii="宋体" w:hAnsi="宋体" w:eastAsia="宋体" w:cs="宋体"/>
                <w:szCs w:val="21"/>
                <w:lang w:bidi="ar"/>
              </w:rPr>
              <w:t>（</w:t>
            </w:r>
            <w:r>
              <w:rPr>
                <w:rFonts w:ascii="宋体" w:hAnsi="宋体" w:eastAsia="宋体" w:cs="宋体"/>
                <w:szCs w:val="21"/>
                <w:lang w:bidi="ar"/>
              </w:rPr>
              <w:t>1.2,1.5]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after="156" w:afterLines="50"/>
              <w:jc w:val="center"/>
              <w:rPr>
                <w:rFonts w:ascii="宋体" w:hAnsi="宋体" w:eastAsia="宋体"/>
              </w:rPr>
            </w:pPr>
            <w:r>
              <w:rPr>
                <w:rFonts w:ascii="宋体" w:hAnsi="宋体" w:eastAsia="宋体"/>
              </w:rPr>
              <w:t>30</w:t>
            </w:r>
            <w:r>
              <w:rPr>
                <w:rFonts w:hint="eastAsia" w:ascii="宋体" w:hAnsi="宋体" w:eastAsia="宋体"/>
              </w:rPr>
              <w:t>天（含）至</w:t>
            </w:r>
            <w:r>
              <w:rPr>
                <w:rFonts w:ascii="宋体" w:hAnsi="宋体" w:eastAsia="宋体"/>
              </w:rPr>
              <w:t>90</w:t>
            </w:r>
            <w:r>
              <w:rPr>
                <w:rFonts w:hint="eastAsia" w:ascii="宋体" w:hAnsi="宋体" w:eastAsia="宋体"/>
              </w:rPr>
              <w:t>天（含）</w:t>
            </w:r>
          </w:p>
        </w:tc>
        <w:tc>
          <w:tcPr>
            <w:tcW w:w="2838" w:type="dxa"/>
          </w:tcPr>
          <w:p>
            <w:pPr>
              <w:widowControl/>
              <w:spacing w:line="312" w:lineRule="auto"/>
              <w:jc w:val="center"/>
              <w:rPr>
                <w:rFonts w:ascii="宋体" w:hAnsi="宋体" w:eastAsia="宋体"/>
              </w:rPr>
            </w:pPr>
            <w:r>
              <w:rPr>
                <w:rFonts w:ascii="宋体" w:hAnsi="宋体" w:eastAsia="宋体" w:cs="宋体"/>
                <w:szCs w:val="21"/>
                <w:lang w:bidi="ar"/>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after="156" w:afterLines="50"/>
              <w:jc w:val="center"/>
              <w:rPr>
                <w:rFonts w:ascii="宋体" w:hAnsi="宋体" w:eastAsia="宋体"/>
              </w:rPr>
            </w:pPr>
            <w:r>
              <w:rPr>
                <w:rFonts w:ascii="宋体" w:hAnsi="宋体" w:eastAsia="宋体"/>
              </w:rPr>
              <w:t>90</w:t>
            </w:r>
            <w:r>
              <w:rPr>
                <w:rFonts w:hint="eastAsia" w:ascii="宋体" w:hAnsi="宋体" w:eastAsia="宋体"/>
              </w:rPr>
              <w:t>天（不含）至</w:t>
            </w:r>
            <w:r>
              <w:rPr>
                <w:rFonts w:ascii="宋体" w:hAnsi="宋体" w:eastAsia="宋体"/>
              </w:rPr>
              <w:t>180</w:t>
            </w:r>
            <w:r>
              <w:rPr>
                <w:rFonts w:hint="eastAsia" w:ascii="宋体" w:hAnsi="宋体" w:eastAsia="宋体"/>
              </w:rPr>
              <w:t>天（含）</w:t>
            </w:r>
          </w:p>
        </w:tc>
        <w:tc>
          <w:tcPr>
            <w:tcW w:w="2838" w:type="dxa"/>
          </w:tcPr>
          <w:p>
            <w:pPr>
              <w:widowControl/>
              <w:spacing w:after="156" w:afterLines="50"/>
              <w:jc w:val="center"/>
              <w:rPr>
                <w:rFonts w:ascii="宋体" w:hAnsi="宋体" w:eastAsia="宋体"/>
              </w:rPr>
            </w:pPr>
            <w:r>
              <w:rPr>
                <w:rFonts w:ascii="宋体" w:hAnsi="宋体" w:eastAsia="宋体" w:cs="宋体"/>
                <w:szCs w:val="21"/>
                <w:lang w:bidi="ar"/>
              </w:rPr>
              <w:t>[0.8,1.0</w:t>
            </w:r>
            <w:r>
              <w:rPr>
                <w:rFonts w:hint="eastAsia" w:ascii="宋体" w:hAnsi="宋体" w:eastAsia="宋体" w:cs="宋体"/>
                <w:szCs w:val="21"/>
                <w:lang w:bidi="ar"/>
              </w:rPr>
              <w:t>）</w:t>
            </w:r>
          </w:p>
        </w:tc>
      </w:tr>
    </w:tbl>
    <w:p>
      <w:pPr>
        <w:ind w:firstLine="420" w:firstLineChars="200"/>
        <w:jc w:val="left"/>
        <w:rPr>
          <w:rFonts w:ascii="宋体" w:hAnsi="宋体" w:eastAsia="宋体"/>
          <w:szCs w:val="21"/>
        </w:rPr>
      </w:pPr>
    </w:p>
    <w:p>
      <w:pPr>
        <w:spacing w:line="312" w:lineRule="auto"/>
        <w:ind w:firstLine="420" w:firstLineChars="200"/>
        <w:rPr>
          <w:rFonts w:ascii="宋体" w:hAnsi="宋体" w:eastAsia="宋体" w:cs="宋体"/>
          <w:szCs w:val="21"/>
          <w:lang w:bidi="ar"/>
        </w:rPr>
      </w:pPr>
      <w:r>
        <w:rPr>
          <w:rFonts w:ascii="宋体" w:hAnsi="宋体" w:eastAsia="宋体" w:cs="宋体"/>
          <w:szCs w:val="21"/>
          <w:lang w:bidi="ar"/>
        </w:rPr>
        <w:t>4</w:t>
      </w:r>
      <w:r>
        <w:rPr>
          <w:rFonts w:hint="eastAsia" w:ascii="宋体" w:hAnsi="宋体" w:eastAsia="宋体" w:cs="宋体"/>
          <w:szCs w:val="21"/>
          <w:lang w:bidi="ar"/>
        </w:rPr>
        <w:t>、缴费方式调整系数：</w:t>
      </w:r>
      <w:r>
        <w:rPr>
          <w:rFonts w:hint="eastAsia" w:hAnsi="宋体" w:eastAsia="宋体" w:cs="Arial"/>
          <w:bCs/>
          <w:color w:val="000000"/>
          <w:szCs w:val="21"/>
        </w:rPr>
        <w:t>根据保单约定的缴费方式</w:t>
      </w:r>
      <w:r>
        <w:rPr>
          <w:rFonts w:hint="eastAsia" w:ascii="宋体" w:hAnsi="宋体" w:eastAsia="宋体" w:cs="宋体"/>
          <w:szCs w:val="21"/>
          <w:lang w:bidi="ar"/>
        </w:rPr>
        <w:t>，进行划分。</w:t>
      </w:r>
    </w:p>
    <w:tbl>
      <w:tblPr>
        <w:tblStyle w:val="7"/>
        <w:tblW w:w="0" w:type="auto"/>
        <w:jc w:val="center"/>
        <w:tblLayout w:type="fixed"/>
        <w:tblCellMar>
          <w:top w:w="0" w:type="dxa"/>
          <w:left w:w="108" w:type="dxa"/>
          <w:bottom w:w="0" w:type="dxa"/>
          <w:right w:w="108" w:type="dxa"/>
        </w:tblCellMar>
      </w:tblPr>
      <w:tblGrid>
        <w:gridCol w:w="3046"/>
        <w:gridCol w:w="2982"/>
      </w:tblGrid>
      <w:tr>
        <w:tblPrEx>
          <w:tblCellMar>
            <w:top w:w="0" w:type="dxa"/>
            <w:left w:w="108" w:type="dxa"/>
            <w:bottom w:w="0" w:type="dxa"/>
            <w:right w:w="108" w:type="dxa"/>
          </w:tblCellMar>
        </w:tblPrEx>
        <w:trPr>
          <w:trHeight w:val="255" w:hRule="atLeast"/>
          <w:jc w:val="center"/>
        </w:trPr>
        <w:tc>
          <w:tcPr>
            <w:tcW w:w="3046"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缴费方式</w:t>
            </w:r>
          </w:p>
        </w:tc>
        <w:tc>
          <w:tcPr>
            <w:tcW w:w="2982"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调整系数</w:t>
            </w:r>
          </w:p>
        </w:tc>
      </w:tr>
      <w:tr>
        <w:tblPrEx>
          <w:tblCellMar>
            <w:top w:w="0" w:type="dxa"/>
            <w:left w:w="108" w:type="dxa"/>
            <w:bottom w:w="0" w:type="dxa"/>
            <w:right w:w="108" w:type="dxa"/>
          </w:tblCellMar>
        </w:tblPrEx>
        <w:trPr>
          <w:trHeight w:val="255" w:hRule="atLeast"/>
          <w:jc w:val="center"/>
        </w:trPr>
        <w:tc>
          <w:tcPr>
            <w:tcW w:w="3046"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一次性缴清</w:t>
            </w:r>
          </w:p>
        </w:tc>
        <w:tc>
          <w:tcPr>
            <w:tcW w:w="2982"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1.0</w:t>
            </w:r>
          </w:p>
        </w:tc>
      </w:tr>
      <w:tr>
        <w:tblPrEx>
          <w:tblCellMar>
            <w:top w:w="0" w:type="dxa"/>
            <w:left w:w="108" w:type="dxa"/>
            <w:bottom w:w="0" w:type="dxa"/>
            <w:right w:w="108" w:type="dxa"/>
          </w:tblCellMar>
        </w:tblPrEx>
        <w:trPr>
          <w:trHeight w:val="255" w:hRule="atLeast"/>
          <w:jc w:val="center"/>
        </w:trPr>
        <w:tc>
          <w:tcPr>
            <w:tcW w:w="3046"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按季缴费</w:t>
            </w:r>
          </w:p>
        </w:tc>
        <w:tc>
          <w:tcPr>
            <w:tcW w:w="2982"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[1.0,1.1]</w:t>
            </w:r>
          </w:p>
        </w:tc>
      </w:tr>
      <w:tr>
        <w:tblPrEx>
          <w:tblCellMar>
            <w:top w:w="0" w:type="dxa"/>
            <w:left w:w="108" w:type="dxa"/>
            <w:bottom w:w="0" w:type="dxa"/>
            <w:right w:w="108" w:type="dxa"/>
          </w:tblCellMar>
        </w:tblPrEx>
        <w:trPr>
          <w:trHeight w:val="255" w:hRule="atLeast"/>
          <w:jc w:val="center"/>
        </w:trPr>
        <w:tc>
          <w:tcPr>
            <w:tcW w:w="3046"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按月缴费</w:t>
            </w:r>
          </w:p>
        </w:tc>
        <w:tc>
          <w:tcPr>
            <w:tcW w:w="2982"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[1.0,1.2]</w:t>
            </w:r>
          </w:p>
        </w:tc>
      </w:tr>
    </w:tbl>
    <w:p>
      <w:pPr>
        <w:jc w:val="left"/>
        <w:rPr>
          <w:rFonts w:ascii="宋体" w:hAnsi="宋体" w:eastAsia="宋体"/>
          <w:szCs w:val="21"/>
        </w:rPr>
      </w:pPr>
    </w:p>
    <w:p>
      <w:pPr>
        <w:ind w:firstLine="422" w:firstLineChars="200"/>
        <w:jc w:val="left"/>
        <w:rPr>
          <w:rFonts w:ascii="宋体" w:hAnsi="宋体" w:eastAsia="宋体"/>
          <w:b/>
          <w:szCs w:val="21"/>
        </w:rPr>
      </w:pPr>
      <w:r>
        <w:rPr>
          <w:rFonts w:ascii="宋体" w:hAnsi="宋体" w:eastAsia="宋体"/>
          <w:b/>
          <w:szCs w:val="21"/>
        </w:rPr>
        <w:t>四</w:t>
      </w:r>
      <w:r>
        <w:rPr>
          <w:rFonts w:hint="eastAsia" w:ascii="宋体" w:hAnsi="宋体" w:eastAsia="宋体"/>
          <w:b/>
          <w:szCs w:val="21"/>
        </w:rPr>
        <w:t>、保险费计算</w:t>
      </w:r>
    </w:p>
    <w:p>
      <w:pPr>
        <w:ind w:firstLine="420" w:firstLineChars="200"/>
        <w:jc w:val="left"/>
        <w:rPr>
          <w:rFonts w:ascii="Calibri" w:hAnsi="宋体" w:eastAsia="宋体" w:cs="Times New Roman"/>
        </w:rPr>
      </w:pPr>
      <w:r>
        <w:rPr>
          <w:rFonts w:hint="eastAsia" w:ascii="宋体" w:hAnsi="宋体" w:eastAsia="宋体" w:cs="宋体"/>
          <w:bCs/>
          <w:szCs w:val="21"/>
        </w:rPr>
        <w:t>1、</w:t>
      </w:r>
      <w:r>
        <w:rPr>
          <w:rFonts w:hint="eastAsia" w:ascii="Calibri" w:hAnsi="宋体" w:eastAsia="宋体" w:cs="Times New Roman"/>
        </w:rPr>
        <w:t>投保人选择一次性缴清保险费</w:t>
      </w:r>
    </w:p>
    <w:p>
      <w:pPr>
        <w:ind w:firstLine="420" w:firstLineChars="200"/>
        <w:jc w:val="left"/>
        <w:rPr>
          <w:rFonts w:ascii="宋体" w:hAnsi="宋体" w:eastAsia="宋体" w:cs="宋体"/>
          <w:szCs w:val="21"/>
          <w:lang w:bidi="ar"/>
        </w:rPr>
      </w:pPr>
      <w:r>
        <w:rPr>
          <w:rFonts w:hint="eastAsia" w:ascii="宋体" w:hAnsi="宋体" w:eastAsia="宋体" w:cs="宋体"/>
          <w:bCs/>
          <w:szCs w:val="21"/>
        </w:rPr>
        <w:t>年</w:t>
      </w:r>
      <w:r>
        <w:rPr>
          <w:rFonts w:ascii="宋体" w:hAnsi="宋体" w:eastAsia="宋体" w:cs="宋体"/>
          <w:bCs/>
          <w:szCs w:val="21"/>
        </w:rPr>
        <w:t>保险费=基准保险费×规模调整系数×历史赔付率调整系数×等待期调整系数×</w:t>
      </w:r>
      <w:r>
        <w:rPr>
          <w:rFonts w:hint="eastAsia" w:ascii="宋体" w:hAnsi="宋体" w:eastAsia="宋体" w:cs="宋体"/>
          <w:szCs w:val="21"/>
          <w:lang w:bidi="ar"/>
        </w:rPr>
        <w:t>缴费方式调整系数</w:t>
      </w:r>
    </w:p>
    <w:p>
      <w:pPr>
        <w:spacing w:line="288" w:lineRule="auto"/>
        <w:ind w:firstLine="420" w:firstLineChars="200"/>
        <w:jc w:val="left"/>
        <w:rPr>
          <w:rFonts w:ascii="宋体" w:hAnsi="宋体" w:eastAsia="宋体" w:cs="宋体"/>
          <w:bCs/>
          <w:szCs w:val="21"/>
        </w:rPr>
      </w:pPr>
      <w:r>
        <w:rPr>
          <w:rFonts w:hint="eastAsia" w:ascii="宋体" w:hAnsi="宋体" w:eastAsia="宋体" w:cs="宋体"/>
          <w:bCs/>
          <w:szCs w:val="21"/>
        </w:rPr>
        <w:t>2、</w:t>
      </w:r>
      <w:r>
        <w:rPr>
          <w:rFonts w:hint="eastAsia" w:ascii="Calibri" w:hAnsi="宋体" w:eastAsia="宋体" w:cs="Times New Roman"/>
        </w:rPr>
        <w:t>投保人选择分期缴付保险费，保险人根据保险费分期缴费期数，计收每期保险费</w:t>
      </w:r>
      <w:r>
        <w:rPr>
          <w:rFonts w:ascii="宋体" w:hAnsi="宋体" w:eastAsia="宋体" w:cs="宋体"/>
          <w:bCs/>
          <w:szCs w:val="21"/>
        </w:rPr>
        <w:t>：</w:t>
      </w:r>
    </w:p>
    <w:p>
      <w:pPr>
        <w:spacing w:line="288" w:lineRule="auto"/>
        <w:ind w:firstLine="420" w:firstLineChars="200"/>
        <w:jc w:val="left"/>
        <w:rPr>
          <w:rFonts w:hint="eastAsia" w:ascii="宋体" w:hAnsi="宋体" w:eastAsia="宋体" w:cs="宋体"/>
          <w:bCs/>
          <w:szCs w:val="21"/>
        </w:rPr>
      </w:pPr>
      <w:r>
        <w:rPr>
          <w:rFonts w:hint="eastAsia" w:ascii="宋体" w:hAnsi="宋体" w:eastAsia="宋体" w:cs="宋体"/>
          <w:bCs/>
          <w:szCs w:val="21"/>
        </w:rPr>
        <w:t>年</w:t>
      </w:r>
      <w:r>
        <w:rPr>
          <w:rFonts w:ascii="宋体" w:hAnsi="宋体" w:eastAsia="宋体" w:cs="宋体"/>
          <w:bCs/>
          <w:szCs w:val="21"/>
        </w:rPr>
        <w:t>保险费=基准保险费×规模调整系数×历史赔付率调整系数×等待期调整系数×</w:t>
      </w:r>
      <w:r>
        <w:rPr>
          <w:rFonts w:hint="eastAsia" w:ascii="宋体" w:hAnsi="宋体" w:eastAsia="宋体" w:cs="宋体"/>
          <w:szCs w:val="21"/>
          <w:lang w:bidi="ar"/>
        </w:rPr>
        <w:t>缴费方式调整系数</w:t>
      </w:r>
    </w:p>
    <w:p>
      <w:pPr>
        <w:spacing w:line="288" w:lineRule="auto"/>
        <w:ind w:firstLine="420" w:firstLineChars="200"/>
        <w:jc w:val="left"/>
        <w:rPr>
          <w:rFonts w:ascii="宋体" w:hAnsi="宋体" w:eastAsia="宋体" w:cs="宋体"/>
          <w:bCs/>
          <w:szCs w:val="21"/>
        </w:rPr>
      </w:pPr>
      <w:r>
        <w:rPr>
          <w:rFonts w:ascii="宋体" w:hAnsi="宋体" w:eastAsia="宋体" w:cs="宋体"/>
          <w:bCs/>
          <w:szCs w:val="21"/>
        </w:rPr>
        <w:t>每期保险费</w:t>
      </w:r>
      <w:r>
        <w:rPr>
          <w:rFonts w:hint="eastAsia" w:ascii="宋体" w:hAnsi="宋体" w:eastAsia="宋体" w:cs="宋体"/>
          <w:bCs/>
          <w:szCs w:val="21"/>
        </w:rPr>
        <w:t>（按四舍五入计算）</w:t>
      </w:r>
      <w:r>
        <w:rPr>
          <w:rFonts w:ascii="宋体" w:hAnsi="宋体" w:eastAsia="宋体" w:cs="宋体"/>
          <w:bCs/>
          <w:szCs w:val="21"/>
        </w:rPr>
        <w:t>=</w:t>
      </w:r>
      <w:r>
        <w:rPr>
          <w:rFonts w:hint="eastAsia" w:ascii="宋体" w:hAnsi="宋体" w:eastAsia="宋体" w:cs="宋体"/>
          <w:bCs/>
          <w:szCs w:val="21"/>
        </w:rPr>
        <w:t>年</w:t>
      </w:r>
      <w:r>
        <w:rPr>
          <w:rFonts w:ascii="宋体" w:hAnsi="宋体" w:eastAsia="宋体" w:cs="宋体"/>
          <w:bCs/>
          <w:szCs w:val="21"/>
        </w:rPr>
        <w:t>保险费÷分期缴费期数</w:t>
      </w:r>
    </w:p>
    <w:p>
      <w:pPr>
        <w:spacing w:line="288" w:lineRule="auto"/>
        <w:ind w:firstLine="420" w:firstLineChars="200"/>
        <w:jc w:val="left"/>
        <w:rPr>
          <w:rFonts w:hint="eastAsia" w:ascii="宋体" w:hAnsi="宋体" w:eastAsia="宋体" w:cs="宋体"/>
          <w:bCs/>
          <w:szCs w:val="21"/>
        </w:rPr>
      </w:pPr>
      <w:r>
        <w:rPr>
          <w:rFonts w:ascii="Calibri" w:hAnsi="宋体" w:eastAsia="宋体" w:cs="Times New Roman"/>
        </w:rPr>
        <w:t>注</w:t>
      </w:r>
      <w:r>
        <w:rPr>
          <w:rFonts w:hint="eastAsia" w:ascii="Calibri" w:hAnsi="宋体" w:eastAsia="宋体" w:cs="Times New Roman"/>
        </w:rPr>
        <w:t>：本产品涉及分期缴费，每期缴费金额一致。</w:t>
      </w:r>
    </w:p>
    <w:p>
      <w:pPr>
        <w:spacing w:line="288" w:lineRule="auto"/>
        <w:ind w:firstLine="420" w:firstLineChars="200"/>
        <w:jc w:val="left"/>
        <w:rPr>
          <w:rFonts w:ascii="宋体" w:hAnsi="宋体" w:eastAsia="宋体" w:cs="宋体"/>
          <w:bCs/>
          <w:szCs w:val="21"/>
        </w:rPr>
      </w:pPr>
    </w:p>
    <w:p>
      <w:pPr>
        <w:snapToGrid w:val="0"/>
        <w:spacing w:line="288" w:lineRule="auto"/>
        <w:ind w:firstLine="422" w:firstLineChars="200"/>
        <w:rPr>
          <w:rFonts w:ascii="宋体" w:hAnsi="宋体" w:eastAsia="宋体" w:cs="Times New Roman"/>
          <w:b/>
          <w:kern w:val="0"/>
        </w:rPr>
      </w:pPr>
      <w:r>
        <w:rPr>
          <w:rFonts w:hint="eastAsia" w:ascii="宋体" w:hAnsi="宋体" w:eastAsia="宋体" w:cs="Times New Roman"/>
          <w:b/>
          <w:kern w:val="0"/>
        </w:rPr>
        <w:t>五、短期费率表</w:t>
      </w:r>
    </w:p>
    <w:p>
      <w:pPr>
        <w:snapToGrid w:val="0"/>
        <w:spacing w:line="288" w:lineRule="auto"/>
        <w:ind w:firstLine="482"/>
        <w:rPr>
          <w:rFonts w:ascii="宋体" w:hAnsi="宋体" w:eastAsia="宋体" w:cs="Times New Roman"/>
          <w:kern w:val="0"/>
        </w:rPr>
      </w:pPr>
      <w:bookmarkStart w:id="1" w:name="_GoBack"/>
      <w:r>
        <w:rPr>
          <w:rFonts w:hint="eastAsia" w:ascii="宋体" w:hAnsi="宋体" w:eastAsia="宋体" w:cs="Times New Roman"/>
          <w:kern w:val="0"/>
        </w:rPr>
        <w:t>保险期间不足一年的，按以下标准计算短期保险费（按年保险费的百分比计算，不足一个月的按一个月计算）：</w:t>
      </w:r>
    </w:p>
    <w:tbl>
      <w:tblPr>
        <w:tblStyle w:val="7"/>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11</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95%</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100%</w:t>
            </w:r>
          </w:p>
        </w:tc>
      </w:tr>
    </w:tbl>
    <w:p>
      <w:pPr>
        <w:ind w:firstLine="420" w:firstLineChars="200"/>
        <w:jc w:val="left"/>
        <w:rPr>
          <w:rFonts w:ascii="宋体" w:hAnsi="宋体" w:eastAsia="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7F0"/>
    <w:rsid w:val="00023DE6"/>
    <w:rsid w:val="00061794"/>
    <w:rsid w:val="00061975"/>
    <w:rsid w:val="000E0AF6"/>
    <w:rsid w:val="000E3F63"/>
    <w:rsid w:val="002542C8"/>
    <w:rsid w:val="0029332F"/>
    <w:rsid w:val="002E3E7E"/>
    <w:rsid w:val="003F4393"/>
    <w:rsid w:val="004902B3"/>
    <w:rsid w:val="00506C87"/>
    <w:rsid w:val="005D75B7"/>
    <w:rsid w:val="006007A7"/>
    <w:rsid w:val="00696B15"/>
    <w:rsid w:val="006E3F0C"/>
    <w:rsid w:val="00702F75"/>
    <w:rsid w:val="00767CE8"/>
    <w:rsid w:val="00864233"/>
    <w:rsid w:val="00907BDA"/>
    <w:rsid w:val="009414F5"/>
    <w:rsid w:val="009D156E"/>
    <w:rsid w:val="00A0448E"/>
    <w:rsid w:val="00A5472D"/>
    <w:rsid w:val="00AA7B60"/>
    <w:rsid w:val="00AE7EFF"/>
    <w:rsid w:val="00BA132C"/>
    <w:rsid w:val="00C6391C"/>
    <w:rsid w:val="00CF76C6"/>
    <w:rsid w:val="00D278AD"/>
    <w:rsid w:val="00E30098"/>
    <w:rsid w:val="00E7065F"/>
    <w:rsid w:val="00E940E8"/>
    <w:rsid w:val="00F627F0"/>
    <w:rsid w:val="0C1E36B4"/>
    <w:rsid w:val="13864296"/>
    <w:rsid w:val="1489141C"/>
    <w:rsid w:val="17780F8F"/>
    <w:rsid w:val="17CA1CD8"/>
    <w:rsid w:val="1F14355E"/>
    <w:rsid w:val="27CC5136"/>
    <w:rsid w:val="3BAA6DE9"/>
    <w:rsid w:val="48A13A0E"/>
    <w:rsid w:val="4A381310"/>
    <w:rsid w:val="51494826"/>
    <w:rsid w:val="521F5665"/>
    <w:rsid w:val="76B97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批注框文本 Char"/>
    <w:basedOn w:val="9"/>
    <w:link w:val="3"/>
    <w:semiHidden/>
    <w:qFormat/>
    <w:uiPriority w:val="99"/>
    <w:rPr>
      <w:sz w:val="18"/>
      <w:szCs w:val="18"/>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character" w:customStyle="1" w:styleId="14">
    <w:name w:val="批注文字 Char"/>
    <w:basedOn w:val="9"/>
    <w:link w:val="2"/>
    <w:semiHidden/>
    <w:qFormat/>
    <w:uiPriority w:val="99"/>
    <w:rPr>
      <w:rFonts w:asciiTheme="minorHAnsi" w:hAnsiTheme="minorHAnsi" w:eastAsiaTheme="minorEastAsia" w:cstheme="minorBidi"/>
      <w:kern w:val="2"/>
      <w:sz w:val="21"/>
      <w:szCs w:val="22"/>
    </w:rPr>
  </w:style>
  <w:style w:type="character" w:customStyle="1" w:styleId="15">
    <w:name w:val="批注主题 Char"/>
    <w:basedOn w:val="14"/>
    <w:link w:val="6"/>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1092</Words>
  <Characters>1577</Characters>
  <Lines>13</Lines>
  <Paragraphs>3</Paragraphs>
  <TotalTime>79</TotalTime>
  <ScaleCrop>false</ScaleCrop>
  <LinksUpToDate>false</LinksUpToDate>
  <CharactersWithSpaces>1622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2020-02-18T03:53:00Z</dcterms:created>
  <dc:creator>林男 曹</dc:creator>
  <cp:lastModifiedBy>Zixuan Shen</cp:lastModifiedBy>
  <dcterms:modified xsi:type="dcterms:W3CDTF">2022-04-23T09:55:47Z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07C7ACF2E12743B7A27770C56FA79FD2</vt:lpwstr>
  </property>
  <property fmtid="{D5CDD505-2E9C-101B-9397-08002B2CF9AE}" pid="4" name="commondata">
    <vt:lpwstr>eyJoZGlkIjoiMDRiMmE0ZjljZDExM2YyODdkMDQ1ZGRhYjY0YmQ5MmQifQ==</vt:lpwstr>
  </property>
</Properties>
</file>