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附加意外伤害骨折住院津贴保险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一、年基准保费：（基准住院日给付金额：1</w:t>
      </w:r>
      <w:r>
        <w:rPr>
          <w:rFonts w:ascii="宋体" w:hAnsi="宋体" w:eastAsia="宋体" w:cs="宋体"/>
          <w:b/>
          <w:bCs/>
          <w:szCs w:val="21"/>
        </w:rPr>
        <w:t>0</w:t>
      </w:r>
      <w:r>
        <w:rPr>
          <w:rFonts w:hint="eastAsia" w:ascii="宋体" w:hAnsi="宋体" w:eastAsia="宋体" w:cs="宋体"/>
          <w:b/>
          <w:bCs/>
          <w:szCs w:val="21"/>
        </w:rPr>
        <w:t>元/日）</w:t>
      </w:r>
    </w:p>
    <w:tbl>
      <w:tblPr>
        <w:tblStyle w:val="8"/>
        <w:tblW w:w="7230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保险责任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意外伤害骨折住院津贴保险责任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3元</w:t>
            </w:r>
          </w:p>
        </w:tc>
      </w:tr>
    </w:tbl>
    <w:p>
      <w:pPr>
        <w:adjustRightInd w:val="0"/>
        <w:snapToGrid w:val="0"/>
        <w:spacing w:before="156" w:beforeLines="50"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   二、 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1、每次住院免赔天数调整系数：根据承保时约定的每次住院免赔天数，进行划分。</w:t>
      </w:r>
    </w:p>
    <w:tbl>
      <w:tblPr>
        <w:tblStyle w:val="7"/>
        <w:tblW w:w="84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813"/>
        <w:gridCol w:w="988"/>
        <w:gridCol w:w="1075"/>
        <w:gridCol w:w="1087"/>
        <w:gridCol w:w="1013"/>
        <w:gridCol w:w="10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每次住院免赔天数（天）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2、每次保险事故单次住院给付天数调整系数：根据承保时约定的每次保险事故单次住院给付最高天数，进行划分。</w:t>
      </w: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1265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2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每次保险事故单次住院给付天数（天）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（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0,</w:t>
            </w:r>
            <w:r>
              <w:rPr>
                <w:rFonts w:ascii="宋体" w:hAnsi="宋体" w:eastAsia="宋体" w:cs="宋体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(30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(90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2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2]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(1.2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、累计给付住院天数调整系数：根据承保时约定的累计给付最高天数，进行划分。</w:t>
      </w: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1276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24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累计给付住院天数（天）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(0,</w:t>
            </w:r>
            <w:r>
              <w:rPr>
                <w:rFonts w:hint="eastAsia" w:ascii="宋体" w:hAnsi="宋体" w:eastAsia="宋体" w:cs="宋体"/>
                <w:szCs w:val="21"/>
              </w:rPr>
              <w:t>,90]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(90,</w:t>
            </w:r>
            <w:r>
              <w:rPr>
                <w:rFonts w:hint="eastAsia" w:ascii="宋体" w:hAnsi="宋体" w:eastAsia="宋体" w:cs="宋体"/>
                <w:szCs w:val="21"/>
              </w:rPr>
              <w:t>120]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12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24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1]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(1.1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3]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、年龄调整系数：根据被保险人年龄，进行划分。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年龄（周岁）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10以下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10（含）-20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-50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-80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80以上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、销售区域综合状况调整系数：根据销售区域经济发展水平、卫生健康水平、社会治安水平和自然灾害风险状况等综合考虑，进行划分。</w:t>
      </w:r>
    </w:p>
    <w:tbl>
      <w:tblPr>
        <w:tblStyle w:val="7"/>
        <w:tblW w:w="4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因素情况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销售区域综合状况较好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销售区域综合状况一般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ascii="宋体" w:hAnsi="宋体" w:eastAsia="宋体" w:cs="宋体"/>
                <w:szCs w:val="21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销售区域综合状况较差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.2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numPr>
          <w:ilvl w:val="255"/>
          <w:numId w:val="0"/>
        </w:numPr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Arial"/>
          <w:bCs/>
          <w:color w:val="000000"/>
          <w:szCs w:val="21"/>
        </w:rPr>
        <w:t>8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、缴费方式调整系数：按保单约定的缴费方式，进行划分。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bookmarkStart w:id="0" w:name="OLE_LINK3"/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[0.95,1.0]</w:t>
            </w:r>
          </w:p>
        </w:tc>
      </w:tr>
      <w:bookmarkEnd w:id="0"/>
    </w:tbl>
    <w:p>
      <w:pPr>
        <w:spacing w:line="312" w:lineRule="auto"/>
        <w:ind w:firstLine="422" w:firstLine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1、投保人选择一次性缴清保险费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年保险费=（住院日给付金额/10）×年基准保费×每次住院</w:t>
      </w:r>
      <w:r>
        <w:rPr>
          <w:rFonts w:hint="eastAsia" w:ascii="宋体" w:hAnsi="宋体" w:eastAsia="宋体" w:cs="宋体"/>
          <w:szCs w:val="21"/>
        </w:rPr>
        <w:t>免赔天数调整系数×每次保险事故单次住院给付天数调整系数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累计给付住院天数调整系数×年龄调整系数×销售区域综合状况调整系数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2、投保人选择分期缴付保险费，保险人根据保险费分期缴费期数，计收每期保险费：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年保险费=（住院日给付金额/10）×年基准保费×每次住院</w:t>
      </w:r>
      <w:r>
        <w:rPr>
          <w:rFonts w:hint="eastAsia" w:ascii="宋体" w:hAnsi="宋体" w:eastAsia="宋体" w:cs="宋体"/>
          <w:szCs w:val="21"/>
        </w:rPr>
        <w:t>免赔天数调整系数×每次保险事故单次住院给付天数调整系数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累计给付住院天数调整系数×年龄调整系数×销售区域综合状况调整系数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每期保险费（按四舍五入计算）</w:t>
      </w:r>
      <w:r>
        <w:rPr>
          <w:rFonts w:ascii="宋体" w:hAnsi="宋体" w:eastAsia="宋体" w:cs="宋体"/>
          <w:color w:val="000000"/>
          <w:szCs w:val="21"/>
        </w:rPr>
        <w:t>=年保险费÷分期缴费期数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注：本产品涉及分期缴费，每期缴费金额一致。</w:t>
      </w:r>
    </w:p>
    <w:p>
      <w:pPr>
        <w:spacing w:line="312" w:lineRule="auto"/>
        <w:ind w:firstLine="422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四</w:t>
      </w:r>
      <w:r>
        <w:rPr>
          <w:rFonts w:hint="eastAsia" w:ascii="宋体" w:hAnsi="宋体" w:eastAsia="宋体" w:cs="宋体"/>
          <w:b/>
          <w:bCs/>
        </w:rPr>
        <w:t>、短期费率表</w:t>
      </w:r>
    </w:p>
    <w:tbl>
      <w:tblPr>
        <w:tblStyle w:val="7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保险期间（个月）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注：保险期间不足1个月的，按1个月计算；保险期间在1个月以上，不足2个月的，按2个月计算；保险期间在2个月以上，不足3个月的，按3个月计算，以此类推。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jZGVkODY3YzEyOWNmMjYzZTc4M2QzNmQwMzYzMDEifQ=="/>
  </w:docVars>
  <w:rsids>
    <w:rsidRoot w:val="00F627F0"/>
    <w:rsid w:val="00011C6E"/>
    <w:rsid w:val="00037606"/>
    <w:rsid w:val="000C4B7C"/>
    <w:rsid w:val="000E0AF6"/>
    <w:rsid w:val="00163877"/>
    <w:rsid w:val="00225815"/>
    <w:rsid w:val="0024551E"/>
    <w:rsid w:val="00367453"/>
    <w:rsid w:val="00393220"/>
    <w:rsid w:val="003C7D47"/>
    <w:rsid w:val="003F4393"/>
    <w:rsid w:val="00423CF2"/>
    <w:rsid w:val="004557E2"/>
    <w:rsid w:val="00520D91"/>
    <w:rsid w:val="0052639C"/>
    <w:rsid w:val="0054058B"/>
    <w:rsid w:val="00580DC8"/>
    <w:rsid w:val="005E3EDF"/>
    <w:rsid w:val="005E65E6"/>
    <w:rsid w:val="005F2FFF"/>
    <w:rsid w:val="006158FF"/>
    <w:rsid w:val="00686433"/>
    <w:rsid w:val="006A5C0D"/>
    <w:rsid w:val="006E3F0C"/>
    <w:rsid w:val="00702841"/>
    <w:rsid w:val="00702F75"/>
    <w:rsid w:val="007D29D8"/>
    <w:rsid w:val="007D3AA6"/>
    <w:rsid w:val="007D662B"/>
    <w:rsid w:val="00854590"/>
    <w:rsid w:val="00907BDA"/>
    <w:rsid w:val="00966A5F"/>
    <w:rsid w:val="00A00ECD"/>
    <w:rsid w:val="00A53B13"/>
    <w:rsid w:val="00AA7B60"/>
    <w:rsid w:val="00AE7EFF"/>
    <w:rsid w:val="00B02CAF"/>
    <w:rsid w:val="00C1575A"/>
    <w:rsid w:val="00CC3841"/>
    <w:rsid w:val="00CF2638"/>
    <w:rsid w:val="00D14D1A"/>
    <w:rsid w:val="00D8277D"/>
    <w:rsid w:val="00F54BE0"/>
    <w:rsid w:val="00F627F0"/>
    <w:rsid w:val="00F7496A"/>
    <w:rsid w:val="00FB6CB6"/>
    <w:rsid w:val="04BF345A"/>
    <w:rsid w:val="06234452"/>
    <w:rsid w:val="08551B1B"/>
    <w:rsid w:val="0C1E36B4"/>
    <w:rsid w:val="0EA2425A"/>
    <w:rsid w:val="13B804FB"/>
    <w:rsid w:val="17780F8F"/>
    <w:rsid w:val="17CA1CD8"/>
    <w:rsid w:val="1BDB3A56"/>
    <w:rsid w:val="1F14355E"/>
    <w:rsid w:val="2A535ECA"/>
    <w:rsid w:val="341C6F69"/>
    <w:rsid w:val="36462EB7"/>
    <w:rsid w:val="370F28D4"/>
    <w:rsid w:val="3BAA6DE9"/>
    <w:rsid w:val="3F0B5BDF"/>
    <w:rsid w:val="3FB7C234"/>
    <w:rsid w:val="422265F4"/>
    <w:rsid w:val="42B143F8"/>
    <w:rsid w:val="44DA74E2"/>
    <w:rsid w:val="457301E5"/>
    <w:rsid w:val="4A381310"/>
    <w:rsid w:val="4FB47F59"/>
    <w:rsid w:val="51494826"/>
    <w:rsid w:val="521F5665"/>
    <w:rsid w:val="55492ECC"/>
    <w:rsid w:val="57AE3890"/>
    <w:rsid w:val="5B9D2CA7"/>
    <w:rsid w:val="5CA45ECA"/>
    <w:rsid w:val="71273C76"/>
    <w:rsid w:val="72D93389"/>
    <w:rsid w:val="757A7990"/>
    <w:rsid w:val="76B973FB"/>
    <w:rsid w:val="7888647C"/>
    <w:rsid w:val="7EC26C0D"/>
    <w:rsid w:val="FBFBA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1089</Words>
  <Characters>1424</Characters>
  <Lines>11</Lines>
  <Paragraphs>3</Paragraphs>
  <TotalTime>2</TotalTime>
  <ScaleCrop>false</ScaleCrop>
  <LinksUpToDate>false</LinksUpToDate>
  <CharactersWithSpaces>1433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2022-06-21T17:01:00Z</dcterms:created>
  <dc:creator>林男 曹</dc:creator>
  <cp:lastModifiedBy>Zixuan Shen</cp:lastModifiedBy>
  <dcterms:modified xsi:type="dcterms:W3CDTF">2022-07-04T09:54:06Z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1986E0D82C794A37BBCB7E9EEC6D830C</vt:lpwstr>
  </property>
</Properties>
</file>