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b/>
          <w:sz w:val="28"/>
          <w:szCs w:val="24"/>
        </w:rPr>
      </w:pPr>
      <w:r>
        <w:rPr>
          <w:rFonts w:hint="eastAsia" w:ascii="Times New Roman"/>
          <w:b/>
          <w:sz w:val="28"/>
          <w:szCs w:val="24"/>
        </w:rPr>
        <w:t>华农财产保险股份有限公司</w:t>
      </w:r>
    </w:p>
    <w:p>
      <w:pPr>
        <w:spacing w:after="156" w:afterLines="50"/>
        <w:jc w:val="center"/>
        <w:rPr>
          <w:rFonts w:hAnsi="宋体" w:cs="宋体"/>
          <w:b/>
          <w:bCs/>
          <w:sz w:val="21"/>
          <w:szCs w:val="21"/>
        </w:rPr>
      </w:pPr>
      <w:r>
        <w:rPr>
          <w:rFonts w:hint="eastAsia" w:cs="Arial"/>
          <w:b/>
          <w:kern w:val="2"/>
          <w:sz w:val="28"/>
          <w:szCs w:val="28"/>
          <w:lang w:bidi="ar"/>
        </w:rPr>
        <w:t>附加扩展特定传染病保险费率表（互联网专属）</w:t>
      </w:r>
    </w:p>
    <w:p>
      <w:pPr>
        <w:pStyle w:val="9"/>
        <w:numPr>
          <w:ilvl w:val="0"/>
          <w:numId w:val="1"/>
        </w:numPr>
        <w:spacing w:line="312" w:lineRule="auto"/>
        <w:ind w:firstLineChars="0"/>
        <w:rPr>
          <w:rFonts w:hAnsi="宋体" w:cs="宋体"/>
          <w:sz w:val="21"/>
          <w:szCs w:val="21"/>
        </w:rPr>
      </w:pPr>
      <w:r>
        <w:rPr>
          <w:rFonts w:hint="eastAsia" w:hAnsi="宋体" w:cs="Arial"/>
          <w:b/>
          <w:sz w:val="21"/>
          <w:szCs w:val="21"/>
        </w:rPr>
        <w:t>年基准保险费率</w:t>
      </w:r>
    </w:p>
    <w:tbl>
      <w:tblPr>
        <w:tblStyle w:val="6"/>
        <w:tblW w:w="8087" w:type="dxa"/>
        <w:tblInd w:w="4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9"/>
        <w:gridCol w:w="4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39" w:type="dxa"/>
          </w:tcPr>
          <w:p>
            <w:pPr>
              <w:pStyle w:val="9"/>
              <w:spacing w:line="312" w:lineRule="auto"/>
              <w:ind w:firstLine="0" w:firstLineChars="0"/>
              <w:jc w:val="center"/>
              <w:rPr>
                <w:rFonts w:hAnsi="宋体" w:cs="宋体"/>
                <w:sz w:val="21"/>
                <w:szCs w:val="21"/>
              </w:rPr>
            </w:pPr>
            <w:r>
              <w:rPr>
                <w:rFonts w:hint="eastAsia" w:hAnsi="宋体" w:cs="宋体"/>
                <w:b/>
                <w:sz w:val="21"/>
                <w:szCs w:val="21"/>
              </w:rPr>
              <w:t>保险责任</w:t>
            </w:r>
          </w:p>
        </w:tc>
        <w:tc>
          <w:tcPr>
            <w:tcW w:w="4048" w:type="dxa"/>
          </w:tcPr>
          <w:p>
            <w:pPr>
              <w:pStyle w:val="9"/>
              <w:spacing w:line="312" w:lineRule="auto"/>
              <w:ind w:firstLine="0" w:firstLineChars="0"/>
              <w:jc w:val="center"/>
              <w:rPr>
                <w:rFonts w:hAnsi="宋体" w:cs="宋体"/>
                <w:sz w:val="21"/>
                <w:szCs w:val="21"/>
              </w:rPr>
            </w:pPr>
            <w:r>
              <w:rPr>
                <w:rFonts w:hAnsi="宋体" w:cs="宋体"/>
                <w:b/>
                <w:bCs/>
                <w:sz w:val="21"/>
                <w:szCs w:val="21"/>
              </w:rPr>
              <w:t>年基准保险费率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039" w:type="dxa"/>
          </w:tcPr>
          <w:p>
            <w:pPr>
              <w:pStyle w:val="9"/>
              <w:spacing w:line="312" w:lineRule="auto"/>
              <w:ind w:firstLine="0" w:firstLineChars="0"/>
              <w:jc w:val="center"/>
              <w:rPr>
                <w:rFonts w:hAnsi="宋体" w:cs="宋体"/>
                <w:sz w:val="21"/>
                <w:szCs w:val="21"/>
              </w:rPr>
            </w:pPr>
            <w:r>
              <w:rPr>
                <w:rFonts w:hint="eastAsia" w:hAnsi="宋体" w:cs="宋体"/>
                <w:sz w:val="21"/>
                <w:szCs w:val="21"/>
              </w:rPr>
              <w:t>特定传染病疾病保险责任</w:t>
            </w:r>
          </w:p>
        </w:tc>
        <w:tc>
          <w:tcPr>
            <w:tcW w:w="4048" w:type="dxa"/>
          </w:tcPr>
          <w:p>
            <w:pPr>
              <w:pStyle w:val="9"/>
              <w:spacing w:line="312" w:lineRule="auto"/>
              <w:ind w:firstLine="0" w:firstLineChars="0"/>
              <w:jc w:val="center"/>
              <w:rPr>
                <w:rFonts w:hAnsi="宋体" w:cs="宋体"/>
                <w:sz w:val="21"/>
                <w:szCs w:val="21"/>
              </w:rPr>
            </w:pPr>
            <w:r>
              <w:rPr>
                <w:rFonts w:hint="eastAsia"/>
                <w:sz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39" w:type="dxa"/>
          </w:tcPr>
          <w:p>
            <w:pPr>
              <w:pStyle w:val="9"/>
              <w:spacing w:line="312" w:lineRule="auto"/>
              <w:ind w:firstLine="0" w:firstLineChars="0"/>
              <w:jc w:val="center"/>
              <w:rPr>
                <w:rFonts w:hAnsi="宋体" w:cs="宋体"/>
                <w:sz w:val="21"/>
                <w:szCs w:val="21"/>
              </w:rPr>
            </w:pPr>
            <w:r>
              <w:rPr>
                <w:rFonts w:hint="eastAsia" w:hAnsi="宋体" w:cs="宋体"/>
                <w:sz w:val="21"/>
                <w:szCs w:val="21"/>
              </w:rPr>
              <w:t>特定传染病危重症保险责任</w:t>
            </w:r>
          </w:p>
        </w:tc>
        <w:tc>
          <w:tcPr>
            <w:tcW w:w="4048" w:type="dxa"/>
          </w:tcPr>
          <w:p>
            <w:pPr>
              <w:pStyle w:val="9"/>
              <w:spacing w:line="312" w:lineRule="auto"/>
              <w:ind w:firstLine="0" w:firstLineChars="0"/>
              <w:jc w:val="center"/>
              <w:rPr>
                <w:sz w:val="21"/>
              </w:rPr>
            </w:pPr>
            <w:r>
              <w:rPr>
                <w:rFonts w:hint="eastAsia"/>
                <w:sz w:val="21"/>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39" w:type="dxa"/>
          </w:tcPr>
          <w:p>
            <w:pPr>
              <w:pStyle w:val="9"/>
              <w:spacing w:line="312" w:lineRule="auto"/>
              <w:ind w:firstLine="0" w:firstLineChars="0"/>
              <w:jc w:val="center"/>
              <w:rPr>
                <w:rFonts w:hAnsi="宋体" w:cs="宋体"/>
                <w:sz w:val="21"/>
                <w:szCs w:val="21"/>
              </w:rPr>
            </w:pPr>
            <w:r>
              <w:rPr>
                <w:rFonts w:hint="eastAsia" w:hAnsi="宋体" w:cs="宋体"/>
                <w:sz w:val="21"/>
                <w:szCs w:val="21"/>
              </w:rPr>
              <w:t>特定传染病身故保险责任</w:t>
            </w:r>
          </w:p>
        </w:tc>
        <w:tc>
          <w:tcPr>
            <w:tcW w:w="4048" w:type="dxa"/>
          </w:tcPr>
          <w:p>
            <w:pPr>
              <w:pStyle w:val="9"/>
              <w:spacing w:line="312" w:lineRule="auto"/>
              <w:ind w:firstLine="0" w:firstLineChars="0"/>
              <w:jc w:val="center"/>
              <w:rPr>
                <w:sz w:val="21"/>
              </w:rPr>
            </w:pPr>
            <w:r>
              <w:rPr>
                <w:rFonts w:hint="eastAsia"/>
                <w:sz w:val="21"/>
              </w:rPr>
              <w:t>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39" w:type="dxa"/>
          </w:tcPr>
          <w:p>
            <w:pPr>
              <w:pStyle w:val="9"/>
              <w:spacing w:line="312" w:lineRule="auto"/>
              <w:ind w:firstLine="0" w:firstLineChars="0"/>
              <w:jc w:val="center"/>
              <w:rPr>
                <w:rFonts w:hAnsi="宋体" w:cs="宋体"/>
                <w:sz w:val="21"/>
                <w:szCs w:val="21"/>
              </w:rPr>
            </w:pPr>
            <w:r>
              <w:rPr>
                <w:rFonts w:hint="eastAsia" w:hAnsi="宋体" w:cs="宋体"/>
                <w:sz w:val="21"/>
                <w:szCs w:val="21"/>
              </w:rPr>
              <w:t>特定传染病全残保险责任</w:t>
            </w:r>
          </w:p>
        </w:tc>
        <w:tc>
          <w:tcPr>
            <w:tcW w:w="4048" w:type="dxa"/>
          </w:tcPr>
          <w:p>
            <w:pPr>
              <w:pStyle w:val="9"/>
              <w:spacing w:line="312" w:lineRule="auto"/>
              <w:ind w:firstLine="0" w:firstLineChars="0"/>
              <w:jc w:val="center"/>
              <w:rPr>
                <w:sz w:val="21"/>
              </w:rPr>
            </w:pPr>
            <w:r>
              <w:rPr>
                <w:rFonts w:hint="eastAsia"/>
                <w:sz w:val="21"/>
              </w:rPr>
              <w:t>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39" w:type="dxa"/>
          </w:tcPr>
          <w:p>
            <w:pPr>
              <w:pStyle w:val="9"/>
              <w:spacing w:line="312" w:lineRule="auto"/>
              <w:ind w:firstLine="0" w:firstLineChars="0"/>
              <w:jc w:val="center"/>
              <w:rPr>
                <w:rFonts w:hAnsi="宋体" w:cs="宋体"/>
                <w:sz w:val="21"/>
                <w:szCs w:val="21"/>
              </w:rPr>
            </w:pPr>
            <w:r>
              <w:rPr>
                <w:rFonts w:hint="eastAsia" w:hAnsi="宋体" w:cs="宋体"/>
                <w:sz w:val="21"/>
                <w:szCs w:val="21"/>
              </w:rPr>
              <w:t>特定传染病集中隔离津贴保险责任</w:t>
            </w:r>
          </w:p>
        </w:tc>
        <w:tc>
          <w:tcPr>
            <w:tcW w:w="4048" w:type="dxa"/>
          </w:tcPr>
          <w:p>
            <w:pPr>
              <w:pStyle w:val="9"/>
              <w:spacing w:line="312" w:lineRule="auto"/>
              <w:ind w:firstLine="0" w:firstLineChars="0"/>
              <w:jc w:val="center"/>
              <w:rPr>
                <w:sz w:val="21"/>
              </w:rPr>
            </w:pPr>
            <w:r>
              <w:rPr>
                <w:rFonts w:hint="eastAsia"/>
                <w:sz w:val="21"/>
              </w:rPr>
              <w:t>10%</w:t>
            </w:r>
          </w:p>
        </w:tc>
      </w:tr>
    </w:tbl>
    <w:p>
      <w:pPr>
        <w:pStyle w:val="9"/>
        <w:numPr>
          <w:ilvl w:val="255"/>
          <w:numId w:val="0"/>
        </w:numPr>
        <w:spacing w:line="288" w:lineRule="auto"/>
        <w:ind w:firstLine="422" w:firstLineChars="200"/>
        <w:rPr>
          <w:rFonts w:hAnsi="宋体" w:cs="宋体"/>
          <w:b/>
          <w:sz w:val="21"/>
          <w:szCs w:val="21"/>
        </w:rPr>
      </w:pPr>
    </w:p>
    <w:p>
      <w:pPr>
        <w:pStyle w:val="9"/>
        <w:numPr>
          <w:ilvl w:val="0"/>
          <w:numId w:val="1"/>
        </w:numPr>
        <w:spacing w:line="288" w:lineRule="auto"/>
        <w:ind w:firstLineChars="0"/>
        <w:rPr>
          <w:rFonts w:hAnsi="宋体" w:cs="宋体"/>
          <w:b/>
          <w:sz w:val="21"/>
          <w:szCs w:val="21"/>
        </w:rPr>
      </w:pPr>
      <w:r>
        <w:rPr>
          <w:rFonts w:hint="eastAsia" w:hAnsi="宋体" w:cs="宋体"/>
          <w:b/>
          <w:sz w:val="21"/>
          <w:szCs w:val="21"/>
        </w:rPr>
        <w:t>费率调整系数</w:t>
      </w:r>
    </w:p>
    <w:p>
      <w:pPr>
        <w:spacing w:line="312" w:lineRule="auto"/>
        <w:rPr>
          <w:rFonts w:hAnsi="宋体" w:cs="宋体"/>
          <w:b/>
          <w:sz w:val="21"/>
          <w:szCs w:val="21"/>
        </w:rPr>
      </w:pPr>
      <w:r>
        <w:rPr>
          <w:rFonts w:hint="eastAsia" w:hAnsi="宋体" w:cs="Arial"/>
          <w:sz w:val="21"/>
          <w:szCs w:val="21"/>
        </w:rPr>
        <w:t>1、规模调整系数：按渠道年度投保人数规模，进行划分</w:t>
      </w:r>
      <w:r>
        <w:rPr>
          <w:rFonts w:hAnsi="宋体" w:cs="宋体"/>
          <w:b/>
          <w:sz w:val="21"/>
          <w:szCs w:val="21"/>
        </w:rPr>
        <w:t xml:space="preserve"> </w:t>
      </w:r>
    </w:p>
    <w:tbl>
      <w:tblPr>
        <w:tblStyle w:val="5"/>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年度投保人数（N）（人）</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N&gt;</w:t>
            </w:r>
            <w:r>
              <w:rPr>
                <w:rFonts w:hAnsi="宋体" w:cs="宋体"/>
                <w:sz w:val="21"/>
                <w:szCs w:val="21"/>
              </w:rPr>
              <w:t>10000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Ansi="宋体" w:cs="宋体"/>
                <w:sz w:val="21"/>
                <w:szCs w:val="21"/>
              </w:rPr>
              <w:t>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Ansi="宋体" w:cs="宋体"/>
                <w:sz w:val="21"/>
                <w:szCs w:val="21"/>
              </w:rPr>
              <w:t>50</w:t>
            </w:r>
            <w:r>
              <w:rPr>
                <w:rFonts w:hint="eastAsia" w:hAnsi="宋体" w:cs="宋体"/>
                <w:sz w:val="21"/>
                <w:szCs w:val="21"/>
              </w:rPr>
              <w:t>00&lt;N≤1</w:t>
            </w:r>
            <w:r>
              <w:rPr>
                <w:rFonts w:hAnsi="宋体" w:cs="宋体"/>
                <w:sz w:val="21"/>
                <w:szCs w:val="21"/>
              </w:rPr>
              <w:t>00</w:t>
            </w:r>
            <w:r>
              <w:rPr>
                <w:rFonts w:hint="eastAsia" w:hAnsi="宋体" w:cs="宋体"/>
                <w:sz w:val="21"/>
                <w:szCs w:val="21"/>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w:t>
            </w:r>
            <w:r>
              <w:rPr>
                <w:rFonts w:hAnsi="宋体" w:cs="宋体"/>
                <w:sz w:val="21"/>
                <w:szCs w:val="21"/>
              </w:rPr>
              <w:t>.8</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Ansi="宋体" w:cs="宋体"/>
                <w:sz w:val="21"/>
                <w:szCs w:val="21"/>
              </w:rPr>
              <w:t>10</w:t>
            </w:r>
            <w:r>
              <w:rPr>
                <w:rFonts w:hint="eastAsia" w:hAnsi="宋体" w:cs="宋体"/>
                <w:sz w:val="21"/>
                <w:szCs w:val="21"/>
              </w:rPr>
              <w:t>00&lt;N≤</w:t>
            </w:r>
            <w:r>
              <w:rPr>
                <w:rFonts w:hAnsi="宋体" w:cs="宋体"/>
                <w:sz w:val="21"/>
                <w:szCs w:val="21"/>
              </w:rPr>
              <w:t>50</w:t>
            </w:r>
            <w:r>
              <w:rPr>
                <w:rFonts w:hint="eastAsia" w:hAnsi="宋体" w:cs="宋体"/>
                <w:sz w:val="21"/>
                <w:szCs w:val="21"/>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N≤</w:t>
            </w:r>
            <w:r>
              <w:rPr>
                <w:rFonts w:hAnsi="宋体" w:cs="宋体"/>
                <w:sz w:val="21"/>
                <w:szCs w:val="21"/>
              </w:rPr>
              <w:t>10</w:t>
            </w:r>
            <w:r>
              <w:rPr>
                <w:rFonts w:hint="eastAsia" w:hAnsi="宋体" w:cs="宋体"/>
                <w:sz w:val="21"/>
                <w:szCs w:val="21"/>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Ansi="宋体" w:cs="宋体"/>
                <w:sz w:val="21"/>
                <w:szCs w:val="21"/>
              </w:rPr>
              <w:t>1.0</w:t>
            </w:r>
          </w:p>
        </w:tc>
      </w:tr>
    </w:tbl>
    <w:p>
      <w:pPr>
        <w:spacing w:line="312" w:lineRule="auto"/>
        <w:rPr>
          <w:rFonts w:hAnsi="宋体" w:cs="宋体"/>
          <w:b/>
          <w:sz w:val="21"/>
          <w:szCs w:val="21"/>
        </w:rPr>
      </w:pPr>
      <w:r>
        <w:rPr>
          <w:rFonts w:hAnsi="宋体" w:cs="Arial"/>
          <w:sz w:val="21"/>
          <w:szCs w:val="21"/>
        </w:rPr>
        <w:t>2</w:t>
      </w:r>
      <w:r>
        <w:rPr>
          <w:rFonts w:hint="eastAsia" w:hAnsi="宋体" w:cs="Arial"/>
          <w:sz w:val="21"/>
          <w:szCs w:val="21"/>
        </w:rPr>
        <w:t>、预期保费规模调整系数：按预期年度保费规模，进行划分</w:t>
      </w:r>
    </w:p>
    <w:tbl>
      <w:tblPr>
        <w:tblStyle w:val="5"/>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预期保费规模（N）</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N&gt;1</w:t>
            </w:r>
            <w:r>
              <w:rPr>
                <w:rFonts w:hAnsi="宋体" w:cs="宋体"/>
                <w:sz w:val="21"/>
                <w:szCs w:val="21"/>
              </w:rPr>
              <w:t>00</w:t>
            </w:r>
            <w:r>
              <w:rPr>
                <w:rFonts w:hint="eastAsia" w:hAnsi="宋体" w:cs="宋体"/>
                <w:sz w:val="21"/>
                <w:szCs w:val="21"/>
              </w:rPr>
              <w:t>万元</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Ansi="宋体" w:cs="宋体"/>
                <w:sz w:val="21"/>
                <w:szCs w:val="21"/>
              </w:rPr>
              <w:t>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50万元&lt;N≤1</w:t>
            </w:r>
            <w:r>
              <w:rPr>
                <w:rFonts w:hAnsi="宋体" w:cs="宋体"/>
                <w:sz w:val="21"/>
                <w:szCs w:val="21"/>
              </w:rPr>
              <w:t>0</w:t>
            </w:r>
            <w:r>
              <w:rPr>
                <w:rFonts w:hint="eastAsia" w:hAnsi="宋体" w:cs="宋体"/>
                <w:sz w:val="21"/>
                <w:szCs w:val="21"/>
              </w:rPr>
              <w:t>0万元</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w:t>
            </w:r>
            <w:r>
              <w:rPr>
                <w:rFonts w:hAnsi="宋体" w:cs="宋体"/>
                <w:sz w:val="21"/>
                <w:szCs w:val="21"/>
              </w:rPr>
              <w:t>.8</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10万元&lt;N≤50万元</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5万元&lt;N≤10万元</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Ansi="宋体" w:cs="宋体"/>
                <w:sz w:val="21"/>
                <w:szCs w:val="21"/>
              </w:rPr>
              <w:t>1.0</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N≤5万元</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Ansi="宋体" w:cs="宋体"/>
                <w:sz w:val="21"/>
                <w:szCs w:val="21"/>
              </w:rPr>
              <w:t>1.1</w:t>
            </w:r>
          </w:p>
        </w:tc>
      </w:tr>
    </w:tbl>
    <w:p>
      <w:pPr>
        <w:numPr>
          <w:ilvl w:val="0"/>
          <w:numId w:val="2"/>
        </w:numPr>
        <w:spacing w:line="312" w:lineRule="auto"/>
        <w:rPr>
          <w:rFonts w:hAnsi="宋体" w:cs="Arial"/>
          <w:sz w:val="21"/>
          <w:szCs w:val="21"/>
        </w:rPr>
      </w:pPr>
      <w:r>
        <w:rPr>
          <w:rFonts w:hint="eastAsia" w:hAnsi="宋体" w:cs="Arial"/>
          <w:sz w:val="21"/>
          <w:szCs w:val="21"/>
        </w:rPr>
        <w:t>承保地区调整系数：按不同地区传染病疫情严重程度，进行划分</w:t>
      </w:r>
    </w:p>
    <w:tbl>
      <w:tblPr>
        <w:tblStyle w:val="5"/>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传染病疫情严重程度</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高</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（1.2,3.0]</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中</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（1.0,1.2]</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低</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[0.8,1.0]</w:t>
            </w:r>
          </w:p>
        </w:tc>
      </w:tr>
    </w:tbl>
    <w:p>
      <w:pPr>
        <w:spacing w:line="312" w:lineRule="auto"/>
        <w:rPr>
          <w:rFonts w:hAnsi="宋体" w:cs="宋体"/>
          <w:b/>
          <w:sz w:val="21"/>
          <w:szCs w:val="21"/>
        </w:rPr>
      </w:pPr>
      <w:r>
        <w:rPr>
          <w:rFonts w:hint="eastAsia" w:hAnsi="宋体" w:cs="Arial"/>
          <w:sz w:val="21"/>
          <w:szCs w:val="21"/>
        </w:rPr>
        <w:t>4、传染病类型调整系数：按传染病类型，进行划分</w:t>
      </w:r>
    </w:p>
    <w:tbl>
      <w:tblPr>
        <w:tblStyle w:val="5"/>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Arial"/>
                <w:sz w:val="21"/>
                <w:szCs w:val="21"/>
              </w:rPr>
              <w:t>传染病类型</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甲类（含需要采取甲类传染病预防控制措施的传染病）</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[1.0,1.5]</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乙类</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[0.8,1.0]</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丙类</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[0.7,0.8]</w:t>
            </w:r>
          </w:p>
        </w:tc>
      </w:tr>
    </w:tbl>
    <w:p>
      <w:pPr>
        <w:spacing w:line="312" w:lineRule="auto"/>
        <w:rPr>
          <w:rFonts w:hAnsi="宋体" w:cs="宋体"/>
          <w:b/>
          <w:sz w:val="21"/>
          <w:szCs w:val="21"/>
        </w:rPr>
      </w:pPr>
      <w:r>
        <w:rPr>
          <w:rFonts w:hint="eastAsia" w:hAnsi="宋体" w:cs="Arial"/>
          <w:sz w:val="21"/>
          <w:szCs w:val="21"/>
        </w:rPr>
        <w:t>5、环境风险调整系数：按被保险人工作生活的环境暴露情况，进行划分</w:t>
      </w:r>
    </w:p>
    <w:tbl>
      <w:tblPr>
        <w:tblStyle w:val="5"/>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工作生活环境人员密集度</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高</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（1.5,2</w:t>
            </w:r>
            <w:r>
              <w:rPr>
                <w:rFonts w:hAnsi="宋体" w:cs="宋体"/>
                <w:sz w:val="21"/>
                <w:szCs w:val="21"/>
              </w:rPr>
              <w:t>.0</w:t>
            </w:r>
            <w:r>
              <w:rPr>
                <w:rFonts w:hint="eastAsia" w:hAnsi="宋体" w:cs="宋体"/>
                <w:sz w:val="21"/>
                <w:szCs w:val="21"/>
              </w:rPr>
              <w:t>]</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中</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（1.0,1.5]</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低</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[0.7,1.0]</w:t>
            </w:r>
          </w:p>
        </w:tc>
      </w:tr>
    </w:tbl>
    <w:p>
      <w:pPr>
        <w:spacing w:line="312" w:lineRule="auto"/>
        <w:rPr>
          <w:rFonts w:hAnsi="宋体" w:cs="宋体"/>
          <w:b/>
          <w:sz w:val="21"/>
          <w:szCs w:val="21"/>
        </w:rPr>
      </w:pPr>
      <w:r>
        <w:rPr>
          <w:rFonts w:hint="eastAsia" w:hAnsi="宋体" w:cs="Arial"/>
          <w:sz w:val="21"/>
          <w:szCs w:val="21"/>
        </w:rPr>
        <w:t>6、等待期调整系数：按等待期天数，进行划分</w:t>
      </w:r>
    </w:p>
    <w:tbl>
      <w:tblPr>
        <w:tblStyle w:val="5"/>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Arial"/>
                <w:sz w:val="21"/>
                <w:szCs w:val="21"/>
              </w:rPr>
              <w:t>等待期天数</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30天-180天</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[0.5,0.6]</w:t>
            </w:r>
          </w:p>
        </w:tc>
      </w:tr>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16-30天</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(0.6,0.7]</w:t>
            </w:r>
          </w:p>
        </w:tc>
      </w:tr>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8-15天</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(0.7,0.9]</w:t>
            </w:r>
          </w:p>
        </w:tc>
      </w:tr>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0-7天</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(0.9,1.0]</w:t>
            </w:r>
          </w:p>
        </w:tc>
      </w:tr>
    </w:tbl>
    <w:p>
      <w:pPr>
        <w:spacing w:line="312" w:lineRule="auto"/>
        <w:rPr>
          <w:rFonts w:hAnsi="宋体" w:cs="宋体"/>
          <w:b/>
          <w:sz w:val="21"/>
          <w:szCs w:val="21"/>
        </w:rPr>
      </w:pPr>
      <w:r>
        <w:rPr>
          <w:rFonts w:hint="eastAsia" w:hAnsi="宋体" w:cs="Arial"/>
          <w:sz w:val="21"/>
          <w:szCs w:val="21"/>
        </w:rPr>
        <w:t>7、重大突发公共卫生事件等级响应调整系数：按重大突发公共卫生事件等级响应情况，进行划分</w:t>
      </w:r>
    </w:p>
    <w:tbl>
      <w:tblPr>
        <w:tblStyle w:val="5"/>
        <w:tblW w:w="4897" w:type="dxa"/>
        <w:jc w:val="center"/>
        <w:tblLayout w:type="fixed"/>
        <w:tblCellMar>
          <w:top w:w="0" w:type="dxa"/>
          <w:left w:w="108" w:type="dxa"/>
          <w:bottom w:w="0" w:type="dxa"/>
          <w:right w:w="108" w:type="dxa"/>
        </w:tblCellMar>
      </w:tblPr>
      <w:tblGrid>
        <w:gridCol w:w="3297"/>
        <w:gridCol w:w="1600"/>
      </w:tblGrid>
      <w:tr>
        <w:tblPrEx>
          <w:tblCellMar>
            <w:top w:w="0" w:type="dxa"/>
            <w:left w:w="108" w:type="dxa"/>
            <w:bottom w:w="0" w:type="dxa"/>
            <w:right w:w="108" w:type="dxa"/>
          </w:tblCellMar>
        </w:tblPrEx>
        <w:trPr>
          <w:trHeight w:val="300" w:hRule="atLeast"/>
          <w:jc w:val="center"/>
        </w:trPr>
        <w:tc>
          <w:tcPr>
            <w:tcW w:w="3297"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Arial"/>
                <w:sz w:val="21"/>
                <w:szCs w:val="21"/>
              </w:rPr>
              <w:t>重大突发公共卫生事件等级响应</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调整系数</w:t>
            </w:r>
          </w:p>
        </w:tc>
      </w:tr>
      <w:tr>
        <w:tblPrEx>
          <w:tblCellMar>
            <w:top w:w="0" w:type="dxa"/>
            <w:left w:w="108" w:type="dxa"/>
            <w:bottom w:w="0" w:type="dxa"/>
            <w:right w:w="108" w:type="dxa"/>
          </w:tblCellMar>
        </w:tblPrEx>
        <w:trPr>
          <w:trHeight w:val="300" w:hRule="atLeast"/>
          <w:jc w:val="center"/>
        </w:trPr>
        <w:tc>
          <w:tcPr>
            <w:tcW w:w="3297"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一般（Ⅳ级）</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w:t>
            </w:r>
            <w:r>
              <w:rPr>
                <w:rFonts w:hAnsi="宋体" w:cs="宋体"/>
                <w:sz w:val="21"/>
                <w:szCs w:val="21"/>
              </w:rPr>
              <w:t>.0</w:t>
            </w:r>
          </w:p>
        </w:tc>
      </w:tr>
      <w:tr>
        <w:tblPrEx>
          <w:tblCellMar>
            <w:top w:w="0" w:type="dxa"/>
            <w:left w:w="108" w:type="dxa"/>
            <w:bottom w:w="0" w:type="dxa"/>
            <w:right w:w="108" w:type="dxa"/>
          </w:tblCellMar>
        </w:tblPrEx>
        <w:trPr>
          <w:trHeight w:val="300" w:hRule="atLeast"/>
          <w:jc w:val="center"/>
        </w:trPr>
        <w:tc>
          <w:tcPr>
            <w:tcW w:w="3297"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较大（Ⅲ级）</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1.5</w:t>
            </w:r>
          </w:p>
        </w:tc>
      </w:tr>
      <w:tr>
        <w:tblPrEx>
          <w:tblCellMar>
            <w:top w:w="0" w:type="dxa"/>
            <w:left w:w="108" w:type="dxa"/>
            <w:bottom w:w="0" w:type="dxa"/>
            <w:right w:w="108" w:type="dxa"/>
          </w:tblCellMar>
        </w:tblPrEx>
        <w:trPr>
          <w:trHeight w:val="300" w:hRule="atLeast"/>
          <w:jc w:val="center"/>
        </w:trPr>
        <w:tc>
          <w:tcPr>
            <w:tcW w:w="3297"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重大（Ⅱ级）</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2</w:t>
            </w:r>
            <w:r>
              <w:rPr>
                <w:rFonts w:hAnsi="宋体" w:cs="宋体"/>
                <w:sz w:val="21"/>
                <w:szCs w:val="21"/>
              </w:rPr>
              <w:t>.0</w:t>
            </w:r>
          </w:p>
        </w:tc>
      </w:tr>
      <w:tr>
        <w:tblPrEx>
          <w:tblCellMar>
            <w:top w:w="0" w:type="dxa"/>
            <w:left w:w="108" w:type="dxa"/>
            <w:bottom w:w="0" w:type="dxa"/>
            <w:right w:w="108" w:type="dxa"/>
          </w:tblCellMar>
        </w:tblPrEx>
        <w:trPr>
          <w:trHeight w:val="300" w:hRule="atLeast"/>
          <w:jc w:val="center"/>
        </w:trPr>
        <w:tc>
          <w:tcPr>
            <w:tcW w:w="3297"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特别重大（Ⅰ级）</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2.5</w:t>
            </w:r>
          </w:p>
        </w:tc>
      </w:tr>
    </w:tbl>
    <w:p>
      <w:pPr>
        <w:spacing w:line="312" w:lineRule="auto"/>
        <w:rPr>
          <w:rFonts w:hAnsi="宋体" w:cs="宋体"/>
          <w:b/>
          <w:sz w:val="21"/>
          <w:szCs w:val="21"/>
        </w:rPr>
      </w:pPr>
      <w:r>
        <w:rPr>
          <w:rFonts w:hint="eastAsia" w:hAnsi="宋体" w:cs="Arial"/>
          <w:sz w:val="21"/>
          <w:szCs w:val="21"/>
        </w:rPr>
        <w:t>8、集中隔离津贴给付天数调整系数：按集中隔离津贴给付天数，进行划分</w:t>
      </w:r>
    </w:p>
    <w:tbl>
      <w:tblPr>
        <w:tblStyle w:val="5"/>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Arial"/>
                <w:sz w:val="21"/>
                <w:szCs w:val="21"/>
              </w:rPr>
              <w:t>集中隔离津贴给付天数</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7天</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14天</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0.8</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30天及以上</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hAnsi="宋体" w:cs="宋体"/>
                <w:sz w:val="21"/>
                <w:szCs w:val="21"/>
              </w:rPr>
            </w:pPr>
            <w:r>
              <w:rPr>
                <w:rFonts w:hint="eastAsia" w:hAnsi="宋体" w:cs="宋体"/>
                <w:sz w:val="21"/>
                <w:szCs w:val="21"/>
              </w:rPr>
              <w:t>[1.0,2.0]</w:t>
            </w:r>
          </w:p>
        </w:tc>
      </w:tr>
    </w:tbl>
    <w:p>
      <w:pPr>
        <w:numPr>
          <w:ilvl w:val="255"/>
          <w:numId w:val="0"/>
        </w:numPr>
        <w:rPr>
          <w:rFonts w:hAnsi="宋体" w:cs="Arial"/>
          <w:bCs/>
          <w:color w:val="000000"/>
          <w:kern w:val="2"/>
          <w:sz w:val="21"/>
          <w:szCs w:val="21"/>
          <w:lang w:bidi="ar"/>
        </w:rPr>
      </w:pPr>
      <w:r>
        <w:rPr>
          <w:rFonts w:hint="eastAsia" w:hAnsi="宋体" w:cs="Arial"/>
          <w:bCs/>
          <w:color w:val="000000"/>
          <w:kern w:val="2"/>
          <w:sz w:val="21"/>
          <w:szCs w:val="21"/>
        </w:rPr>
        <w:t>9.缴费方式调整系数：按保单约定的缴费方式，进行划分</w:t>
      </w:r>
    </w:p>
    <w:tbl>
      <w:tblPr>
        <w:tblStyle w:val="5"/>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hAnsi="宋体" w:cs="Arial"/>
                <w:bCs/>
                <w:color w:val="000000"/>
                <w:kern w:val="2"/>
                <w:sz w:val="21"/>
                <w:szCs w:val="21"/>
                <w:lang w:bidi="ar"/>
              </w:rPr>
            </w:pPr>
            <w:bookmarkStart w:id="0" w:name="OLE_LINK3"/>
            <w:r>
              <w:rPr>
                <w:rFonts w:hint="eastAsia" w:hAnsi="宋体" w:cs="Arial"/>
                <w:bCs/>
                <w:color w:val="000000"/>
                <w:kern w:val="2"/>
                <w:sz w:val="21"/>
                <w:szCs w:val="21"/>
                <w:lang w:bidi="ar"/>
              </w:rPr>
              <w:t>缴费方式</w:t>
            </w:r>
          </w:p>
        </w:tc>
        <w:tc>
          <w:tcPr>
            <w:tcW w:w="2850" w:type="dxa"/>
          </w:tcPr>
          <w:p>
            <w:pPr>
              <w:jc w:val="center"/>
              <w:rPr>
                <w:rFonts w:hAnsi="宋体" w:cs="Arial"/>
                <w:bCs/>
                <w:color w:val="000000"/>
                <w:kern w:val="2"/>
                <w:sz w:val="21"/>
                <w:szCs w:val="21"/>
                <w:lang w:bidi="ar"/>
              </w:rPr>
            </w:pPr>
            <w:r>
              <w:rPr>
                <w:rFonts w:hint="eastAsia" w:hAnsi="宋体" w:cs="Arial"/>
                <w:bCs/>
                <w:color w:val="000000"/>
                <w:kern w:val="2"/>
                <w:sz w:val="21"/>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hAnsi="宋体" w:cs="Arial"/>
                <w:bCs/>
                <w:color w:val="000000"/>
                <w:kern w:val="2"/>
                <w:sz w:val="21"/>
                <w:szCs w:val="21"/>
                <w:lang w:bidi="ar"/>
              </w:rPr>
            </w:pPr>
            <w:r>
              <w:rPr>
                <w:rFonts w:hint="eastAsia" w:hAnsi="宋体" w:cs="Arial"/>
                <w:bCs/>
                <w:color w:val="000000"/>
                <w:kern w:val="2"/>
                <w:sz w:val="21"/>
                <w:szCs w:val="21"/>
                <w:lang w:bidi="ar"/>
              </w:rPr>
              <w:t>按月缴费</w:t>
            </w:r>
          </w:p>
        </w:tc>
        <w:tc>
          <w:tcPr>
            <w:tcW w:w="2850" w:type="dxa"/>
          </w:tcPr>
          <w:p>
            <w:pPr>
              <w:jc w:val="center"/>
              <w:rPr>
                <w:rFonts w:hAnsi="宋体" w:cs="Arial"/>
                <w:bCs/>
                <w:color w:val="000000"/>
                <w:kern w:val="2"/>
                <w:sz w:val="21"/>
                <w:szCs w:val="21"/>
              </w:rPr>
            </w:pPr>
            <w:r>
              <w:rPr>
                <w:rFonts w:hint="eastAsia" w:hAnsi="宋体" w:cs="Arial"/>
                <w:bCs/>
                <w:color w:val="000000"/>
                <w:kern w:val="2"/>
                <w:sz w:val="21"/>
                <w:szCs w:val="21"/>
              </w:rPr>
              <w:t>[1.0,1.10]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hAnsi="宋体" w:cs="Arial"/>
                <w:bCs/>
                <w:color w:val="000000"/>
                <w:kern w:val="2"/>
                <w:sz w:val="21"/>
                <w:szCs w:val="21"/>
                <w:lang w:bidi="ar"/>
              </w:rPr>
            </w:pPr>
            <w:r>
              <w:rPr>
                <w:rFonts w:hint="eastAsia" w:hAnsi="宋体" w:cs="Arial"/>
                <w:bCs/>
                <w:color w:val="000000"/>
                <w:kern w:val="2"/>
                <w:sz w:val="21"/>
                <w:szCs w:val="21"/>
                <w:lang w:bidi="ar"/>
              </w:rPr>
              <w:t>按季缴费</w:t>
            </w:r>
          </w:p>
        </w:tc>
        <w:tc>
          <w:tcPr>
            <w:tcW w:w="2850" w:type="dxa"/>
          </w:tcPr>
          <w:p>
            <w:pPr>
              <w:jc w:val="center"/>
              <w:rPr>
                <w:rFonts w:hAnsi="宋体" w:cs="Arial"/>
                <w:bCs/>
                <w:color w:val="000000"/>
                <w:kern w:val="2"/>
                <w:sz w:val="21"/>
                <w:szCs w:val="21"/>
              </w:rPr>
            </w:pPr>
            <w:r>
              <w:rPr>
                <w:rFonts w:hint="eastAsia" w:hAnsi="宋体" w:cs="Arial"/>
                <w:bCs/>
                <w:color w:val="000000"/>
                <w:kern w:val="2"/>
                <w:sz w:val="21"/>
                <w:szCs w:val="21"/>
              </w:rPr>
              <w:t>[1.0,1.05]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hAnsi="宋体" w:cs="Arial"/>
                <w:bCs/>
                <w:color w:val="000000"/>
                <w:kern w:val="2"/>
                <w:sz w:val="21"/>
                <w:szCs w:val="21"/>
                <w:lang w:bidi="ar"/>
              </w:rPr>
            </w:pPr>
            <w:r>
              <w:rPr>
                <w:rFonts w:hint="eastAsia" w:hAnsi="宋体" w:cs="Arial"/>
                <w:bCs/>
                <w:color w:val="000000"/>
                <w:kern w:val="2"/>
                <w:sz w:val="21"/>
                <w:szCs w:val="21"/>
                <w:lang w:bidi="ar"/>
              </w:rPr>
              <w:t>一次性缴清</w:t>
            </w:r>
          </w:p>
        </w:tc>
        <w:tc>
          <w:tcPr>
            <w:tcW w:w="2850" w:type="dxa"/>
          </w:tcPr>
          <w:p>
            <w:pPr>
              <w:jc w:val="center"/>
              <w:rPr>
                <w:rFonts w:hAnsi="宋体" w:cs="Arial"/>
                <w:bCs/>
                <w:color w:val="000000"/>
                <w:kern w:val="2"/>
                <w:sz w:val="21"/>
                <w:szCs w:val="21"/>
              </w:rPr>
            </w:pPr>
            <w:r>
              <w:rPr>
                <w:rFonts w:hint="eastAsia" w:hAnsi="宋体" w:cs="Arial"/>
                <w:bCs/>
                <w:color w:val="000000"/>
                <w:kern w:val="2"/>
                <w:sz w:val="21"/>
                <w:szCs w:val="21"/>
              </w:rPr>
              <w:t>[0.95,1.0]</w:t>
            </w:r>
          </w:p>
        </w:tc>
      </w:tr>
      <w:bookmarkEnd w:id="0"/>
    </w:tbl>
    <w:p>
      <w:pPr>
        <w:spacing w:line="312" w:lineRule="auto"/>
        <w:rPr>
          <w:rFonts w:hAnsi="宋体" w:cs="Arial"/>
          <w:sz w:val="21"/>
          <w:szCs w:val="21"/>
        </w:rPr>
      </w:pPr>
    </w:p>
    <w:p>
      <w:pPr>
        <w:spacing w:line="312" w:lineRule="auto"/>
        <w:rPr>
          <w:rFonts w:hAnsi="宋体" w:cs="Arial"/>
          <w:sz w:val="21"/>
          <w:szCs w:val="21"/>
        </w:rPr>
      </w:pPr>
    </w:p>
    <w:p>
      <w:pPr>
        <w:pStyle w:val="9"/>
        <w:numPr>
          <w:ilvl w:val="0"/>
          <w:numId w:val="1"/>
        </w:numPr>
        <w:spacing w:line="288" w:lineRule="auto"/>
        <w:ind w:firstLineChars="0"/>
        <w:rPr>
          <w:rFonts w:hAnsi="宋体" w:cs="宋体"/>
          <w:b/>
          <w:sz w:val="21"/>
          <w:szCs w:val="21"/>
        </w:rPr>
      </w:pPr>
      <w:r>
        <w:rPr>
          <w:rFonts w:hint="eastAsia" w:hAnsi="宋体" w:cs="宋体"/>
          <w:b/>
          <w:sz w:val="21"/>
          <w:szCs w:val="21"/>
        </w:rPr>
        <w:t>保险费计算</w:t>
      </w:r>
      <w:bookmarkStart w:id="1" w:name="_GoBack"/>
      <w:bookmarkEnd w:id="1"/>
    </w:p>
    <w:p>
      <w:pPr>
        <w:spacing w:line="288" w:lineRule="auto"/>
        <w:ind w:firstLine="420" w:firstLineChars="200"/>
        <w:rPr>
          <w:rFonts w:hAnsi="宋体" w:cs="Arial"/>
          <w:sz w:val="21"/>
          <w:szCs w:val="21"/>
        </w:rPr>
      </w:pPr>
      <w:r>
        <w:rPr>
          <w:rFonts w:hint="eastAsia" w:hAnsi="宋体" w:cs="宋体"/>
          <w:sz w:val="21"/>
          <w:szCs w:val="21"/>
        </w:rPr>
        <w:t>1、特定传染病疾病保险责任年保险费＝特定传染病疾病保险金额×特定传染病疾病保险责任年基准保险费率×</w:t>
      </w:r>
      <w:r>
        <w:rPr>
          <w:rFonts w:hint="eastAsia" w:hAnsi="宋体" w:cs="Arial"/>
          <w:sz w:val="21"/>
          <w:szCs w:val="21"/>
        </w:rPr>
        <w:t>规模调整系数</w:t>
      </w:r>
      <w:r>
        <w:rPr>
          <w:rFonts w:hint="eastAsia" w:hAnsi="宋体" w:cs="宋体"/>
          <w:sz w:val="21"/>
          <w:szCs w:val="21"/>
        </w:rPr>
        <w:t>×</w:t>
      </w:r>
      <w:r>
        <w:rPr>
          <w:rFonts w:hint="eastAsia" w:hAnsi="宋体" w:cs="Arial"/>
          <w:sz w:val="21"/>
          <w:szCs w:val="21"/>
        </w:rPr>
        <w:t>预期保费规模调整系数</w:t>
      </w:r>
      <w:r>
        <w:rPr>
          <w:rFonts w:hint="eastAsia" w:hAnsi="宋体" w:cs="宋体"/>
          <w:sz w:val="21"/>
          <w:szCs w:val="21"/>
        </w:rPr>
        <w:t>×</w:t>
      </w:r>
      <w:r>
        <w:rPr>
          <w:rFonts w:hint="eastAsia" w:hAnsi="宋体" w:cs="Arial"/>
          <w:sz w:val="21"/>
          <w:szCs w:val="21"/>
        </w:rPr>
        <w:t>承保地区调整系数</w:t>
      </w:r>
      <w:r>
        <w:rPr>
          <w:rFonts w:hint="eastAsia" w:hAnsi="宋体" w:cs="宋体"/>
          <w:sz w:val="21"/>
          <w:szCs w:val="21"/>
        </w:rPr>
        <w:t>×</w:t>
      </w:r>
      <w:r>
        <w:rPr>
          <w:rFonts w:hint="eastAsia" w:hAnsi="宋体" w:cs="Arial"/>
          <w:sz w:val="21"/>
          <w:szCs w:val="21"/>
        </w:rPr>
        <w:t>传染病类型调整系数</w:t>
      </w:r>
      <w:r>
        <w:rPr>
          <w:rFonts w:hint="eastAsia" w:hAnsi="宋体" w:cs="宋体"/>
          <w:sz w:val="21"/>
          <w:szCs w:val="21"/>
        </w:rPr>
        <w:t>×</w:t>
      </w:r>
      <w:r>
        <w:rPr>
          <w:rFonts w:hint="eastAsia" w:hAnsi="宋体" w:cs="Arial"/>
          <w:sz w:val="21"/>
          <w:szCs w:val="21"/>
        </w:rPr>
        <w:t>环境风险调整系数</w:t>
      </w:r>
      <w:r>
        <w:rPr>
          <w:rFonts w:hint="eastAsia" w:hAnsi="宋体" w:cs="宋体"/>
          <w:sz w:val="21"/>
          <w:szCs w:val="21"/>
        </w:rPr>
        <w:t>×</w:t>
      </w:r>
      <w:r>
        <w:rPr>
          <w:rFonts w:hint="eastAsia" w:hAnsi="宋体" w:cs="Arial"/>
          <w:sz w:val="21"/>
          <w:szCs w:val="21"/>
        </w:rPr>
        <w:t>重大突发公共卫生事件等级响应调整系数</w:t>
      </w:r>
      <w:r>
        <w:rPr>
          <w:rFonts w:hint="eastAsia" w:hAnsi="宋体" w:cs="宋体"/>
          <w:sz w:val="21"/>
          <w:szCs w:val="21"/>
        </w:rPr>
        <w:t>×</w:t>
      </w:r>
      <w:r>
        <w:rPr>
          <w:rFonts w:hint="eastAsia" w:hAnsi="宋体" w:cs="Arial"/>
          <w:sz w:val="21"/>
          <w:szCs w:val="21"/>
        </w:rPr>
        <w:t>等待期调整系数</w:t>
      </w:r>
      <w:r>
        <w:rPr>
          <w:rFonts w:hint="eastAsia" w:hAnsi="宋体" w:cs="宋体"/>
          <w:sz w:val="21"/>
          <w:szCs w:val="21"/>
        </w:rPr>
        <w:t>×</w:t>
      </w:r>
      <w:r>
        <w:rPr>
          <w:rFonts w:hint="eastAsia" w:hAnsi="宋体" w:cs="Arial"/>
          <w:bCs/>
          <w:color w:val="000000"/>
          <w:kern w:val="2"/>
          <w:sz w:val="21"/>
          <w:szCs w:val="21"/>
        </w:rPr>
        <w:t>缴费方式调整系数</w:t>
      </w:r>
    </w:p>
    <w:p>
      <w:pPr>
        <w:spacing w:line="288" w:lineRule="auto"/>
        <w:ind w:firstLine="420" w:firstLineChars="200"/>
        <w:rPr>
          <w:rFonts w:hAnsi="宋体" w:cs="Arial"/>
          <w:sz w:val="21"/>
          <w:szCs w:val="21"/>
        </w:rPr>
      </w:pPr>
      <w:r>
        <w:rPr>
          <w:rFonts w:hint="eastAsia" w:hAnsi="宋体" w:cs="宋体"/>
          <w:sz w:val="21"/>
          <w:szCs w:val="21"/>
        </w:rPr>
        <w:t>特定传染病危重症保险责任年保险费=特定传染病危重症保险金额×特定传染病危重症保险责任年基准保险费率×</w:t>
      </w:r>
      <w:r>
        <w:rPr>
          <w:rFonts w:hint="eastAsia" w:hAnsi="宋体" w:cs="Arial"/>
          <w:sz w:val="21"/>
          <w:szCs w:val="21"/>
        </w:rPr>
        <w:t>规模调整系数</w:t>
      </w:r>
      <w:r>
        <w:rPr>
          <w:rFonts w:hint="eastAsia" w:hAnsi="宋体" w:cs="宋体"/>
          <w:sz w:val="21"/>
          <w:szCs w:val="21"/>
        </w:rPr>
        <w:t>×</w:t>
      </w:r>
      <w:r>
        <w:rPr>
          <w:rFonts w:hint="eastAsia" w:hAnsi="宋体" w:cs="Arial"/>
          <w:sz w:val="21"/>
          <w:szCs w:val="21"/>
        </w:rPr>
        <w:t>预期保费规模调整系数</w:t>
      </w:r>
      <w:r>
        <w:rPr>
          <w:rFonts w:hint="eastAsia" w:hAnsi="宋体" w:cs="宋体"/>
          <w:sz w:val="21"/>
          <w:szCs w:val="21"/>
        </w:rPr>
        <w:t>×</w:t>
      </w:r>
      <w:r>
        <w:rPr>
          <w:rFonts w:hint="eastAsia" w:hAnsi="宋体" w:cs="Arial"/>
          <w:sz w:val="21"/>
          <w:szCs w:val="21"/>
        </w:rPr>
        <w:t>承保地区调整系数</w:t>
      </w:r>
      <w:r>
        <w:rPr>
          <w:rFonts w:hint="eastAsia" w:hAnsi="宋体" w:cs="宋体"/>
          <w:sz w:val="21"/>
          <w:szCs w:val="21"/>
        </w:rPr>
        <w:t>×</w:t>
      </w:r>
      <w:r>
        <w:rPr>
          <w:rFonts w:hint="eastAsia" w:hAnsi="宋体" w:cs="Arial"/>
          <w:sz w:val="21"/>
          <w:szCs w:val="21"/>
        </w:rPr>
        <w:t>传染病类型调整系数</w:t>
      </w:r>
      <w:r>
        <w:rPr>
          <w:rFonts w:hint="eastAsia" w:hAnsi="宋体" w:cs="宋体"/>
          <w:sz w:val="21"/>
          <w:szCs w:val="21"/>
        </w:rPr>
        <w:t>×</w:t>
      </w:r>
      <w:r>
        <w:rPr>
          <w:rFonts w:hint="eastAsia" w:hAnsi="宋体" w:cs="Arial"/>
          <w:sz w:val="21"/>
          <w:szCs w:val="21"/>
        </w:rPr>
        <w:t>环境风险调整系数</w:t>
      </w:r>
      <w:r>
        <w:rPr>
          <w:rFonts w:hint="eastAsia" w:hAnsi="宋体" w:cs="宋体"/>
          <w:sz w:val="21"/>
          <w:szCs w:val="21"/>
        </w:rPr>
        <w:t>×</w:t>
      </w:r>
      <w:r>
        <w:rPr>
          <w:rFonts w:hint="eastAsia" w:hAnsi="宋体" w:cs="Arial"/>
          <w:sz w:val="21"/>
          <w:szCs w:val="21"/>
        </w:rPr>
        <w:t>重大突发公共卫生事件等级响应调整系数</w:t>
      </w:r>
      <w:r>
        <w:rPr>
          <w:rFonts w:hint="eastAsia" w:hAnsi="宋体" w:cs="宋体"/>
          <w:sz w:val="21"/>
          <w:szCs w:val="21"/>
        </w:rPr>
        <w:t>×</w:t>
      </w:r>
      <w:r>
        <w:rPr>
          <w:rFonts w:hint="eastAsia" w:hAnsi="宋体" w:cs="Arial"/>
          <w:sz w:val="21"/>
          <w:szCs w:val="21"/>
        </w:rPr>
        <w:t>等待期调整系数</w:t>
      </w:r>
      <w:r>
        <w:rPr>
          <w:rFonts w:hint="eastAsia" w:hAnsi="宋体" w:cs="宋体"/>
          <w:sz w:val="21"/>
          <w:szCs w:val="21"/>
        </w:rPr>
        <w:t>×</w:t>
      </w:r>
      <w:r>
        <w:rPr>
          <w:rFonts w:hint="eastAsia" w:hAnsi="宋体" w:cs="Arial"/>
          <w:bCs/>
          <w:color w:val="000000"/>
          <w:kern w:val="2"/>
          <w:sz w:val="21"/>
          <w:szCs w:val="21"/>
        </w:rPr>
        <w:t>缴费方式调整系数</w:t>
      </w:r>
    </w:p>
    <w:p>
      <w:pPr>
        <w:spacing w:line="288" w:lineRule="auto"/>
        <w:ind w:firstLine="420" w:firstLineChars="200"/>
        <w:rPr>
          <w:rFonts w:hint="eastAsia" w:hAnsi="宋体" w:cs="Arial"/>
          <w:bCs/>
          <w:color w:val="000000"/>
          <w:kern w:val="2"/>
          <w:sz w:val="21"/>
          <w:szCs w:val="21"/>
        </w:rPr>
      </w:pPr>
      <w:r>
        <w:rPr>
          <w:rFonts w:hint="eastAsia" w:hAnsi="宋体" w:cs="宋体"/>
          <w:sz w:val="21"/>
          <w:szCs w:val="21"/>
        </w:rPr>
        <w:t>特定传染病身故保险责任年保险费＝特定传染病身故保险金额×特定传染病身故保险责任年基准保险费率×</w:t>
      </w:r>
      <w:r>
        <w:rPr>
          <w:rFonts w:hint="eastAsia" w:hAnsi="宋体" w:cs="Arial"/>
          <w:sz w:val="21"/>
          <w:szCs w:val="21"/>
        </w:rPr>
        <w:t>规模调整系数</w:t>
      </w:r>
      <w:r>
        <w:rPr>
          <w:rFonts w:hint="eastAsia" w:hAnsi="宋体" w:cs="宋体"/>
          <w:sz w:val="21"/>
          <w:szCs w:val="21"/>
        </w:rPr>
        <w:t>×</w:t>
      </w:r>
      <w:r>
        <w:rPr>
          <w:rFonts w:hint="eastAsia" w:hAnsi="宋体" w:cs="Arial"/>
          <w:sz w:val="21"/>
          <w:szCs w:val="21"/>
        </w:rPr>
        <w:t>预期保费规模调整系数</w:t>
      </w:r>
      <w:r>
        <w:rPr>
          <w:rFonts w:hint="eastAsia" w:hAnsi="宋体" w:cs="宋体"/>
          <w:sz w:val="21"/>
          <w:szCs w:val="21"/>
        </w:rPr>
        <w:t>×</w:t>
      </w:r>
      <w:r>
        <w:rPr>
          <w:rFonts w:hint="eastAsia" w:hAnsi="宋体" w:cs="Arial"/>
          <w:sz w:val="21"/>
          <w:szCs w:val="21"/>
        </w:rPr>
        <w:t>承保地区调整系数</w:t>
      </w:r>
      <w:r>
        <w:rPr>
          <w:rFonts w:hint="eastAsia" w:hAnsi="宋体" w:cs="宋体"/>
          <w:sz w:val="21"/>
          <w:szCs w:val="21"/>
        </w:rPr>
        <w:t>×</w:t>
      </w:r>
      <w:r>
        <w:rPr>
          <w:rFonts w:hint="eastAsia" w:hAnsi="宋体" w:cs="Arial"/>
          <w:sz w:val="21"/>
          <w:szCs w:val="21"/>
        </w:rPr>
        <w:t>传染病类型调整系数</w:t>
      </w:r>
      <w:r>
        <w:rPr>
          <w:rFonts w:hint="eastAsia" w:hAnsi="宋体" w:cs="宋体"/>
          <w:sz w:val="21"/>
          <w:szCs w:val="21"/>
        </w:rPr>
        <w:t>×</w:t>
      </w:r>
      <w:r>
        <w:rPr>
          <w:rFonts w:hint="eastAsia" w:hAnsi="宋体" w:cs="Arial"/>
          <w:sz w:val="21"/>
          <w:szCs w:val="21"/>
        </w:rPr>
        <w:t>环境风险调整系数</w:t>
      </w:r>
      <w:r>
        <w:rPr>
          <w:rFonts w:hint="eastAsia" w:hAnsi="宋体" w:cs="宋体"/>
          <w:sz w:val="21"/>
          <w:szCs w:val="21"/>
        </w:rPr>
        <w:t>×</w:t>
      </w:r>
      <w:r>
        <w:rPr>
          <w:rFonts w:hint="eastAsia" w:hAnsi="宋体" w:cs="Arial"/>
          <w:sz w:val="21"/>
          <w:szCs w:val="21"/>
        </w:rPr>
        <w:t>重大突发公共卫生事件等级响应调整系数</w:t>
      </w:r>
      <w:r>
        <w:rPr>
          <w:rFonts w:hint="eastAsia" w:hAnsi="宋体" w:cs="宋体"/>
          <w:sz w:val="21"/>
          <w:szCs w:val="21"/>
        </w:rPr>
        <w:t>×</w:t>
      </w:r>
      <w:r>
        <w:rPr>
          <w:rFonts w:hint="eastAsia" w:hAnsi="宋体" w:cs="Arial"/>
          <w:sz w:val="21"/>
          <w:szCs w:val="21"/>
        </w:rPr>
        <w:t>等待期调整系数</w:t>
      </w:r>
      <w:r>
        <w:rPr>
          <w:rFonts w:hint="eastAsia" w:hAnsi="宋体" w:cs="宋体"/>
          <w:sz w:val="21"/>
          <w:szCs w:val="21"/>
        </w:rPr>
        <w:t>×</w:t>
      </w:r>
      <w:r>
        <w:rPr>
          <w:rFonts w:hint="eastAsia" w:hAnsi="宋体" w:cs="Arial"/>
          <w:bCs/>
          <w:color w:val="000000"/>
          <w:kern w:val="2"/>
          <w:sz w:val="21"/>
          <w:szCs w:val="21"/>
        </w:rPr>
        <w:t>缴费方式调整系数</w:t>
      </w:r>
    </w:p>
    <w:p>
      <w:pPr>
        <w:spacing w:line="288" w:lineRule="auto"/>
        <w:ind w:firstLine="420" w:firstLineChars="200"/>
        <w:rPr>
          <w:rFonts w:hint="eastAsia" w:hAnsi="宋体" w:cs="Arial"/>
          <w:bCs/>
          <w:color w:val="000000"/>
          <w:kern w:val="2"/>
          <w:sz w:val="21"/>
          <w:szCs w:val="21"/>
        </w:rPr>
      </w:pPr>
      <w:r>
        <w:rPr>
          <w:rFonts w:hint="eastAsia" w:hAnsi="宋体" w:cs="宋体"/>
          <w:sz w:val="21"/>
          <w:szCs w:val="21"/>
        </w:rPr>
        <w:t>特定传染病</w:t>
      </w:r>
      <w:r>
        <w:rPr>
          <w:rFonts w:hint="eastAsia" w:hAnsi="宋体" w:cs="宋体"/>
          <w:sz w:val="21"/>
          <w:szCs w:val="21"/>
          <w:lang w:val="en-US" w:eastAsia="zh-CN"/>
        </w:rPr>
        <w:t>全残</w:t>
      </w:r>
      <w:r>
        <w:rPr>
          <w:rFonts w:hint="eastAsia" w:hAnsi="宋体" w:cs="宋体"/>
          <w:sz w:val="21"/>
          <w:szCs w:val="21"/>
        </w:rPr>
        <w:t>保险责任年保险费＝特定传染病</w:t>
      </w:r>
      <w:r>
        <w:rPr>
          <w:rFonts w:hint="eastAsia" w:hAnsi="宋体" w:cs="宋体"/>
          <w:sz w:val="21"/>
          <w:szCs w:val="21"/>
          <w:lang w:val="en-US" w:eastAsia="zh-CN"/>
        </w:rPr>
        <w:t>全残</w:t>
      </w:r>
      <w:r>
        <w:rPr>
          <w:rFonts w:hint="eastAsia" w:hAnsi="宋体" w:cs="宋体"/>
          <w:sz w:val="21"/>
          <w:szCs w:val="21"/>
        </w:rPr>
        <w:t>保险金额×特定传染病</w:t>
      </w:r>
      <w:r>
        <w:rPr>
          <w:rFonts w:hint="eastAsia" w:hAnsi="宋体" w:cs="宋体"/>
          <w:sz w:val="21"/>
          <w:szCs w:val="21"/>
          <w:lang w:val="en-US" w:eastAsia="zh-CN"/>
        </w:rPr>
        <w:t>全残</w:t>
      </w:r>
      <w:r>
        <w:rPr>
          <w:rFonts w:hint="eastAsia" w:hAnsi="宋体" w:cs="宋体"/>
          <w:sz w:val="21"/>
          <w:szCs w:val="21"/>
        </w:rPr>
        <w:t>保险责任年基准保险费率×</w:t>
      </w:r>
      <w:r>
        <w:rPr>
          <w:rFonts w:hint="eastAsia" w:hAnsi="宋体" w:cs="Arial"/>
          <w:sz w:val="21"/>
          <w:szCs w:val="21"/>
        </w:rPr>
        <w:t>规模调整系数</w:t>
      </w:r>
      <w:r>
        <w:rPr>
          <w:rFonts w:hint="eastAsia" w:hAnsi="宋体" w:cs="宋体"/>
          <w:sz w:val="21"/>
          <w:szCs w:val="21"/>
        </w:rPr>
        <w:t>×</w:t>
      </w:r>
      <w:r>
        <w:rPr>
          <w:rFonts w:hint="eastAsia" w:hAnsi="宋体" w:cs="Arial"/>
          <w:sz w:val="21"/>
          <w:szCs w:val="21"/>
        </w:rPr>
        <w:t>预期保费规模调整系数</w:t>
      </w:r>
      <w:r>
        <w:rPr>
          <w:rFonts w:hint="eastAsia" w:hAnsi="宋体" w:cs="宋体"/>
          <w:sz w:val="21"/>
          <w:szCs w:val="21"/>
        </w:rPr>
        <w:t>×</w:t>
      </w:r>
      <w:r>
        <w:rPr>
          <w:rFonts w:hint="eastAsia" w:hAnsi="宋体" w:cs="Arial"/>
          <w:sz w:val="21"/>
          <w:szCs w:val="21"/>
        </w:rPr>
        <w:t>承保地区调整系数</w:t>
      </w:r>
      <w:r>
        <w:rPr>
          <w:rFonts w:hint="eastAsia" w:hAnsi="宋体" w:cs="宋体"/>
          <w:sz w:val="21"/>
          <w:szCs w:val="21"/>
        </w:rPr>
        <w:t>×</w:t>
      </w:r>
      <w:r>
        <w:rPr>
          <w:rFonts w:hint="eastAsia" w:hAnsi="宋体" w:cs="Arial"/>
          <w:sz w:val="21"/>
          <w:szCs w:val="21"/>
        </w:rPr>
        <w:t>传染病类型调整系数</w:t>
      </w:r>
      <w:r>
        <w:rPr>
          <w:rFonts w:hint="eastAsia" w:hAnsi="宋体" w:cs="宋体"/>
          <w:sz w:val="21"/>
          <w:szCs w:val="21"/>
        </w:rPr>
        <w:t>×</w:t>
      </w:r>
      <w:r>
        <w:rPr>
          <w:rFonts w:hint="eastAsia" w:hAnsi="宋体" w:cs="Arial"/>
          <w:sz w:val="21"/>
          <w:szCs w:val="21"/>
        </w:rPr>
        <w:t>环境风险调整系数</w:t>
      </w:r>
      <w:r>
        <w:rPr>
          <w:rFonts w:hint="eastAsia" w:hAnsi="宋体" w:cs="宋体"/>
          <w:sz w:val="21"/>
          <w:szCs w:val="21"/>
        </w:rPr>
        <w:t>×</w:t>
      </w:r>
      <w:r>
        <w:rPr>
          <w:rFonts w:hint="eastAsia" w:hAnsi="宋体" w:cs="Arial"/>
          <w:sz w:val="21"/>
          <w:szCs w:val="21"/>
        </w:rPr>
        <w:t>重大突发公共卫生事件等级响应调整系数</w:t>
      </w:r>
      <w:r>
        <w:rPr>
          <w:rFonts w:hint="eastAsia" w:hAnsi="宋体" w:cs="宋体"/>
          <w:sz w:val="21"/>
          <w:szCs w:val="21"/>
        </w:rPr>
        <w:t>×</w:t>
      </w:r>
      <w:r>
        <w:rPr>
          <w:rFonts w:hint="eastAsia" w:hAnsi="宋体" w:cs="Arial"/>
          <w:sz w:val="21"/>
          <w:szCs w:val="21"/>
        </w:rPr>
        <w:t>等待期调整系数</w:t>
      </w:r>
      <w:r>
        <w:rPr>
          <w:rFonts w:hint="eastAsia" w:hAnsi="宋体" w:cs="宋体"/>
          <w:sz w:val="21"/>
          <w:szCs w:val="21"/>
        </w:rPr>
        <w:t>×</w:t>
      </w:r>
      <w:r>
        <w:rPr>
          <w:rFonts w:hint="eastAsia" w:hAnsi="宋体" w:cs="Arial"/>
          <w:bCs/>
          <w:color w:val="000000"/>
          <w:kern w:val="2"/>
          <w:sz w:val="21"/>
          <w:szCs w:val="21"/>
        </w:rPr>
        <w:t>缴费方式调整系数</w:t>
      </w:r>
    </w:p>
    <w:p>
      <w:pPr>
        <w:spacing w:line="288" w:lineRule="auto"/>
        <w:ind w:firstLine="420" w:firstLineChars="200"/>
        <w:rPr>
          <w:rFonts w:hAnsi="宋体" w:cs="宋体"/>
          <w:sz w:val="21"/>
          <w:szCs w:val="21"/>
        </w:rPr>
      </w:pPr>
      <w:r>
        <w:rPr>
          <w:rFonts w:hint="eastAsia" w:hAnsi="宋体" w:cs="宋体"/>
          <w:sz w:val="21"/>
          <w:szCs w:val="21"/>
        </w:rPr>
        <w:t>特定传染病集中隔离津贴保险责任年保险费=特定传染病集中隔离津贴日给付保险金额×特定传染病集中隔离津贴保险责任年基准保险费率×</w:t>
      </w:r>
      <w:r>
        <w:rPr>
          <w:rFonts w:hint="eastAsia" w:hAnsi="宋体" w:cs="Arial"/>
          <w:sz w:val="21"/>
          <w:szCs w:val="21"/>
        </w:rPr>
        <w:t>规模调整系数</w:t>
      </w:r>
      <w:r>
        <w:rPr>
          <w:rFonts w:hint="eastAsia" w:hAnsi="宋体" w:cs="宋体"/>
          <w:sz w:val="21"/>
          <w:szCs w:val="21"/>
        </w:rPr>
        <w:t>×</w:t>
      </w:r>
      <w:r>
        <w:rPr>
          <w:rFonts w:hint="eastAsia" w:hAnsi="宋体" w:cs="Arial"/>
          <w:sz w:val="21"/>
          <w:szCs w:val="21"/>
        </w:rPr>
        <w:t>预期保费规模调整系数</w:t>
      </w:r>
      <w:r>
        <w:rPr>
          <w:rFonts w:hint="eastAsia" w:hAnsi="宋体" w:cs="宋体"/>
          <w:sz w:val="21"/>
          <w:szCs w:val="21"/>
        </w:rPr>
        <w:t>×</w:t>
      </w:r>
      <w:r>
        <w:rPr>
          <w:rFonts w:hint="eastAsia" w:hAnsi="宋体" w:cs="Arial"/>
          <w:sz w:val="21"/>
          <w:szCs w:val="21"/>
        </w:rPr>
        <w:t>承保地区调整系数</w:t>
      </w:r>
      <w:r>
        <w:rPr>
          <w:rFonts w:hint="eastAsia" w:hAnsi="宋体" w:cs="宋体"/>
          <w:sz w:val="21"/>
          <w:szCs w:val="21"/>
        </w:rPr>
        <w:t>×</w:t>
      </w:r>
      <w:r>
        <w:rPr>
          <w:rFonts w:hint="eastAsia" w:hAnsi="宋体" w:cs="Arial"/>
          <w:sz w:val="21"/>
          <w:szCs w:val="21"/>
        </w:rPr>
        <w:t>传染病类型调整系数</w:t>
      </w:r>
      <w:r>
        <w:rPr>
          <w:rFonts w:hint="eastAsia" w:hAnsi="宋体" w:cs="宋体"/>
          <w:sz w:val="21"/>
          <w:szCs w:val="21"/>
        </w:rPr>
        <w:t>×</w:t>
      </w:r>
      <w:r>
        <w:rPr>
          <w:rFonts w:hint="eastAsia" w:hAnsi="宋体" w:cs="Arial"/>
          <w:sz w:val="21"/>
          <w:szCs w:val="21"/>
        </w:rPr>
        <w:t>环境风险调整系数</w:t>
      </w:r>
      <w:r>
        <w:rPr>
          <w:rFonts w:hint="eastAsia" w:hAnsi="宋体" w:cs="宋体"/>
          <w:sz w:val="21"/>
          <w:szCs w:val="21"/>
        </w:rPr>
        <w:t>×</w:t>
      </w:r>
      <w:r>
        <w:rPr>
          <w:rFonts w:hint="eastAsia" w:hAnsi="宋体" w:cs="Arial"/>
          <w:sz w:val="21"/>
          <w:szCs w:val="21"/>
        </w:rPr>
        <w:t>重大突发公共卫生事件等级响应调整系数</w:t>
      </w:r>
      <w:r>
        <w:rPr>
          <w:rFonts w:hint="eastAsia" w:hAnsi="宋体" w:cs="宋体"/>
          <w:sz w:val="21"/>
          <w:szCs w:val="21"/>
        </w:rPr>
        <w:t>×</w:t>
      </w:r>
      <w:r>
        <w:rPr>
          <w:rFonts w:hint="eastAsia" w:hAnsi="宋体" w:cs="Arial"/>
          <w:sz w:val="21"/>
          <w:szCs w:val="21"/>
        </w:rPr>
        <w:t>等待期调整系数</w:t>
      </w:r>
      <w:r>
        <w:rPr>
          <w:rFonts w:hint="eastAsia" w:hAnsi="宋体" w:cs="宋体"/>
          <w:sz w:val="21"/>
          <w:szCs w:val="21"/>
        </w:rPr>
        <w:t>×集中</w:t>
      </w:r>
      <w:r>
        <w:rPr>
          <w:rFonts w:hint="eastAsia" w:hAnsi="宋体" w:cs="Arial"/>
          <w:sz w:val="21"/>
          <w:szCs w:val="21"/>
        </w:rPr>
        <w:t>隔离津贴给付天数调整系数</w:t>
      </w:r>
      <w:r>
        <w:rPr>
          <w:rFonts w:hint="eastAsia" w:hAnsi="宋体" w:cs="宋体"/>
          <w:sz w:val="21"/>
          <w:szCs w:val="21"/>
        </w:rPr>
        <w:t>×</w:t>
      </w:r>
      <w:r>
        <w:rPr>
          <w:rFonts w:hint="eastAsia" w:hAnsi="宋体" w:cs="Arial"/>
          <w:bCs/>
          <w:color w:val="000000"/>
          <w:kern w:val="2"/>
          <w:sz w:val="21"/>
          <w:szCs w:val="21"/>
        </w:rPr>
        <w:t>缴费方式调整系数</w:t>
      </w:r>
    </w:p>
    <w:p>
      <w:pPr>
        <w:spacing w:line="288" w:lineRule="auto"/>
        <w:ind w:firstLine="420" w:firstLineChars="200"/>
        <w:rPr>
          <w:rFonts w:hAnsi="宋体" w:cs="Arial"/>
          <w:sz w:val="21"/>
          <w:szCs w:val="21"/>
        </w:rPr>
      </w:pPr>
      <w:r>
        <w:rPr>
          <w:rFonts w:hint="eastAsia" w:hAnsi="宋体" w:cs="Arial"/>
          <w:sz w:val="21"/>
          <w:szCs w:val="21"/>
        </w:rPr>
        <w:t>被保险人年保险费为其选择投保的特定传染病保险责任年保险费之和</w:t>
      </w:r>
    </w:p>
    <w:p>
      <w:pPr>
        <w:spacing w:line="288" w:lineRule="auto"/>
        <w:ind w:firstLine="420" w:firstLineChars="200"/>
        <w:jc w:val="left"/>
        <w:rPr>
          <w:rFonts w:hAnsi="宋体" w:cs="Arial"/>
          <w:sz w:val="21"/>
          <w:szCs w:val="21"/>
        </w:rPr>
      </w:pPr>
      <w:r>
        <w:rPr>
          <w:rFonts w:hint="eastAsia" w:hAnsi="宋体" w:cs="宋体"/>
          <w:bCs/>
          <w:sz w:val="21"/>
          <w:szCs w:val="21"/>
        </w:rPr>
        <w:t>2、</w:t>
      </w:r>
      <w:r>
        <w:rPr>
          <w:rFonts w:hint="eastAsia" w:hAnsi="宋体" w:cs="Arial"/>
          <w:sz w:val="21"/>
          <w:szCs w:val="21"/>
        </w:rPr>
        <w:t>保险合同按分期缴付保险费，根据保险费分期支付期数，使用如下公式计收每期保险费：</w:t>
      </w:r>
    </w:p>
    <w:p>
      <w:pPr>
        <w:spacing w:line="288" w:lineRule="auto"/>
        <w:ind w:firstLine="420" w:firstLineChars="200"/>
        <w:jc w:val="left"/>
        <w:rPr>
          <w:rFonts w:hAnsi="宋体" w:cs="Arial"/>
          <w:sz w:val="21"/>
          <w:szCs w:val="21"/>
        </w:rPr>
      </w:pPr>
      <w:r>
        <w:rPr>
          <w:rFonts w:hint="eastAsia" w:hAnsi="宋体" w:cs="Arial"/>
          <w:sz w:val="21"/>
          <w:szCs w:val="21"/>
        </w:rPr>
        <w:t>每期保险费（按四舍五入计算）=年保险费÷分期缴费期数</w:t>
      </w:r>
    </w:p>
    <w:p>
      <w:pPr>
        <w:spacing w:after="100" w:afterAutospacing="1" w:line="288" w:lineRule="auto"/>
        <w:ind w:firstLine="420" w:firstLineChars="200"/>
        <w:rPr>
          <w:rFonts w:hAnsi="宋体" w:cs="Arial"/>
          <w:sz w:val="21"/>
          <w:szCs w:val="21"/>
        </w:rPr>
      </w:pPr>
      <w:r>
        <w:rPr>
          <w:rFonts w:hint="eastAsia" w:hAnsi="宋体" w:cs="Arial"/>
          <w:sz w:val="21"/>
          <w:szCs w:val="21"/>
        </w:rPr>
        <w:t>注：本产品涉及分期缴费，每期缴费金额一致。</w:t>
      </w:r>
    </w:p>
    <w:p>
      <w:pPr>
        <w:pStyle w:val="9"/>
        <w:numPr>
          <w:ilvl w:val="0"/>
          <w:numId w:val="1"/>
        </w:numPr>
        <w:spacing w:line="288" w:lineRule="auto"/>
        <w:ind w:firstLineChars="0"/>
        <w:rPr>
          <w:rFonts w:hAnsi="宋体" w:cs="宋体"/>
          <w:b/>
          <w:sz w:val="21"/>
          <w:szCs w:val="21"/>
        </w:rPr>
      </w:pPr>
      <w:r>
        <w:rPr>
          <w:rFonts w:hint="eastAsia" w:hAnsi="宋体" w:cs="宋体"/>
          <w:b/>
          <w:sz w:val="21"/>
          <w:szCs w:val="21"/>
        </w:rPr>
        <w:t>短期费率表</w:t>
      </w:r>
    </w:p>
    <w:p>
      <w:pPr>
        <w:adjustRightInd w:val="0"/>
        <w:snapToGrid w:val="0"/>
        <w:spacing w:line="288" w:lineRule="auto"/>
        <w:ind w:firstLine="482"/>
        <w:rPr>
          <w:rFonts w:hAnsi="宋体" w:cs="宋体"/>
          <w:sz w:val="21"/>
          <w:szCs w:val="21"/>
        </w:rPr>
      </w:pPr>
      <w:r>
        <w:rPr>
          <w:rFonts w:hint="eastAsia" w:hAnsi="宋体" w:cs="宋体"/>
          <w:sz w:val="21"/>
          <w:szCs w:val="21"/>
        </w:rPr>
        <w:t>1、保险期间不足一年的，按以下标准计算短期保险费：</w:t>
      </w:r>
    </w:p>
    <w:tbl>
      <w:tblPr>
        <w:tblStyle w:val="5"/>
        <w:tblW w:w="9453" w:type="dxa"/>
        <w:jc w:val="center"/>
        <w:tblLayout w:type="fixed"/>
        <w:tblCellMar>
          <w:top w:w="0" w:type="dxa"/>
          <w:left w:w="108" w:type="dxa"/>
          <w:bottom w:w="0" w:type="dxa"/>
          <w:right w:w="108" w:type="dxa"/>
        </w:tblCellMar>
      </w:tblPr>
      <w:tblGrid>
        <w:gridCol w:w="1255"/>
        <w:gridCol w:w="673"/>
        <w:gridCol w:w="673"/>
        <w:gridCol w:w="673"/>
        <w:gridCol w:w="673"/>
        <w:gridCol w:w="673"/>
        <w:gridCol w:w="673"/>
        <w:gridCol w:w="673"/>
        <w:gridCol w:w="673"/>
        <w:gridCol w:w="673"/>
        <w:gridCol w:w="673"/>
        <w:gridCol w:w="673"/>
        <w:gridCol w:w="795"/>
      </w:tblGrid>
      <w:tr>
        <w:tblPrEx>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保险期间（个月）</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1</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2</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3</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4</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5</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6</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7</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8</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9</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10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11</w:t>
            </w:r>
          </w:p>
        </w:tc>
        <w:tc>
          <w:tcPr>
            <w:tcW w:w="795"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12</w:t>
            </w:r>
          </w:p>
        </w:tc>
      </w:tr>
      <w:tr>
        <w:tblPrEx>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年保险费的百分比</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10%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20%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30%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40%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50%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60%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70%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80%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85%</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90%</w:t>
            </w:r>
          </w:p>
        </w:tc>
        <w:tc>
          <w:tcPr>
            <w:tcW w:w="673"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95%</w:t>
            </w:r>
          </w:p>
        </w:tc>
        <w:tc>
          <w:tcPr>
            <w:tcW w:w="795" w:type="dxa"/>
            <w:tcBorders>
              <w:top w:val="single" w:color="auto" w:sz="4" w:space="0"/>
              <w:left w:val="nil"/>
              <w:bottom w:val="single" w:color="auto" w:sz="4" w:space="0"/>
              <w:right w:val="single" w:color="auto" w:sz="4" w:space="0"/>
            </w:tcBorders>
            <w:vAlign w:val="center"/>
          </w:tcPr>
          <w:p>
            <w:pPr>
              <w:spacing w:line="288" w:lineRule="auto"/>
              <w:jc w:val="center"/>
              <w:rPr>
                <w:rFonts w:hAnsi="宋体" w:cs="宋体"/>
                <w:sz w:val="21"/>
                <w:szCs w:val="21"/>
              </w:rPr>
            </w:pPr>
            <w:r>
              <w:rPr>
                <w:rFonts w:hint="eastAsia" w:hAnsi="宋体" w:cs="宋体"/>
                <w:sz w:val="21"/>
                <w:szCs w:val="21"/>
              </w:rPr>
              <w:t>100%</w:t>
            </w:r>
          </w:p>
        </w:tc>
      </w:tr>
    </w:tbl>
    <w:p>
      <w:pPr>
        <w:adjustRightInd w:val="0"/>
        <w:snapToGrid w:val="0"/>
        <w:spacing w:line="360" w:lineRule="auto"/>
        <w:ind w:firstLine="482"/>
      </w:pPr>
      <w:r>
        <w:rPr>
          <w:rFonts w:hint="eastAsia" w:hAnsi="宋体" w:cs="宋体"/>
          <w:sz w:val="21"/>
          <w:szCs w:val="21"/>
        </w:rPr>
        <w:t>2、保险期间不足1个月的，按1个月来计算。</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C569D5"/>
    <w:multiLevelType w:val="singleLevel"/>
    <w:tmpl w:val="BEC569D5"/>
    <w:lvl w:ilvl="0" w:tentative="0">
      <w:start w:val="3"/>
      <w:numFmt w:val="decimal"/>
      <w:suff w:val="nothing"/>
      <w:lvlText w:val="%1、"/>
      <w:lvlJc w:val="left"/>
    </w:lvl>
  </w:abstractNum>
  <w:abstractNum w:abstractNumId="1">
    <w:nsid w:val="0BA44DD4"/>
    <w:multiLevelType w:val="multilevel"/>
    <w:tmpl w:val="0BA44DD4"/>
    <w:lvl w:ilvl="0" w:tentative="0">
      <w:start w:val="1"/>
      <w:numFmt w:val="japaneseCounting"/>
      <w:lvlText w:val="%1、"/>
      <w:lvlJc w:val="left"/>
      <w:pPr>
        <w:ind w:left="435" w:hanging="435"/>
      </w:pPr>
      <w:rPr>
        <w:rFonts w:hint="default" w:cs="Arial"/>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46E12"/>
    <w:rsid w:val="00207549"/>
    <w:rsid w:val="0087143E"/>
    <w:rsid w:val="00B2723F"/>
    <w:rsid w:val="00B82242"/>
    <w:rsid w:val="00FA0BA1"/>
    <w:rsid w:val="03A46E12"/>
    <w:rsid w:val="1078012E"/>
    <w:rsid w:val="15B67E7E"/>
    <w:rsid w:val="27B61572"/>
    <w:rsid w:val="38FB545F"/>
    <w:rsid w:val="4C8B08C0"/>
    <w:rsid w:val="4D93346B"/>
    <w:rsid w:val="53FA23CC"/>
    <w:rsid w:val="70467D49"/>
    <w:rsid w:val="7FC62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7">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annotation text"/>
    <w:basedOn w:val="1"/>
    <w:link w:val="10"/>
    <w:uiPriority w:val="0"/>
    <w:pPr>
      <w:jc w:val="left"/>
    </w:pPr>
  </w:style>
  <w:style w:type="paragraph" w:styleId="3">
    <w:name w:val="footer"/>
    <w:basedOn w:val="1"/>
    <w:uiPriority w:val="0"/>
    <w:pPr>
      <w:tabs>
        <w:tab w:val="center" w:pos="4153"/>
        <w:tab w:val="right" w:pos="8306"/>
      </w:tabs>
      <w:snapToGrid w:val="0"/>
      <w:jc w:val="left"/>
    </w:pPr>
    <w:rPr>
      <w:sz w:val="18"/>
    </w:rPr>
  </w:style>
  <w:style w:type="paragraph" w:styleId="4">
    <w:name w:val="annotation subject"/>
    <w:basedOn w:val="2"/>
    <w:next w:val="2"/>
    <w:link w:val="11"/>
    <w:uiPriority w:val="0"/>
    <w:rPr>
      <w:b/>
      <w:bCs/>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annotation reference"/>
    <w:basedOn w:val="7"/>
    <w:uiPriority w:val="0"/>
    <w:rPr>
      <w:sz w:val="21"/>
      <w:szCs w:val="21"/>
    </w:rPr>
  </w:style>
  <w:style w:type="paragraph" w:customStyle="1" w:styleId="9">
    <w:name w:val="列表段落2"/>
    <w:basedOn w:val="1"/>
    <w:qFormat/>
    <w:uiPriority w:val="34"/>
    <w:pPr>
      <w:ind w:firstLine="420" w:firstLineChars="200"/>
    </w:pPr>
  </w:style>
  <w:style w:type="character" w:customStyle="1" w:styleId="10">
    <w:name w:val="批注文字 字符"/>
    <w:basedOn w:val="7"/>
    <w:link w:val="2"/>
    <w:uiPriority w:val="0"/>
    <w:rPr>
      <w:rFonts w:ascii="宋体" w:hAnsi="Times New Roman" w:eastAsia="宋体" w:cs="Times New Roman"/>
      <w:sz w:val="34"/>
      <w:szCs w:val="22"/>
    </w:rPr>
  </w:style>
  <w:style w:type="character" w:customStyle="1" w:styleId="11">
    <w:name w:val="批注主题 字符"/>
    <w:basedOn w:val="10"/>
    <w:link w:val="4"/>
    <w:qFormat/>
    <w:uiPriority w:val="0"/>
    <w:rPr>
      <w:rFonts w:ascii="宋体" w:hAnsi="Times New Roman" w:eastAsia="宋体" w:cs="Times New Roman"/>
      <w:b/>
      <w:bCs/>
      <w:sz w:val="34"/>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281</Words>
  <Characters>1607</Characters>
  <Lines>13</Lines>
  <Paragraphs>3</Paragraphs>
  <TotalTime>0</TotalTime>
  <ScaleCrop>false</ScaleCrop>
  <LinksUpToDate>false</LinksUpToDate>
  <CharactersWithSpaces>1885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2021-12-01T03:44:00Z</dcterms:created>
  <dc:creator>吴伟宁</dc:creator>
  <cp:lastModifiedBy>Zixuan Shen</cp:lastModifiedBy>
  <dcterms:modified xsi:type="dcterms:W3CDTF">2022-03-18T09:30:32Z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DF665ECAE8734CE6B66B357F8CE47B99</vt:lpwstr>
  </property>
</Properties>
</file>