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12" w:lineRule="auto"/>
        <w:jc w:val="center"/>
        <w:rPr>
          <w:rFonts w:ascii="Times New Roman" w:cs="Arial"/>
          <w:b/>
          <w:kern w:val="2"/>
          <w:sz w:val="28"/>
          <w:szCs w:val="28"/>
        </w:rPr>
      </w:pPr>
      <w:r>
        <w:rPr>
          <w:rFonts w:hint="eastAsia" w:ascii="Times New Roman" w:cs="宋体"/>
          <w:b/>
          <w:kern w:val="2"/>
          <w:sz w:val="28"/>
          <w:szCs w:val="28"/>
          <w:lang w:bidi="ar"/>
        </w:rPr>
        <w:t>华农财产保险股份有限公司</w:t>
      </w:r>
    </w:p>
    <w:p>
      <w:pPr>
        <w:pStyle w:val="6"/>
        <w:adjustRightInd w:val="0"/>
        <w:snapToGrid w:val="0"/>
        <w:spacing w:before="0" w:beforeAutospacing="0" w:after="156" w:afterLines="50" w:afterAutospacing="0"/>
        <w:jc w:val="center"/>
        <w:outlineLvl w:val="1"/>
        <w:rPr>
          <w:rFonts w:cs="Arial"/>
          <w:b/>
          <w:kern w:val="2"/>
          <w:sz w:val="28"/>
          <w:szCs w:val="28"/>
        </w:rPr>
      </w:pPr>
      <w:r>
        <w:rPr>
          <w:rFonts w:hint="eastAsia" w:cs="Arial"/>
          <w:b/>
          <w:kern w:val="2"/>
          <w:sz w:val="28"/>
          <w:szCs w:val="28"/>
          <w:lang w:bidi="ar"/>
        </w:rPr>
        <w:t>附加扩展质子重离子医疗费用保险费率表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kern w:val="2"/>
          <w:sz w:val="21"/>
          <w:szCs w:val="21"/>
        </w:rPr>
      </w:pPr>
      <w:r>
        <w:rPr>
          <w:rFonts w:hint="eastAsia" w:cs="Arial"/>
          <w:b/>
          <w:kern w:val="2"/>
          <w:sz w:val="21"/>
          <w:szCs w:val="21"/>
          <w:lang w:bidi="ar"/>
        </w:rPr>
        <w:t xml:space="preserve"> </w:t>
      </w:r>
    </w:p>
    <w:p>
      <w:pPr>
        <w:numPr>
          <w:ilvl w:val="0"/>
          <w:numId w:val="1"/>
        </w:numPr>
        <w:spacing w:line="312" w:lineRule="auto"/>
        <w:ind w:left="680" w:left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年基准保险费</w:t>
      </w:r>
    </w:p>
    <w:p>
      <w:pPr>
        <w:spacing w:line="312" w:lineRule="auto"/>
        <w:jc w:val="center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单位：人民币元</w:t>
      </w:r>
    </w:p>
    <w:p>
      <w:pPr>
        <w:spacing w:line="312" w:lineRule="auto"/>
        <w:rPr>
          <w:rFonts w:hAnsi="宋体" w:cs="宋体"/>
          <w:kern w:val="2"/>
          <w:sz w:val="21"/>
          <w:szCs w:val="21"/>
        </w:rPr>
      </w:pPr>
    </w:p>
    <w:tbl>
      <w:tblPr>
        <w:tblStyle w:val="7"/>
        <w:tblW w:w="65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921"/>
        <w:gridCol w:w="853"/>
        <w:gridCol w:w="848"/>
        <w:gridCol w:w="849"/>
        <w:gridCol w:w="848"/>
        <w:gridCol w:w="8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保险金额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100万元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200万元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 xml:space="preserve">        社保情况</w:t>
            </w:r>
          </w:p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年龄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有社保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无社保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有社保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无社保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有社保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0-4周岁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45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50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5-10周岁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24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24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26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11-15周岁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15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16-20周岁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21-25周岁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26-30周岁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31-35周岁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13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36-40周岁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</w:tr>
      <w:tr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41-45周岁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38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46-50周岁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30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51-55周岁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31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34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34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37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56-60周岁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36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39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61-65周岁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52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52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58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58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64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64 </w:t>
            </w:r>
          </w:p>
        </w:tc>
      </w:tr>
      <w:tr>
        <w:trPr>
          <w:wAfter w:w="0" w:type="auto"/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66-70周岁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49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62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71-75周岁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46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53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59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76-80周岁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44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44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51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57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81-85周岁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86-90周岁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</w:tr>
      <w:tr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91-95周岁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18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96-100周岁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</w:tr>
    </w:tbl>
    <w:p>
      <w:pPr>
        <w:spacing w:line="312" w:lineRule="auto"/>
        <w:ind w:firstLine="630" w:firstLineChars="3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注：因质子重离子治疗目前未纳入社保报销范围，故有社保人员与无社保人员的保费一致。</w:t>
      </w:r>
    </w:p>
    <w:p>
      <w:pPr>
        <w:spacing w:line="312" w:lineRule="auto"/>
        <w:rPr>
          <w:rFonts w:hAnsi="宋体" w:cs="宋体"/>
          <w:kern w:val="2"/>
          <w:sz w:val="21"/>
          <w:szCs w:val="21"/>
        </w:rPr>
      </w:pPr>
    </w:p>
    <w:p>
      <w:pPr>
        <w:numPr>
          <w:ilvl w:val="0"/>
          <w:numId w:val="1"/>
        </w:numPr>
        <w:spacing w:line="312" w:lineRule="auto"/>
        <w:ind w:left="680" w:left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调整系数</w:t>
      </w:r>
    </w:p>
    <w:p>
      <w:pPr>
        <w:spacing w:line="312" w:lineRule="auto"/>
        <w:ind w:firstLine="420" w:firstLineChars="200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1、免赔额调整系数</w:t>
      </w:r>
    </w:p>
    <w:tbl>
      <w:tblPr>
        <w:tblStyle w:val="7"/>
        <w:tblW w:w="104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免赔额(元)</w:t>
            </w:r>
          </w:p>
        </w:tc>
        <w:tc>
          <w:tcPr>
            <w:tcW w:w="1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10000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15000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20000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调整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系数</w:t>
            </w:r>
          </w:p>
        </w:tc>
        <w:tc>
          <w:tcPr>
            <w:tcW w:w="1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 w:cs="Arial"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1.0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0.9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0.8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0.7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0.6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0.5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0.4</w:t>
            </w:r>
          </w:p>
        </w:tc>
      </w:tr>
    </w:tbl>
    <w:p>
      <w:pPr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2、赔付比例调整系数</w:t>
      </w:r>
    </w:p>
    <w:tbl>
      <w:tblPr>
        <w:tblStyle w:val="7"/>
        <w:tblW w:w="98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597"/>
        <w:gridCol w:w="1346"/>
        <w:gridCol w:w="1346"/>
        <w:gridCol w:w="1346"/>
        <w:gridCol w:w="1346"/>
        <w:gridCol w:w="13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赔付比例</w:t>
            </w:r>
          </w:p>
        </w:tc>
        <w:tc>
          <w:tcPr>
            <w:tcW w:w="15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（90%,100%]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（80%,90%]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（70%,80%]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（60%,70%]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（50%,60%]</w:t>
            </w:r>
          </w:p>
        </w:tc>
        <w:tc>
          <w:tcPr>
            <w:tcW w:w="13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≤50%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调整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系数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  <w:bookmarkStart w:id="0" w:name="_GoBack"/>
      <w:bookmarkEnd w:id="0"/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3、规模调整系数：按渠道年度投保人数规模，进行划分。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年度投保人数（N）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N&gt;1200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800&lt;N≤1200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300&lt;N≤800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N≤300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4、历史赔付率调整系数：按渠道近三年赔付率情况，进行划分。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1.5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1.0</w:t>
            </w:r>
          </w:p>
        </w:tc>
      </w:tr>
    </w:tbl>
    <w:p>
      <w:pPr>
        <w:spacing w:line="288" w:lineRule="auto"/>
        <w:ind w:firstLine="421"/>
        <w:rPr>
          <w:rFonts w:hint="eastAsia" w:hAnsi="宋体" w:cs="宋体"/>
          <w:b/>
          <w:kern w:val="2"/>
          <w:sz w:val="21"/>
          <w:szCs w:val="21"/>
          <w:lang w:bidi="ar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 xml:space="preserve"> </w:t>
      </w:r>
    </w:p>
    <w:p>
      <w:pPr>
        <w:spacing w:after="157" w:afterLines="50"/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5</w:t>
      </w:r>
      <w:r>
        <w:rPr>
          <w:rFonts w:hint="eastAsia" w:hAnsi="宋体" w:cs="宋体"/>
          <w:kern w:val="2"/>
          <w:sz w:val="21"/>
          <w:szCs w:val="21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等待期调整系数：按保单约定的等待期天数，进行划分。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eastAsia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0</w:t>
            </w:r>
            <w:r>
              <w:rPr>
                <w:rFonts w:hint="eastAsia" w:ascii="Times New Roman"/>
                <w:sz w:val="21"/>
              </w:rPr>
              <w:t>天（含）至</w:t>
            </w:r>
            <w:r>
              <w:rPr>
                <w:rFonts w:hint="eastAsia" w:ascii="Times New Roman"/>
                <w:sz w:val="21"/>
                <w:lang w:val="en-US" w:eastAsia="zh-CN"/>
              </w:rPr>
              <w:t>3</w:t>
            </w:r>
            <w:r>
              <w:rPr>
                <w:rFonts w:hint="eastAsia" w:ascii="Times New Roman"/>
                <w:sz w:val="21"/>
              </w:rPr>
              <w:t>0天（</w:t>
            </w:r>
            <w:r>
              <w:rPr>
                <w:rFonts w:hint="eastAsia" w:ascii="Times New Roman"/>
                <w:sz w:val="21"/>
                <w:lang w:val="en-US" w:eastAsia="zh-CN"/>
              </w:rPr>
              <w:t>不</w:t>
            </w:r>
            <w:r>
              <w:rPr>
                <w:rFonts w:hint="eastAsia" w:ascii="Times New Roman"/>
                <w:sz w:val="21"/>
              </w:rPr>
              <w:t>含）</w:t>
            </w:r>
          </w:p>
        </w:tc>
        <w:tc>
          <w:tcPr>
            <w:tcW w:w="2838" w:type="dxa"/>
            <w:vAlign w:val="top"/>
          </w:tcPr>
          <w:p>
            <w:pPr>
              <w:widowControl/>
              <w:spacing w:line="312" w:lineRule="auto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30</w:t>
            </w:r>
            <w:r>
              <w:rPr>
                <w:rFonts w:hint="eastAsia" w:ascii="Times New Roman"/>
                <w:sz w:val="21"/>
              </w:rPr>
              <w:t>天（含）至</w:t>
            </w:r>
            <w:r>
              <w:rPr>
                <w:rFonts w:hint="eastAsia" w:ascii="Times New Roman"/>
                <w:sz w:val="21"/>
                <w:lang w:val="en-US" w:eastAsia="zh-CN"/>
              </w:rPr>
              <w:t>9</w:t>
            </w:r>
            <w:r>
              <w:rPr>
                <w:rFonts w:hint="eastAsia" w:ascii="Times New Roman"/>
                <w:sz w:val="21"/>
              </w:rPr>
              <w:t>0天（</w:t>
            </w:r>
            <w:r>
              <w:rPr>
                <w:rFonts w:hint="eastAsia" w:ascii="Times New Roman"/>
                <w:sz w:val="21"/>
                <w:lang w:val="en-US" w:eastAsia="zh-CN"/>
              </w:rPr>
              <w:t>不</w:t>
            </w:r>
            <w:r>
              <w:rPr>
                <w:rFonts w:hint="eastAsia" w:ascii="Times New Roman"/>
                <w:sz w:val="21"/>
              </w:rPr>
              <w:t>含）</w:t>
            </w:r>
          </w:p>
        </w:tc>
        <w:tc>
          <w:tcPr>
            <w:tcW w:w="2838" w:type="dxa"/>
            <w:vAlign w:val="top"/>
          </w:tcPr>
          <w:p>
            <w:pPr>
              <w:widowControl/>
              <w:spacing w:line="312" w:lineRule="auto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[1.0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9</w:t>
            </w:r>
            <w:r>
              <w:rPr>
                <w:rFonts w:hint="eastAsia" w:ascii="Times New Roman"/>
                <w:sz w:val="21"/>
                <w:lang w:val="en-US" w:eastAsia="zh-CN"/>
              </w:rPr>
              <w:t>0</w:t>
            </w:r>
            <w:r>
              <w:rPr>
                <w:rFonts w:hint="eastAsia" w:ascii="Times New Roman"/>
                <w:sz w:val="21"/>
              </w:rPr>
              <w:t>天（含）至180天（含）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0]</w:t>
            </w:r>
          </w:p>
        </w:tc>
      </w:tr>
    </w:tbl>
    <w:p>
      <w:pPr>
        <w:spacing w:line="288" w:lineRule="auto"/>
        <w:rPr>
          <w:rFonts w:hint="eastAsia" w:hAnsi="宋体" w:cs="宋体"/>
          <w:b/>
          <w:kern w:val="2"/>
          <w:sz w:val="21"/>
          <w:szCs w:val="21"/>
        </w:rPr>
      </w:pPr>
    </w:p>
    <w:p>
      <w:pPr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三、保险费计算</w:t>
      </w:r>
    </w:p>
    <w:p>
      <w:pPr>
        <w:spacing w:line="360" w:lineRule="auto"/>
        <w:ind w:firstLine="420" w:firstLineChars="200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1、</w:t>
      </w:r>
      <w:r>
        <w:rPr>
          <w:rFonts w:hint="eastAsia" w:hAnsi="宋体" w:cs="Arial"/>
          <w:kern w:val="2"/>
          <w:sz w:val="21"/>
          <w:szCs w:val="21"/>
          <w:lang w:bidi="ar"/>
        </w:rPr>
        <w:t>年保险费=年基准保险费×免赔额调整系数×</w:t>
      </w:r>
      <w:r>
        <w:rPr>
          <w:rFonts w:hint="eastAsia" w:hAnsi="宋体" w:cs="宋体"/>
          <w:kern w:val="2"/>
          <w:sz w:val="21"/>
          <w:szCs w:val="21"/>
          <w:lang w:bidi="ar"/>
        </w:rPr>
        <w:t>赔付比例调整系数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</w:t>
      </w:r>
      <w:r>
        <w:rPr>
          <w:rFonts w:hint="eastAsia" w:hAnsi="宋体" w:cs="宋体"/>
          <w:kern w:val="2"/>
          <w:sz w:val="21"/>
          <w:szCs w:val="21"/>
          <w:lang w:bidi="ar"/>
        </w:rPr>
        <w:t>规模调整系数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×历史赔付率调整系数×等待期调整系数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color w:val="auto"/>
          <w:kern w:val="2"/>
          <w:sz w:val="21"/>
          <w:szCs w:val="21"/>
          <w:lang w:bidi="ar"/>
        </w:rPr>
      </w:pP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2、保险合同根据保险费分期支付期数，使用如下公式计收每期保险费：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color w:val="auto"/>
          <w:kern w:val="2"/>
          <w:sz w:val="21"/>
          <w:szCs w:val="21"/>
          <w:lang w:bidi="ar"/>
        </w:rPr>
      </w:pP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（1）对于首期保险费与其余每期保险费相同时：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color w:val="auto"/>
          <w:kern w:val="2"/>
          <w:sz w:val="21"/>
          <w:szCs w:val="21"/>
          <w:lang w:bidi="ar"/>
        </w:rPr>
      </w:pP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每期保险费</w:t>
      </w:r>
      <w:r>
        <w:rPr>
          <w:rFonts w:hint="eastAsia" w:hAnsi="宋体" w:cs="Arial"/>
          <w:color w:val="auto"/>
          <w:kern w:val="2"/>
          <w:sz w:val="21"/>
          <w:szCs w:val="21"/>
          <w:lang w:eastAsia="zh-CN" w:bidi="ar"/>
        </w:rPr>
        <w:t>（</w:t>
      </w:r>
      <w:r>
        <w:rPr>
          <w:rFonts w:hint="eastAsia" w:hAnsi="宋体" w:cs="Arial"/>
          <w:color w:val="auto"/>
          <w:kern w:val="2"/>
          <w:sz w:val="21"/>
          <w:szCs w:val="21"/>
          <w:lang w:val="en-US" w:eastAsia="zh-CN" w:bidi="ar"/>
        </w:rPr>
        <w:t>按四舍五入计算）</w:t>
      </w: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=保险合同总保费÷分期</w:t>
      </w:r>
      <w:r>
        <w:rPr>
          <w:rFonts w:hint="eastAsia" w:hAnsi="宋体" w:cs="Arial"/>
          <w:color w:val="auto"/>
          <w:kern w:val="2"/>
          <w:sz w:val="21"/>
          <w:szCs w:val="21"/>
          <w:lang w:val="en-US" w:eastAsia="zh-CN" w:bidi="ar"/>
        </w:rPr>
        <w:t>缴</w:t>
      </w: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费期数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color w:val="auto"/>
          <w:kern w:val="2"/>
          <w:sz w:val="21"/>
          <w:szCs w:val="21"/>
          <w:lang w:bidi="ar"/>
        </w:rPr>
      </w:pP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（2）对于首期保险费与其余每期保险费不同时：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color w:val="auto"/>
          <w:kern w:val="2"/>
          <w:sz w:val="21"/>
          <w:szCs w:val="21"/>
          <w:lang w:bidi="ar"/>
        </w:rPr>
      </w:pP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首期保险费由投保人和保险人双方约定；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color w:val="auto"/>
          <w:kern w:val="2"/>
          <w:sz w:val="21"/>
          <w:szCs w:val="21"/>
          <w:lang w:bidi="ar"/>
        </w:rPr>
      </w:pP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其余每期保险费</w:t>
      </w:r>
      <w:r>
        <w:rPr>
          <w:rFonts w:hint="eastAsia" w:hAnsi="宋体" w:cs="Arial"/>
          <w:color w:val="auto"/>
          <w:kern w:val="2"/>
          <w:sz w:val="21"/>
          <w:szCs w:val="21"/>
          <w:lang w:eastAsia="zh-CN" w:bidi="ar"/>
        </w:rPr>
        <w:t>（</w:t>
      </w:r>
      <w:r>
        <w:rPr>
          <w:rFonts w:hint="eastAsia" w:hAnsi="宋体" w:cs="Arial"/>
          <w:color w:val="auto"/>
          <w:kern w:val="2"/>
          <w:sz w:val="21"/>
          <w:szCs w:val="21"/>
          <w:lang w:val="en-US" w:eastAsia="zh-CN" w:bidi="ar"/>
        </w:rPr>
        <w:t>按四舍五入计算）</w:t>
      </w: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=（保险合同总保费-首期保险费）÷（分期</w:t>
      </w:r>
      <w:r>
        <w:rPr>
          <w:rFonts w:hint="eastAsia" w:hAnsi="宋体" w:cs="Arial"/>
          <w:color w:val="auto"/>
          <w:kern w:val="2"/>
          <w:sz w:val="21"/>
          <w:szCs w:val="21"/>
          <w:lang w:val="en-US" w:eastAsia="zh-CN" w:bidi="ar"/>
        </w:rPr>
        <w:t>缴</w:t>
      </w: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费期数-1）</w:t>
      </w:r>
    </w:p>
    <w:p>
      <w:pPr>
        <w:adjustRightInd w:val="0"/>
        <w:snapToGrid w:val="0"/>
        <w:spacing w:line="288" w:lineRule="auto"/>
        <w:rPr>
          <w:rFonts w:hAnsi="宋体" w:cs="宋体"/>
          <w:b/>
          <w:kern w:val="2"/>
          <w:sz w:val="21"/>
          <w:szCs w:val="21"/>
        </w:rPr>
      </w:pPr>
    </w:p>
    <w:p>
      <w:pPr>
        <w:adjustRightInd w:val="0"/>
        <w:snapToGrid w:val="0"/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四、短期费率表</w:t>
      </w:r>
    </w:p>
    <w:p>
      <w:pPr>
        <w:adjustRightInd w:val="0"/>
        <w:snapToGrid w:val="0"/>
        <w:spacing w:line="288" w:lineRule="auto"/>
        <w:ind w:firstLine="482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</w:t>
            </w:r>
          </w:p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</w:t>
            </w:r>
          </w:p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个</w:t>
            </w:r>
          </w:p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100%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537DE1"/>
    <w:multiLevelType w:val="multilevel"/>
    <w:tmpl w:val="5D537DE1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EAB"/>
    <w:rsid w:val="000E02DD"/>
    <w:rsid w:val="0011588E"/>
    <w:rsid w:val="001C0788"/>
    <w:rsid w:val="00591446"/>
    <w:rsid w:val="006134DB"/>
    <w:rsid w:val="006E218E"/>
    <w:rsid w:val="00761AA3"/>
    <w:rsid w:val="007E2AA3"/>
    <w:rsid w:val="009F66BF"/>
    <w:rsid w:val="00B27AFD"/>
    <w:rsid w:val="00B30ADA"/>
    <w:rsid w:val="00B64670"/>
    <w:rsid w:val="00B77AF6"/>
    <w:rsid w:val="00CF3027"/>
    <w:rsid w:val="00DD4888"/>
    <w:rsid w:val="0C6A13C7"/>
    <w:rsid w:val="1F9659D1"/>
    <w:rsid w:val="253845DE"/>
    <w:rsid w:val="260E4741"/>
    <w:rsid w:val="327B45ED"/>
    <w:rsid w:val="41117242"/>
    <w:rsid w:val="48EC1EAB"/>
    <w:rsid w:val="4A69563D"/>
    <w:rsid w:val="5AAB1555"/>
    <w:rsid w:val="5B2A40D1"/>
    <w:rsid w:val="636E388C"/>
    <w:rsid w:val="6489307C"/>
    <w:rsid w:val="6533069F"/>
    <w:rsid w:val="6F70294E"/>
    <w:rsid w:val="6FC80B0E"/>
    <w:rsid w:val="706B4839"/>
    <w:rsid w:val="72861B52"/>
    <w:rsid w:val="74EB2419"/>
    <w:rsid w:val="76F6353C"/>
    <w:rsid w:val="78904199"/>
    <w:rsid w:val="79003FCF"/>
    <w:rsid w:val="7E07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Char"/>
    <w:basedOn w:val="9"/>
    <w:link w:val="3"/>
    <w:uiPriority w:val="0"/>
    <w:rPr>
      <w:rFonts w:ascii="宋体"/>
      <w:sz w:val="18"/>
      <w:szCs w:val="18"/>
    </w:rPr>
  </w:style>
  <w:style w:type="character" w:customStyle="1" w:styleId="12">
    <w:name w:val="页眉 Char"/>
    <w:basedOn w:val="9"/>
    <w:link w:val="5"/>
    <w:qFormat/>
    <w:uiPriority w:val="0"/>
    <w:rPr>
      <w:rFonts w:ascii="宋体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276</Words>
  <Characters>1575</Characters>
  <Lines>13</Lines>
  <Paragraphs>3</Paragraphs>
  <TotalTime>2</TotalTime>
  <ScaleCrop>false</ScaleCrop>
  <LinksUpToDate>false</LinksUpToDate>
  <CharactersWithSpaces>1848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2019-08-11T07:53:00Z</dcterms:created>
  <dc:creator>Lenovo</dc:creator>
  <cp:lastModifiedBy>应艳萱</cp:lastModifiedBy>
  <dcterms:modified xsi:type="dcterms:W3CDTF">2021-04-28T09:10:47Z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FB345AFC305D4D99AEDE4120973B7A00</vt:lpwstr>
  </property>
</Properties>
</file>