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center"/>
        <w:rPr>
          <w:rFonts w:ascii="Times New Roman"/>
          <w:b/>
          <w:color w:val="auto"/>
          <w:sz w:val="28"/>
          <w:szCs w:val="24"/>
        </w:rPr>
      </w:pPr>
      <w:bookmarkStart w:id="0" w:name="_GoBack"/>
      <w:r>
        <w:rPr>
          <w:rFonts w:hint="eastAsia" w:ascii="Times New Roman"/>
          <w:b/>
          <w:color w:val="auto"/>
          <w:sz w:val="28"/>
          <w:szCs w:val="24"/>
        </w:rPr>
        <w:t>华农财产保险股份有限公司</w:t>
      </w:r>
    </w:p>
    <w:p>
      <w:pPr>
        <w:spacing w:after="156" w:afterLines="50"/>
        <w:jc w:val="center"/>
        <w:outlineLvl w:val="1"/>
        <w:rPr>
          <w:rFonts w:cs="Arial"/>
          <w:b/>
          <w:color w:val="auto"/>
          <w:kern w:val="2"/>
          <w:sz w:val="21"/>
          <w:szCs w:val="21"/>
        </w:rPr>
      </w:pPr>
      <w:r>
        <w:rPr>
          <w:rFonts w:hint="eastAsia" w:ascii="Times New Roman"/>
          <w:b/>
          <w:color w:val="auto"/>
          <w:sz w:val="28"/>
          <w:szCs w:val="24"/>
        </w:rPr>
        <w:t>附加特定传染病保险B款费率表</w:t>
      </w:r>
    </w:p>
    <w:p>
      <w:pPr>
        <w:pStyle w:val="8"/>
        <w:numPr>
          <w:ilvl w:val="0"/>
          <w:numId w:val="1"/>
        </w:numPr>
        <w:spacing w:line="312" w:lineRule="auto"/>
        <w:ind w:firstLineChars="0"/>
        <w:rPr>
          <w:rFonts w:hAnsi="宋体" w:cs="宋体"/>
          <w:color w:val="auto"/>
          <w:sz w:val="21"/>
          <w:szCs w:val="21"/>
        </w:rPr>
      </w:pPr>
      <w:r>
        <w:rPr>
          <w:rFonts w:hint="eastAsia" w:hAnsi="宋体" w:cs="Arial"/>
          <w:b/>
          <w:color w:val="auto"/>
          <w:sz w:val="21"/>
          <w:szCs w:val="21"/>
        </w:rPr>
        <w:t>年基准保险费率</w:t>
      </w:r>
    </w:p>
    <w:tbl>
      <w:tblPr>
        <w:tblStyle w:val="6"/>
        <w:tblW w:w="8087" w:type="dxa"/>
        <w:tblInd w:w="4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39"/>
        <w:gridCol w:w="4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39" w:type="dxa"/>
          </w:tcPr>
          <w:p>
            <w:pPr>
              <w:pStyle w:val="8"/>
              <w:spacing w:line="312" w:lineRule="auto"/>
              <w:ind w:firstLine="0" w:firstLineChars="0"/>
              <w:jc w:val="center"/>
              <w:rPr>
                <w:rFonts w:hAnsi="宋体" w:cs="宋体"/>
                <w:color w:val="auto"/>
                <w:sz w:val="21"/>
                <w:szCs w:val="21"/>
              </w:rPr>
            </w:pPr>
            <w:r>
              <w:rPr>
                <w:rFonts w:hint="eastAsia" w:hAnsi="宋体" w:cs="宋体"/>
                <w:b/>
                <w:color w:val="auto"/>
                <w:sz w:val="21"/>
                <w:szCs w:val="21"/>
              </w:rPr>
              <w:t>保险责任</w:t>
            </w:r>
          </w:p>
        </w:tc>
        <w:tc>
          <w:tcPr>
            <w:tcW w:w="4048" w:type="dxa"/>
          </w:tcPr>
          <w:p>
            <w:pPr>
              <w:pStyle w:val="8"/>
              <w:spacing w:line="312" w:lineRule="auto"/>
              <w:ind w:firstLine="0" w:firstLineChars="0"/>
              <w:jc w:val="center"/>
              <w:rPr>
                <w:rFonts w:hAnsi="宋体" w:cs="宋体"/>
                <w:color w:val="auto"/>
                <w:sz w:val="21"/>
                <w:szCs w:val="21"/>
              </w:rPr>
            </w:pPr>
            <w:r>
              <w:rPr>
                <w:rFonts w:hAnsi="宋体" w:cs="宋体"/>
                <w:b/>
                <w:bCs/>
                <w:color w:val="auto"/>
                <w:sz w:val="21"/>
                <w:szCs w:val="21"/>
              </w:rPr>
              <w:t>年基准保险费率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39" w:type="dxa"/>
          </w:tcPr>
          <w:p>
            <w:pPr>
              <w:pStyle w:val="8"/>
              <w:spacing w:line="312" w:lineRule="auto"/>
              <w:ind w:firstLine="0" w:firstLineChars="0"/>
              <w:jc w:val="center"/>
              <w:rPr>
                <w:rFonts w:hAnsi="宋体" w:cs="宋体"/>
                <w:color w:val="auto"/>
                <w:sz w:val="21"/>
                <w:szCs w:val="21"/>
              </w:rPr>
            </w:pPr>
            <w:r>
              <w:rPr>
                <w:rFonts w:hint="eastAsia" w:hAnsi="宋体" w:cs="宋体"/>
                <w:color w:val="auto"/>
                <w:sz w:val="21"/>
                <w:szCs w:val="21"/>
              </w:rPr>
              <w:t>特定传染病危重症保险责任</w:t>
            </w:r>
          </w:p>
        </w:tc>
        <w:tc>
          <w:tcPr>
            <w:tcW w:w="4048" w:type="dxa"/>
          </w:tcPr>
          <w:p>
            <w:pPr>
              <w:pStyle w:val="8"/>
              <w:spacing w:line="312" w:lineRule="auto"/>
              <w:ind w:firstLine="0" w:firstLineChars="0"/>
              <w:jc w:val="center"/>
              <w:rPr>
                <w:rFonts w:hAnsi="宋体" w:cs="宋体"/>
                <w:color w:val="auto"/>
                <w:sz w:val="21"/>
                <w:szCs w:val="21"/>
              </w:rPr>
            </w:pPr>
            <w:r>
              <w:rPr>
                <w:color w:val="auto"/>
                <w:sz w:val="21"/>
              </w:rPr>
              <w:t>0.</w:t>
            </w:r>
            <w:r>
              <w:rPr>
                <w:rFonts w:hint="eastAsia"/>
                <w:color w:val="auto"/>
                <w:sz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39" w:type="dxa"/>
          </w:tcPr>
          <w:p>
            <w:pPr>
              <w:pStyle w:val="8"/>
              <w:spacing w:line="312" w:lineRule="auto"/>
              <w:ind w:firstLine="0" w:firstLineChars="0"/>
              <w:jc w:val="center"/>
              <w:rPr>
                <w:rFonts w:hAnsi="宋体" w:cs="宋体"/>
                <w:color w:val="auto"/>
                <w:sz w:val="21"/>
                <w:szCs w:val="21"/>
              </w:rPr>
            </w:pPr>
            <w:r>
              <w:rPr>
                <w:rFonts w:hint="eastAsia" w:hAnsi="宋体" w:cs="宋体"/>
                <w:color w:val="auto"/>
                <w:sz w:val="21"/>
                <w:szCs w:val="21"/>
              </w:rPr>
              <w:t>特定传染病疾病保险责任</w:t>
            </w:r>
          </w:p>
        </w:tc>
        <w:tc>
          <w:tcPr>
            <w:tcW w:w="4048" w:type="dxa"/>
          </w:tcPr>
          <w:p>
            <w:pPr>
              <w:pStyle w:val="8"/>
              <w:spacing w:line="312" w:lineRule="auto"/>
              <w:ind w:firstLine="0" w:firstLineChars="0"/>
              <w:jc w:val="center"/>
              <w:rPr>
                <w:color w:val="auto"/>
                <w:sz w:val="21"/>
              </w:rPr>
            </w:pPr>
            <w:r>
              <w:rPr>
                <w:rFonts w:hint="eastAsia"/>
                <w:color w:val="auto"/>
                <w:sz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39" w:type="dxa"/>
          </w:tcPr>
          <w:p>
            <w:pPr>
              <w:pStyle w:val="8"/>
              <w:spacing w:line="312" w:lineRule="auto"/>
              <w:ind w:firstLine="0" w:firstLineChars="0"/>
              <w:jc w:val="center"/>
              <w:rPr>
                <w:rFonts w:hAnsi="宋体" w:cs="宋体"/>
                <w:color w:val="auto"/>
                <w:sz w:val="21"/>
                <w:szCs w:val="21"/>
              </w:rPr>
            </w:pPr>
            <w:r>
              <w:rPr>
                <w:rFonts w:hint="eastAsia" w:hAnsi="宋体" w:cs="宋体"/>
                <w:color w:val="auto"/>
                <w:sz w:val="21"/>
                <w:szCs w:val="21"/>
              </w:rPr>
              <w:t>特定传染病身故保险责任</w:t>
            </w:r>
          </w:p>
        </w:tc>
        <w:tc>
          <w:tcPr>
            <w:tcW w:w="4048" w:type="dxa"/>
          </w:tcPr>
          <w:p>
            <w:pPr>
              <w:pStyle w:val="8"/>
              <w:spacing w:line="312" w:lineRule="auto"/>
              <w:ind w:firstLine="0" w:firstLineChars="0"/>
              <w:jc w:val="center"/>
              <w:rPr>
                <w:color w:val="auto"/>
                <w:sz w:val="21"/>
              </w:rPr>
            </w:pPr>
            <w:r>
              <w:rPr>
                <w:rFonts w:hint="eastAsia"/>
                <w:color w:val="auto"/>
                <w:sz w:val="21"/>
              </w:rPr>
              <w:t>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39" w:type="dxa"/>
          </w:tcPr>
          <w:p>
            <w:pPr>
              <w:pStyle w:val="8"/>
              <w:spacing w:line="312" w:lineRule="auto"/>
              <w:ind w:firstLine="0" w:firstLineChars="0"/>
              <w:jc w:val="center"/>
              <w:rPr>
                <w:rFonts w:hAnsi="宋体" w:cs="宋体"/>
                <w:color w:val="auto"/>
                <w:sz w:val="21"/>
                <w:szCs w:val="21"/>
              </w:rPr>
            </w:pPr>
            <w:r>
              <w:rPr>
                <w:rFonts w:hint="eastAsia" w:hAnsi="宋体" w:cs="宋体"/>
                <w:color w:val="auto"/>
                <w:sz w:val="21"/>
                <w:szCs w:val="21"/>
              </w:rPr>
              <w:t>特定传染病隔离津贴保险责任</w:t>
            </w:r>
          </w:p>
        </w:tc>
        <w:tc>
          <w:tcPr>
            <w:tcW w:w="4048" w:type="dxa"/>
          </w:tcPr>
          <w:p>
            <w:pPr>
              <w:pStyle w:val="8"/>
              <w:spacing w:line="312" w:lineRule="auto"/>
              <w:ind w:firstLine="0" w:firstLineChars="0"/>
              <w:jc w:val="center"/>
              <w:rPr>
                <w:color w:val="auto"/>
                <w:sz w:val="21"/>
              </w:rPr>
            </w:pPr>
            <w:r>
              <w:rPr>
                <w:rFonts w:hint="eastAsia"/>
                <w:color w:val="auto"/>
                <w:sz w:val="21"/>
              </w:rPr>
              <w:t>6‰</w:t>
            </w:r>
          </w:p>
        </w:tc>
      </w:tr>
    </w:tbl>
    <w:p>
      <w:pPr>
        <w:pStyle w:val="8"/>
        <w:numPr>
          <w:ilvl w:val="255"/>
          <w:numId w:val="0"/>
        </w:numPr>
        <w:spacing w:line="288" w:lineRule="auto"/>
        <w:ind w:left="0" w:firstLine="422" w:firstLineChars="200"/>
        <w:rPr>
          <w:rFonts w:hAnsi="宋体" w:cs="宋体"/>
          <w:b/>
          <w:color w:val="auto"/>
          <w:sz w:val="21"/>
          <w:szCs w:val="21"/>
        </w:rPr>
      </w:pPr>
    </w:p>
    <w:p>
      <w:pPr>
        <w:pStyle w:val="8"/>
        <w:numPr>
          <w:ilvl w:val="0"/>
          <w:numId w:val="1"/>
        </w:numPr>
        <w:spacing w:line="288" w:lineRule="auto"/>
        <w:ind w:firstLineChars="0"/>
        <w:rPr>
          <w:rFonts w:hAnsi="宋体" w:cs="宋体"/>
          <w:b/>
          <w:color w:val="auto"/>
          <w:sz w:val="21"/>
          <w:szCs w:val="21"/>
        </w:rPr>
      </w:pPr>
      <w:r>
        <w:rPr>
          <w:rFonts w:hint="eastAsia" w:hAnsi="宋体" w:cs="宋体"/>
          <w:b/>
          <w:color w:val="auto"/>
          <w:sz w:val="21"/>
          <w:szCs w:val="21"/>
        </w:rPr>
        <w:t>费率调整系数（为以下调整系数之积）</w:t>
      </w:r>
    </w:p>
    <w:p>
      <w:pPr>
        <w:spacing w:line="312" w:lineRule="auto"/>
        <w:rPr>
          <w:rFonts w:hAnsi="宋体" w:cs="宋体"/>
          <w:b/>
          <w:color w:val="auto"/>
          <w:sz w:val="21"/>
          <w:szCs w:val="21"/>
        </w:rPr>
      </w:pPr>
      <w:r>
        <w:rPr>
          <w:rFonts w:hint="eastAsia" w:hAnsi="宋体" w:cs="Arial"/>
          <w:color w:val="auto"/>
          <w:sz w:val="21"/>
          <w:szCs w:val="21"/>
        </w:rPr>
        <w:t>1、规模调整系数：按渠道年度投保人数规模，进行划分</w:t>
      </w:r>
      <w:r>
        <w:rPr>
          <w:rFonts w:hAnsi="宋体" w:cs="宋体"/>
          <w:b/>
          <w:color w:val="auto"/>
          <w:sz w:val="21"/>
          <w:szCs w:val="21"/>
        </w:rPr>
        <w:t xml:space="preserve"> </w:t>
      </w:r>
    </w:p>
    <w:tbl>
      <w:tblPr>
        <w:tblStyle w:val="5"/>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年度投保人数（N）（人）</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调整系数</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N&gt;</w:t>
            </w:r>
            <w:r>
              <w:rPr>
                <w:rFonts w:hAnsi="宋体" w:cs="宋体"/>
                <w:color w:val="auto"/>
                <w:sz w:val="21"/>
                <w:szCs w:val="21"/>
              </w:rPr>
              <w:t>10000</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Ansi="宋体" w:cs="宋体"/>
                <w:color w:val="auto"/>
                <w:sz w:val="21"/>
                <w:szCs w:val="21"/>
              </w:rPr>
              <w:t>0.7</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Ansi="宋体" w:cs="宋体"/>
                <w:color w:val="auto"/>
                <w:sz w:val="21"/>
                <w:szCs w:val="21"/>
              </w:rPr>
              <w:t>50</w:t>
            </w:r>
            <w:r>
              <w:rPr>
                <w:rFonts w:hint="eastAsia" w:hAnsi="宋体" w:cs="宋体"/>
                <w:color w:val="auto"/>
                <w:sz w:val="21"/>
                <w:szCs w:val="21"/>
              </w:rPr>
              <w:t>00&lt;N≤1</w:t>
            </w:r>
            <w:r>
              <w:rPr>
                <w:rFonts w:hAnsi="宋体" w:cs="宋体"/>
                <w:color w:val="auto"/>
                <w:sz w:val="21"/>
                <w:szCs w:val="21"/>
              </w:rPr>
              <w:t>00</w:t>
            </w:r>
            <w:r>
              <w:rPr>
                <w:rFonts w:hint="eastAsia" w:hAnsi="宋体" w:cs="宋体"/>
                <w:color w:val="auto"/>
                <w:sz w:val="21"/>
                <w:szCs w:val="21"/>
              </w:rPr>
              <w:t>00</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0</w:t>
            </w:r>
            <w:r>
              <w:rPr>
                <w:rFonts w:hAnsi="宋体" w:cs="宋体"/>
                <w:color w:val="auto"/>
                <w:sz w:val="21"/>
                <w:szCs w:val="21"/>
              </w:rPr>
              <w:t>.8</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Ansi="宋体" w:cs="宋体"/>
                <w:color w:val="auto"/>
                <w:sz w:val="21"/>
                <w:szCs w:val="21"/>
              </w:rPr>
              <w:t>10</w:t>
            </w:r>
            <w:r>
              <w:rPr>
                <w:rFonts w:hint="eastAsia" w:hAnsi="宋体" w:cs="宋体"/>
                <w:color w:val="auto"/>
                <w:sz w:val="21"/>
                <w:szCs w:val="21"/>
              </w:rPr>
              <w:t>00&lt;N≤</w:t>
            </w:r>
            <w:r>
              <w:rPr>
                <w:rFonts w:hAnsi="宋体" w:cs="宋体"/>
                <w:color w:val="auto"/>
                <w:sz w:val="21"/>
                <w:szCs w:val="21"/>
              </w:rPr>
              <w:t>50</w:t>
            </w:r>
            <w:r>
              <w:rPr>
                <w:rFonts w:hint="eastAsia" w:hAnsi="宋体" w:cs="宋体"/>
                <w:color w:val="auto"/>
                <w:sz w:val="21"/>
                <w:szCs w:val="21"/>
              </w:rPr>
              <w:t>00</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0.9</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N≤</w:t>
            </w:r>
            <w:r>
              <w:rPr>
                <w:rFonts w:hAnsi="宋体" w:cs="宋体"/>
                <w:color w:val="auto"/>
                <w:sz w:val="21"/>
                <w:szCs w:val="21"/>
              </w:rPr>
              <w:t>10</w:t>
            </w:r>
            <w:r>
              <w:rPr>
                <w:rFonts w:hint="eastAsia" w:hAnsi="宋体" w:cs="宋体"/>
                <w:color w:val="auto"/>
                <w:sz w:val="21"/>
                <w:szCs w:val="21"/>
              </w:rPr>
              <w:t>00</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Ansi="宋体" w:cs="宋体"/>
                <w:color w:val="auto"/>
                <w:sz w:val="21"/>
                <w:szCs w:val="21"/>
              </w:rPr>
              <w:t>1.0</w:t>
            </w:r>
          </w:p>
        </w:tc>
      </w:tr>
    </w:tbl>
    <w:p>
      <w:pPr>
        <w:spacing w:line="312" w:lineRule="auto"/>
        <w:rPr>
          <w:rFonts w:hAnsi="宋体" w:cs="宋体"/>
          <w:b/>
          <w:color w:val="auto"/>
          <w:sz w:val="21"/>
          <w:szCs w:val="21"/>
        </w:rPr>
      </w:pPr>
      <w:r>
        <w:rPr>
          <w:rFonts w:hAnsi="宋体" w:cs="Arial"/>
          <w:color w:val="auto"/>
          <w:sz w:val="21"/>
          <w:szCs w:val="21"/>
        </w:rPr>
        <w:t>2</w:t>
      </w:r>
      <w:r>
        <w:rPr>
          <w:rFonts w:hint="eastAsia" w:hAnsi="宋体" w:cs="Arial"/>
          <w:color w:val="auto"/>
          <w:sz w:val="21"/>
          <w:szCs w:val="21"/>
        </w:rPr>
        <w:t>、预期保费规模调整系数：按预期年度保费规模，进行划分</w:t>
      </w:r>
    </w:p>
    <w:tbl>
      <w:tblPr>
        <w:tblStyle w:val="5"/>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预期保费规模（N）</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调整系数</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N&gt;1</w:t>
            </w:r>
            <w:r>
              <w:rPr>
                <w:rFonts w:hAnsi="宋体" w:cs="宋体"/>
                <w:color w:val="auto"/>
                <w:sz w:val="21"/>
                <w:szCs w:val="21"/>
              </w:rPr>
              <w:t>00</w:t>
            </w:r>
            <w:r>
              <w:rPr>
                <w:rFonts w:hint="eastAsia" w:hAnsi="宋体" w:cs="宋体"/>
                <w:color w:val="auto"/>
                <w:sz w:val="21"/>
                <w:szCs w:val="21"/>
              </w:rPr>
              <w:t>万元</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Ansi="宋体" w:cs="宋体"/>
                <w:color w:val="auto"/>
                <w:sz w:val="21"/>
                <w:szCs w:val="21"/>
              </w:rPr>
              <w:t>0.7</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50万元&lt;N≤1</w:t>
            </w:r>
            <w:r>
              <w:rPr>
                <w:rFonts w:hAnsi="宋体" w:cs="宋体"/>
                <w:color w:val="auto"/>
                <w:sz w:val="21"/>
                <w:szCs w:val="21"/>
              </w:rPr>
              <w:t>0</w:t>
            </w:r>
            <w:r>
              <w:rPr>
                <w:rFonts w:hint="eastAsia" w:hAnsi="宋体" w:cs="宋体"/>
                <w:color w:val="auto"/>
                <w:sz w:val="21"/>
                <w:szCs w:val="21"/>
              </w:rPr>
              <w:t>0万元</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0</w:t>
            </w:r>
            <w:r>
              <w:rPr>
                <w:rFonts w:hAnsi="宋体" w:cs="宋体"/>
                <w:color w:val="auto"/>
                <w:sz w:val="21"/>
                <w:szCs w:val="21"/>
              </w:rPr>
              <w:t>.8</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10万元&lt;N≤50万元</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0.9</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5万元&lt;N≤10万元</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Ansi="宋体" w:cs="宋体"/>
                <w:color w:val="auto"/>
                <w:sz w:val="21"/>
                <w:szCs w:val="21"/>
              </w:rPr>
              <w:t>1.0</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N≤5万元</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Ansi="宋体" w:cs="宋体"/>
                <w:color w:val="auto"/>
                <w:sz w:val="21"/>
                <w:szCs w:val="21"/>
              </w:rPr>
              <w:t>1.1</w:t>
            </w:r>
          </w:p>
        </w:tc>
      </w:tr>
    </w:tbl>
    <w:p>
      <w:pPr>
        <w:numPr>
          <w:ilvl w:val="0"/>
          <w:numId w:val="2"/>
        </w:numPr>
        <w:spacing w:line="312" w:lineRule="auto"/>
        <w:rPr>
          <w:rFonts w:hAnsi="宋体" w:cs="Arial"/>
          <w:color w:val="auto"/>
          <w:sz w:val="21"/>
          <w:szCs w:val="21"/>
        </w:rPr>
      </w:pPr>
      <w:r>
        <w:rPr>
          <w:rFonts w:hint="eastAsia" w:hAnsi="宋体" w:cs="Arial"/>
          <w:color w:val="auto"/>
          <w:sz w:val="21"/>
          <w:szCs w:val="21"/>
        </w:rPr>
        <w:t>承保地区调整系数：按不同地区传染病疫情严重程度，进行划分</w:t>
      </w:r>
    </w:p>
    <w:tbl>
      <w:tblPr>
        <w:tblStyle w:val="5"/>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传染病疫情严重程度</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调整系数</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高</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（1.2，3.0]</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中</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（1.0，1.2]</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低</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（0.8，1.0]</w:t>
            </w:r>
          </w:p>
        </w:tc>
      </w:tr>
    </w:tbl>
    <w:p>
      <w:pPr>
        <w:spacing w:line="312" w:lineRule="auto"/>
        <w:rPr>
          <w:rFonts w:hAnsi="宋体" w:cs="宋体"/>
          <w:b/>
          <w:color w:val="auto"/>
          <w:sz w:val="21"/>
          <w:szCs w:val="21"/>
        </w:rPr>
      </w:pPr>
      <w:r>
        <w:rPr>
          <w:rFonts w:hint="eastAsia" w:hAnsi="宋体" w:cs="Arial"/>
          <w:color w:val="auto"/>
          <w:sz w:val="21"/>
          <w:szCs w:val="21"/>
        </w:rPr>
        <w:t>4、传染病类型调整系数：按传染病类型，进行划分</w:t>
      </w:r>
    </w:p>
    <w:tbl>
      <w:tblPr>
        <w:tblStyle w:val="5"/>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Arial"/>
                <w:color w:val="auto"/>
                <w:sz w:val="21"/>
                <w:szCs w:val="21"/>
              </w:rPr>
              <w:t>传染病类型</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调整系数</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甲类（含需要采取甲类传染病预防控制措施的传染病）</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（1.5，2</w:t>
            </w:r>
            <w:r>
              <w:rPr>
                <w:rFonts w:hAnsi="宋体" w:cs="宋体"/>
                <w:color w:val="auto"/>
                <w:sz w:val="21"/>
                <w:szCs w:val="21"/>
              </w:rPr>
              <w:t>.0</w:t>
            </w:r>
            <w:r>
              <w:rPr>
                <w:rFonts w:hint="eastAsia" w:hAnsi="宋体" w:cs="宋体"/>
                <w:color w:val="auto"/>
                <w:sz w:val="21"/>
                <w:szCs w:val="21"/>
              </w:rPr>
              <w:t>]</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乙类</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（1.2，1.5]</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丙类</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（0.7，1.0]</w:t>
            </w:r>
          </w:p>
        </w:tc>
      </w:tr>
    </w:tbl>
    <w:p>
      <w:pPr>
        <w:spacing w:line="312" w:lineRule="auto"/>
        <w:rPr>
          <w:rFonts w:hAnsi="宋体" w:cs="宋体"/>
          <w:b/>
          <w:color w:val="auto"/>
          <w:sz w:val="21"/>
          <w:szCs w:val="21"/>
        </w:rPr>
      </w:pPr>
      <w:r>
        <w:rPr>
          <w:rFonts w:hint="eastAsia" w:hAnsi="宋体" w:cs="Arial"/>
          <w:color w:val="auto"/>
          <w:sz w:val="21"/>
          <w:szCs w:val="21"/>
        </w:rPr>
        <w:t>5、环境风险调整系数：按被保险人工作生活的环境暴露情况，进行划分</w:t>
      </w:r>
    </w:p>
    <w:tbl>
      <w:tblPr>
        <w:tblStyle w:val="5"/>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工作生活环境人员密集度</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调整系数</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高</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（1.5，2</w:t>
            </w:r>
            <w:r>
              <w:rPr>
                <w:rFonts w:hAnsi="宋体" w:cs="宋体"/>
                <w:color w:val="auto"/>
                <w:sz w:val="21"/>
                <w:szCs w:val="21"/>
              </w:rPr>
              <w:t>.0</w:t>
            </w:r>
            <w:r>
              <w:rPr>
                <w:rFonts w:hint="eastAsia" w:hAnsi="宋体" w:cs="宋体"/>
                <w:color w:val="auto"/>
                <w:sz w:val="21"/>
                <w:szCs w:val="21"/>
              </w:rPr>
              <w:t>]</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中</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（1.0，1.5]</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低</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（0.7，1.0]</w:t>
            </w:r>
          </w:p>
        </w:tc>
      </w:tr>
    </w:tbl>
    <w:p>
      <w:pPr>
        <w:spacing w:line="312" w:lineRule="auto"/>
        <w:rPr>
          <w:rFonts w:hAnsi="宋体" w:cs="宋体"/>
          <w:b/>
          <w:color w:val="auto"/>
          <w:sz w:val="21"/>
          <w:szCs w:val="21"/>
        </w:rPr>
      </w:pPr>
      <w:r>
        <w:rPr>
          <w:rFonts w:hint="eastAsia" w:hAnsi="宋体" w:cs="Arial"/>
          <w:color w:val="auto"/>
          <w:sz w:val="21"/>
          <w:szCs w:val="21"/>
        </w:rPr>
        <w:t>6、被保险人年龄调整系数：按被保险人年龄情况，进行划分</w:t>
      </w:r>
    </w:p>
    <w:tbl>
      <w:tblPr>
        <w:tblStyle w:val="5"/>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Arial"/>
                <w:color w:val="auto"/>
                <w:sz w:val="21"/>
                <w:szCs w:val="21"/>
              </w:rPr>
              <w:t>被保险人年龄N</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调整系数</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0≤N＜45周岁</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（0.8，1.0]</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45≤</w:t>
            </w:r>
            <w:r>
              <w:rPr>
                <w:rFonts w:hint="eastAsia" w:hAnsi="宋体" w:cs="Arial"/>
                <w:color w:val="auto"/>
                <w:sz w:val="21"/>
                <w:szCs w:val="21"/>
              </w:rPr>
              <w:t>N</w:t>
            </w:r>
            <w:r>
              <w:rPr>
                <w:rFonts w:hint="eastAsia" w:hAnsi="宋体" w:cs="宋体"/>
                <w:color w:val="auto"/>
                <w:sz w:val="21"/>
                <w:szCs w:val="21"/>
              </w:rPr>
              <w:t>＜65周岁</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（1.0，1.2]</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65周岁≤</w:t>
            </w:r>
            <w:r>
              <w:rPr>
                <w:rFonts w:hint="eastAsia" w:hAnsi="宋体" w:cs="Arial"/>
                <w:color w:val="auto"/>
                <w:sz w:val="21"/>
                <w:szCs w:val="21"/>
              </w:rPr>
              <w:t>N</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（1.2，1.5]</w:t>
            </w:r>
          </w:p>
        </w:tc>
      </w:tr>
    </w:tbl>
    <w:p>
      <w:pPr>
        <w:spacing w:line="312" w:lineRule="auto"/>
        <w:rPr>
          <w:rFonts w:hAnsi="宋体" w:cs="宋体"/>
          <w:b/>
          <w:color w:val="auto"/>
          <w:sz w:val="21"/>
          <w:szCs w:val="21"/>
        </w:rPr>
      </w:pPr>
      <w:r>
        <w:rPr>
          <w:rFonts w:hint="eastAsia" w:hAnsi="宋体" w:cs="Arial"/>
          <w:color w:val="auto"/>
          <w:sz w:val="21"/>
          <w:szCs w:val="21"/>
        </w:rPr>
        <w:t>7、重大突发公共卫生事件等级响应调整系数：按重大突发公共卫生事件等级响应情况，进行划分</w:t>
      </w:r>
    </w:p>
    <w:tbl>
      <w:tblPr>
        <w:tblStyle w:val="5"/>
        <w:tblW w:w="4897" w:type="dxa"/>
        <w:jc w:val="center"/>
        <w:tblLayout w:type="fixed"/>
        <w:tblCellMar>
          <w:top w:w="0" w:type="dxa"/>
          <w:left w:w="108" w:type="dxa"/>
          <w:bottom w:w="0" w:type="dxa"/>
          <w:right w:w="108" w:type="dxa"/>
        </w:tblCellMar>
      </w:tblPr>
      <w:tblGrid>
        <w:gridCol w:w="3297"/>
        <w:gridCol w:w="1600"/>
      </w:tblGrid>
      <w:tr>
        <w:tblPrEx>
          <w:tblCellMar>
            <w:top w:w="0" w:type="dxa"/>
            <w:left w:w="108" w:type="dxa"/>
            <w:bottom w:w="0" w:type="dxa"/>
            <w:right w:w="108" w:type="dxa"/>
          </w:tblCellMar>
        </w:tblPrEx>
        <w:trPr>
          <w:trHeight w:val="300" w:hRule="atLeast"/>
          <w:jc w:val="center"/>
        </w:trPr>
        <w:tc>
          <w:tcPr>
            <w:tcW w:w="3297"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Arial"/>
                <w:color w:val="auto"/>
                <w:sz w:val="21"/>
                <w:szCs w:val="21"/>
              </w:rPr>
              <w:t>重大突发公共卫生事件等级响应</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调整系数</w:t>
            </w:r>
          </w:p>
        </w:tc>
      </w:tr>
      <w:tr>
        <w:tblPrEx>
          <w:tblCellMar>
            <w:top w:w="0" w:type="dxa"/>
            <w:left w:w="108" w:type="dxa"/>
            <w:bottom w:w="0" w:type="dxa"/>
            <w:right w:w="108" w:type="dxa"/>
          </w:tblCellMar>
        </w:tblPrEx>
        <w:trPr>
          <w:trHeight w:val="300" w:hRule="atLeast"/>
          <w:jc w:val="center"/>
        </w:trPr>
        <w:tc>
          <w:tcPr>
            <w:tcW w:w="3297"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一般（Ⅳ级）</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1</w:t>
            </w:r>
            <w:r>
              <w:rPr>
                <w:rFonts w:hAnsi="宋体" w:cs="宋体"/>
                <w:color w:val="auto"/>
                <w:sz w:val="21"/>
                <w:szCs w:val="21"/>
              </w:rPr>
              <w:t>.0</w:t>
            </w:r>
          </w:p>
        </w:tc>
      </w:tr>
      <w:tr>
        <w:tblPrEx>
          <w:tblCellMar>
            <w:top w:w="0" w:type="dxa"/>
            <w:left w:w="108" w:type="dxa"/>
            <w:bottom w:w="0" w:type="dxa"/>
            <w:right w:w="108" w:type="dxa"/>
          </w:tblCellMar>
        </w:tblPrEx>
        <w:trPr>
          <w:trHeight w:val="300" w:hRule="atLeast"/>
          <w:jc w:val="center"/>
        </w:trPr>
        <w:tc>
          <w:tcPr>
            <w:tcW w:w="3297"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较大（Ⅲ级）</w:t>
            </w:r>
          </w:p>
        </w:tc>
        <w:tc>
          <w:tcPr>
            <w:tcW w:w="160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1.5</w:t>
            </w:r>
          </w:p>
        </w:tc>
      </w:tr>
      <w:tr>
        <w:tblPrEx>
          <w:tblCellMar>
            <w:top w:w="0" w:type="dxa"/>
            <w:left w:w="108" w:type="dxa"/>
            <w:bottom w:w="0" w:type="dxa"/>
            <w:right w:w="108" w:type="dxa"/>
          </w:tblCellMar>
        </w:tblPrEx>
        <w:trPr>
          <w:trHeight w:val="300" w:hRule="atLeast"/>
          <w:jc w:val="center"/>
        </w:trPr>
        <w:tc>
          <w:tcPr>
            <w:tcW w:w="3297"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重大（Ⅱ级）</w:t>
            </w:r>
          </w:p>
        </w:tc>
        <w:tc>
          <w:tcPr>
            <w:tcW w:w="160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2</w:t>
            </w:r>
            <w:r>
              <w:rPr>
                <w:rFonts w:hAnsi="宋体" w:cs="宋体"/>
                <w:color w:val="auto"/>
                <w:sz w:val="21"/>
                <w:szCs w:val="21"/>
              </w:rPr>
              <w:t>.0</w:t>
            </w:r>
          </w:p>
        </w:tc>
      </w:tr>
      <w:tr>
        <w:tblPrEx>
          <w:tblCellMar>
            <w:top w:w="0" w:type="dxa"/>
            <w:left w:w="108" w:type="dxa"/>
            <w:bottom w:w="0" w:type="dxa"/>
            <w:right w:w="108" w:type="dxa"/>
          </w:tblCellMar>
        </w:tblPrEx>
        <w:trPr>
          <w:trHeight w:val="300" w:hRule="atLeast"/>
          <w:jc w:val="center"/>
        </w:trPr>
        <w:tc>
          <w:tcPr>
            <w:tcW w:w="3297"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特别重大（Ⅰ级）</w:t>
            </w:r>
          </w:p>
        </w:tc>
        <w:tc>
          <w:tcPr>
            <w:tcW w:w="160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color w:val="auto"/>
                <w:sz w:val="21"/>
                <w:szCs w:val="21"/>
              </w:rPr>
            </w:pPr>
            <w:r>
              <w:rPr>
                <w:rFonts w:hint="eastAsia" w:hAnsi="宋体" w:cs="宋体"/>
                <w:color w:val="auto"/>
                <w:sz w:val="21"/>
                <w:szCs w:val="21"/>
              </w:rPr>
              <w:t>2.5</w:t>
            </w:r>
          </w:p>
        </w:tc>
      </w:tr>
    </w:tbl>
    <w:p>
      <w:pPr>
        <w:pStyle w:val="8"/>
        <w:numPr>
          <w:ilvl w:val="0"/>
          <w:numId w:val="1"/>
        </w:numPr>
        <w:spacing w:line="288" w:lineRule="auto"/>
        <w:ind w:firstLineChars="0"/>
        <w:rPr>
          <w:rFonts w:hAnsi="宋体" w:cs="宋体"/>
          <w:b/>
          <w:color w:val="auto"/>
          <w:sz w:val="21"/>
          <w:szCs w:val="21"/>
        </w:rPr>
      </w:pPr>
      <w:r>
        <w:rPr>
          <w:rFonts w:hint="eastAsia" w:hAnsi="宋体" w:cs="宋体"/>
          <w:b/>
          <w:color w:val="auto"/>
          <w:sz w:val="21"/>
          <w:szCs w:val="21"/>
        </w:rPr>
        <w:t>保险费计算</w:t>
      </w:r>
    </w:p>
    <w:p>
      <w:pPr>
        <w:spacing w:line="288" w:lineRule="auto"/>
        <w:ind w:firstLine="420" w:firstLineChars="200"/>
        <w:rPr>
          <w:rFonts w:hAnsi="宋体" w:cs="Arial"/>
          <w:color w:val="auto"/>
          <w:sz w:val="21"/>
          <w:szCs w:val="21"/>
        </w:rPr>
      </w:pPr>
      <w:r>
        <w:rPr>
          <w:rFonts w:hint="eastAsia" w:hAnsi="宋体" w:cs="宋体"/>
          <w:color w:val="auto"/>
          <w:sz w:val="21"/>
          <w:szCs w:val="21"/>
        </w:rPr>
        <w:t>特定传染病危重症保险责任年保险费=特定传染病危重症保险金额×特定传染病危重症保险责任年基准保险费率×费率调整系数</w:t>
      </w:r>
    </w:p>
    <w:p>
      <w:pPr>
        <w:spacing w:line="288" w:lineRule="auto"/>
        <w:ind w:firstLine="420" w:firstLineChars="200"/>
        <w:rPr>
          <w:rFonts w:hAnsi="宋体" w:cs="Arial"/>
          <w:color w:val="auto"/>
          <w:sz w:val="21"/>
          <w:szCs w:val="21"/>
        </w:rPr>
      </w:pPr>
      <w:r>
        <w:rPr>
          <w:rFonts w:hint="eastAsia" w:hAnsi="宋体" w:cs="宋体"/>
          <w:color w:val="auto"/>
          <w:sz w:val="21"/>
          <w:szCs w:val="21"/>
        </w:rPr>
        <w:t>特定传染病疾病保险责任年保险费＝特定传染病疾病保险金额×特定传染病疾病保险责任年基准保险费率×费率调整系数</w:t>
      </w:r>
    </w:p>
    <w:p>
      <w:pPr>
        <w:spacing w:line="288" w:lineRule="auto"/>
        <w:ind w:firstLine="420" w:firstLineChars="200"/>
        <w:rPr>
          <w:rFonts w:hAnsi="宋体" w:cs="宋体"/>
          <w:color w:val="auto"/>
          <w:sz w:val="21"/>
          <w:szCs w:val="21"/>
        </w:rPr>
      </w:pPr>
      <w:r>
        <w:rPr>
          <w:rFonts w:hint="eastAsia" w:hAnsi="宋体" w:cs="宋体"/>
          <w:color w:val="auto"/>
          <w:sz w:val="21"/>
          <w:szCs w:val="21"/>
        </w:rPr>
        <w:t>特定传染病身故保险责任年保险费＝特定传染病身故保险金额×特定传染病身故保险责任年基准保险费率×费率调整系数</w:t>
      </w:r>
    </w:p>
    <w:p>
      <w:pPr>
        <w:spacing w:line="288" w:lineRule="auto"/>
        <w:ind w:firstLine="420" w:firstLineChars="200"/>
        <w:rPr>
          <w:rFonts w:hAnsi="宋体" w:cs="宋体"/>
          <w:color w:val="auto"/>
          <w:sz w:val="21"/>
          <w:szCs w:val="21"/>
        </w:rPr>
      </w:pPr>
      <w:r>
        <w:rPr>
          <w:rFonts w:hint="eastAsia" w:hAnsi="宋体" w:cs="宋体"/>
          <w:color w:val="auto"/>
          <w:sz w:val="21"/>
          <w:szCs w:val="21"/>
        </w:rPr>
        <w:t>特定传染病隔离津贴保险责任年保险费=特定传染病隔离津贴保险金额×特定传染病隔离津贴保险责任年基准保险费率×费率调整系数</w:t>
      </w:r>
    </w:p>
    <w:p>
      <w:pPr>
        <w:spacing w:line="288" w:lineRule="auto"/>
        <w:ind w:firstLine="420" w:firstLineChars="200"/>
        <w:rPr>
          <w:rFonts w:hAnsi="宋体" w:cs="Arial"/>
          <w:color w:val="auto"/>
          <w:sz w:val="21"/>
          <w:szCs w:val="21"/>
        </w:rPr>
      </w:pPr>
      <w:r>
        <w:rPr>
          <w:rFonts w:hint="eastAsia" w:hAnsi="宋体" w:cs="Arial"/>
          <w:color w:val="auto"/>
          <w:sz w:val="21"/>
          <w:szCs w:val="21"/>
        </w:rPr>
        <w:t>被保险人年保险费为其选择投保的特定传染病保险责任年保险费之和</w:t>
      </w:r>
    </w:p>
    <w:p>
      <w:pPr>
        <w:pStyle w:val="8"/>
        <w:numPr>
          <w:ilvl w:val="0"/>
          <w:numId w:val="1"/>
        </w:numPr>
        <w:spacing w:line="288" w:lineRule="auto"/>
        <w:ind w:firstLineChars="0"/>
        <w:rPr>
          <w:rFonts w:hAnsi="宋体" w:cs="宋体"/>
          <w:b/>
          <w:color w:val="auto"/>
          <w:sz w:val="21"/>
          <w:szCs w:val="21"/>
        </w:rPr>
      </w:pPr>
      <w:r>
        <w:rPr>
          <w:rFonts w:hint="eastAsia" w:hAnsi="宋体" w:cs="宋体"/>
          <w:b/>
          <w:color w:val="auto"/>
          <w:sz w:val="21"/>
          <w:szCs w:val="21"/>
        </w:rPr>
        <w:t>短期费率表</w:t>
      </w:r>
    </w:p>
    <w:p>
      <w:pPr>
        <w:adjustRightInd w:val="0"/>
        <w:snapToGrid w:val="0"/>
        <w:spacing w:line="288" w:lineRule="auto"/>
        <w:ind w:firstLine="482"/>
        <w:rPr>
          <w:rFonts w:hAnsi="宋体" w:cs="宋体"/>
          <w:color w:val="auto"/>
          <w:sz w:val="21"/>
          <w:szCs w:val="21"/>
        </w:rPr>
      </w:pPr>
      <w:r>
        <w:rPr>
          <w:rFonts w:hint="eastAsia" w:hAnsi="宋体" w:cs="宋体"/>
          <w:color w:val="auto"/>
          <w:sz w:val="21"/>
          <w:szCs w:val="21"/>
        </w:rPr>
        <w:t>1、保险期间不足一年的，按以下标准计算短期保险费：</w:t>
      </w:r>
    </w:p>
    <w:tbl>
      <w:tblPr>
        <w:tblStyle w:val="5"/>
        <w:tblW w:w="9453" w:type="dxa"/>
        <w:jc w:val="center"/>
        <w:tblLayout w:type="fixed"/>
        <w:tblCellMar>
          <w:top w:w="0" w:type="dxa"/>
          <w:left w:w="108" w:type="dxa"/>
          <w:bottom w:w="0" w:type="dxa"/>
          <w:right w:w="108" w:type="dxa"/>
        </w:tblCellMar>
      </w:tblPr>
      <w:tblGrid>
        <w:gridCol w:w="1255"/>
        <w:gridCol w:w="673"/>
        <w:gridCol w:w="673"/>
        <w:gridCol w:w="673"/>
        <w:gridCol w:w="673"/>
        <w:gridCol w:w="673"/>
        <w:gridCol w:w="673"/>
        <w:gridCol w:w="673"/>
        <w:gridCol w:w="673"/>
        <w:gridCol w:w="673"/>
        <w:gridCol w:w="673"/>
        <w:gridCol w:w="673"/>
        <w:gridCol w:w="795"/>
      </w:tblGrid>
      <w:tr>
        <w:tblPrEx>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hAnsi="宋体" w:cs="宋体"/>
                <w:color w:val="auto"/>
                <w:sz w:val="21"/>
                <w:szCs w:val="21"/>
              </w:rPr>
            </w:pPr>
            <w:r>
              <w:rPr>
                <w:rFonts w:hint="eastAsia" w:hAnsi="宋体" w:cs="宋体"/>
                <w:color w:val="auto"/>
                <w:sz w:val="21"/>
                <w:szCs w:val="21"/>
              </w:rPr>
              <w:t>保险期间（个月）</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color w:val="auto"/>
                <w:sz w:val="21"/>
                <w:szCs w:val="21"/>
              </w:rPr>
            </w:pPr>
            <w:r>
              <w:rPr>
                <w:rFonts w:hint="eastAsia" w:hAnsi="宋体" w:cs="宋体"/>
                <w:color w:val="auto"/>
                <w:sz w:val="21"/>
                <w:szCs w:val="21"/>
              </w:rPr>
              <w:t>1</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color w:val="auto"/>
                <w:sz w:val="21"/>
                <w:szCs w:val="21"/>
              </w:rPr>
            </w:pPr>
            <w:r>
              <w:rPr>
                <w:rFonts w:hint="eastAsia" w:hAnsi="宋体" w:cs="宋体"/>
                <w:color w:val="auto"/>
                <w:sz w:val="21"/>
                <w:szCs w:val="21"/>
              </w:rPr>
              <w:t>2</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color w:val="auto"/>
                <w:sz w:val="21"/>
                <w:szCs w:val="21"/>
              </w:rPr>
            </w:pPr>
            <w:r>
              <w:rPr>
                <w:rFonts w:hint="eastAsia" w:hAnsi="宋体" w:cs="宋体"/>
                <w:color w:val="auto"/>
                <w:sz w:val="21"/>
                <w:szCs w:val="21"/>
              </w:rPr>
              <w:t>3</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color w:val="auto"/>
                <w:sz w:val="21"/>
                <w:szCs w:val="21"/>
              </w:rPr>
            </w:pPr>
            <w:r>
              <w:rPr>
                <w:rFonts w:hint="eastAsia" w:hAnsi="宋体" w:cs="宋体"/>
                <w:color w:val="auto"/>
                <w:sz w:val="21"/>
                <w:szCs w:val="21"/>
              </w:rPr>
              <w:t>4</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color w:val="auto"/>
                <w:sz w:val="21"/>
                <w:szCs w:val="21"/>
              </w:rPr>
            </w:pPr>
            <w:r>
              <w:rPr>
                <w:rFonts w:hint="eastAsia" w:hAnsi="宋体" w:cs="宋体"/>
                <w:color w:val="auto"/>
                <w:sz w:val="21"/>
                <w:szCs w:val="21"/>
              </w:rPr>
              <w:t>5</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color w:val="auto"/>
                <w:sz w:val="21"/>
                <w:szCs w:val="21"/>
              </w:rPr>
            </w:pPr>
            <w:r>
              <w:rPr>
                <w:rFonts w:hint="eastAsia" w:hAnsi="宋体" w:cs="宋体"/>
                <w:color w:val="auto"/>
                <w:sz w:val="21"/>
                <w:szCs w:val="21"/>
              </w:rPr>
              <w:t>6</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color w:val="auto"/>
                <w:sz w:val="21"/>
                <w:szCs w:val="21"/>
              </w:rPr>
            </w:pPr>
            <w:r>
              <w:rPr>
                <w:rFonts w:hint="eastAsia" w:hAnsi="宋体" w:cs="宋体"/>
                <w:color w:val="auto"/>
                <w:sz w:val="21"/>
                <w:szCs w:val="21"/>
              </w:rPr>
              <w:t>7</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color w:val="auto"/>
                <w:sz w:val="21"/>
                <w:szCs w:val="21"/>
              </w:rPr>
            </w:pPr>
            <w:r>
              <w:rPr>
                <w:rFonts w:hint="eastAsia" w:hAnsi="宋体" w:cs="宋体"/>
                <w:color w:val="auto"/>
                <w:sz w:val="21"/>
                <w:szCs w:val="21"/>
              </w:rPr>
              <w:t>8</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color w:val="auto"/>
                <w:sz w:val="21"/>
                <w:szCs w:val="21"/>
              </w:rPr>
            </w:pPr>
            <w:r>
              <w:rPr>
                <w:rFonts w:hint="eastAsia" w:hAnsi="宋体" w:cs="宋体"/>
                <w:color w:val="auto"/>
                <w:sz w:val="21"/>
                <w:szCs w:val="21"/>
              </w:rPr>
              <w:t>9</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color w:val="auto"/>
                <w:sz w:val="21"/>
                <w:szCs w:val="21"/>
              </w:rPr>
            </w:pPr>
            <w:r>
              <w:rPr>
                <w:rFonts w:hint="eastAsia" w:hAnsi="宋体" w:cs="宋体"/>
                <w:color w:val="auto"/>
                <w:sz w:val="21"/>
                <w:szCs w:val="21"/>
              </w:rPr>
              <w:t>10</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color w:val="auto"/>
                <w:sz w:val="21"/>
                <w:szCs w:val="21"/>
              </w:rPr>
            </w:pPr>
            <w:r>
              <w:rPr>
                <w:rFonts w:hint="eastAsia" w:hAnsi="宋体" w:cs="宋体"/>
                <w:color w:val="auto"/>
                <w:sz w:val="21"/>
                <w:szCs w:val="21"/>
              </w:rPr>
              <w:t>11</w:t>
            </w:r>
          </w:p>
        </w:tc>
        <w:tc>
          <w:tcPr>
            <w:tcW w:w="795"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color w:val="auto"/>
                <w:sz w:val="21"/>
                <w:szCs w:val="21"/>
              </w:rPr>
            </w:pPr>
            <w:r>
              <w:rPr>
                <w:rFonts w:hint="eastAsia" w:hAnsi="宋体" w:cs="宋体"/>
                <w:color w:val="auto"/>
                <w:sz w:val="21"/>
                <w:szCs w:val="21"/>
              </w:rPr>
              <w:t>12</w:t>
            </w:r>
          </w:p>
        </w:tc>
      </w:tr>
      <w:tr>
        <w:tblPrEx>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hAnsi="宋体" w:cs="宋体"/>
                <w:color w:val="auto"/>
                <w:sz w:val="21"/>
                <w:szCs w:val="21"/>
              </w:rPr>
            </w:pPr>
            <w:r>
              <w:rPr>
                <w:rFonts w:hint="eastAsia" w:hAnsi="宋体" w:cs="宋体"/>
                <w:color w:val="auto"/>
                <w:sz w:val="21"/>
                <w:szCs w:val="21"/>
              </w:rPr>
              <w:t>年保险费的百分比</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color w:val="auto"/>
                <w:sz w:val="21"/>
                <w:szCs w:val="21"/>
              </w:rPr>
            </w:pPr>
            <w:r>
              <w:rPr>
                <w:rFonts w:hint="eastAsia" w:hAnsi="宋体" w:cs="宋体"/>
                <w:color w:val="auto"/>
                <w:sz w:val="21"/>
                <w:szCs w:val="21"/>
              </w:rPr>
              <w:t>10%</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color w:val="auto"/>
                <w:sz w:val="21"/>
                <w:szCs w:val="21"/>
              </w:rPr>
            </w:pPr>
            <w:r>
              <w:rPr>
                <w:rFonts w:hint="eastAsia" w:hAnsi="宋体" w:cs="宋体"/>
                <w:color w:val="auto"/>
                <w:sz w:val="21"/>
                <w:szCs w:val="21"/>
              </w:rPr>
              <w:t>20%</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color w:val="auto"/>
                <w:sz w:val="21"/>
                <w:szCs w:val="21"/>
              </w:rPr>
            </w:pPr>
            <w:r>
              <w:rPr>
                <w:rFonts w:hint="eastAsia" w:hAnsi="宋体" w:cs="宋体"/>
                <w:color w:val="auto"/>
                <w:sz w:val="21"/>
                <w:szCs w:val="21"/>
              </w:rPr>
              <w:t>30%</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color w:val="auto"/>
                <w:sz w:val="21"/>
                <w:szCs w:val="21"/>
              </w:rPr>
            </w:pPr>
            <w:r>
              <w:rPr>
                <w:rFonts w:hint="eastAsia" w:hAnsi="宋体" w:cs="宋体"/>
                <w:color w:val="auto"/>
                <w:sz w:val="21"/>
                <w:szCs w:val="21"/>
              </w:rPr>
              <w:t>40%</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color w:val="auto"/>
                <w:sz w:val="21"/>
                <w:szCs w:val="21"/>
              </w:rPr>
            </w:pPr>
            <w:r>
              <w:rPr>
                <w:rFonts w:hint="eastAsia" w:hAnsi="宋体" w:cs="宋体"/>
                <w:color w:val="auto"/>
                <w:sz w:val="21"/>
                <w:szCs w:val="21"/>
              </w:rPr>
              <w:t>50%</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color w:val="auto"/>
                <w:sz w:val="21"/>
                <w:szCs w:val="21"/>
              </w:rPr>
            </w:pPr>
            <w:r>
              <w:rPr>
                <w:rFonts w:hint="eastAsia" w:hAnsi="宋体" w:cs="宋体"/>
                <w:color w:val="auto"/>
                <w:sz w:val="21"/>
                <w:szCs w:val="21"/>
              </w:rPr>
              <w:t>60%</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color w:val="auto"/>
                <w:sz w:val="21"/>
                <w:szCs w:val="21"/>
              </w:rPr>
            </w:pPr>
            <w:r>
              <w:rPr>
                <w:rFonts w:hint="eastAsia" w:hAnsi="宋体" w:cs="宋体"/>
                <w:color w:val="auto"/>
                <w:sz w:val="21"/>
                <w:szCs w:val="21"/>
              </w:rPr>
              <w:t>70%</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color w:val="auto"/>
                <w:sz w:val="21"/>
                <w:szCs w:val="21"/>
              </w:rPr>
            </w:pPr>
            <w:r>
              <w:rPr>
                <w:rFonts w:hint="eastAsia" w:hAnsi="宋体" w:cs="宋体"/>
                <w:color w:val="auto"/>
                <w:sz w:val="21"/>
                <w:szCs w:val="21"/>
              </w:rPr>
              <w:t>80%</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color w:val="auto"/>
                <w:sz w:val="21"/>
                <w:szCs w:val="21"/>
              </w:rPr>
            </w:pPr>
            <w:r>
              <w:rPr>
                <w:rFonts w:hint="eastAsia" w:hAnsi="宋体" w:cs="宋体"/>
                <w:color w:val="auto"/>
                <w:sz w:val="21"/>
                <w:szCs w:val="21"/>
              </w:rPr>
              <w:t>85%</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color w:val="auto"/>
                <w:sz w:val="21"/>
                <w:szCs w:val="21"/>
              </w:rPr>
            </w:pPr>
            <w:r>
              <w:rPr>
                <w:rFonts w:hint="eastAsia" w:hAnsi="宋体" w:cs="宋体"/>
                <w:color w:val="auto"/>
                <w:sz w:val="21"/>
                <w:szCs w:val="21"/>
              </w:rPr>
              <w:t>90%</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color w:val="auto"/>
                <w:sz w:val="21"/>
                <w:szCs w:val="21"/>
              </w:rPr>
            </w:pPr>
            <w:r>
              <w:rPr>
                <w:rFonts w:hint="eastAsia" w:hAnsi="宋体" w:cs="宋体"/>
                <w:color w:val="auto"/>
                <w:sz w:val="21"/>
                <w:szCs w:val="21"/>
              </w:rPr>
              <w:t>95%</w:t>
            </w:r>
          </w:p>
        </w:tc>
        <w:tc>
          <w:tcPr>
            <w:tcW w:w="795"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color w:val="auto"/>
                <w:sz w:val="21"/>
                <w:szCs w:val="21"/>
              </w:rPr>
            </w:pPr>
            <w:r>
              <w:rPr>
                <w:rFonts w:hint="eastAsia" w:hAnsi="宋体" w:cs="宋体"/>
                <w:color w:val="auto"/>
                <w:sz w:val="21"/>
                <w:szCs w:val="21"/>
              </w:rPr>
              <w:t>100%</w:t>
            </w:r>
          </w:p>
        </w:tc>
      </w:tr>
    </w:tbl>
    <w:p>
      <w:pPr>
        <w:adjustRightInd w:val="0"/>
        <w:snapToGrid w:val="0"/>
        <w:spacing w:line="360" w:lineRule="auto"/>
        <w:ind w:firstLine="482"/>
        <w:rPr>
          <w:rFonts w:hAnsi="宋体" w:cs="宋体"/>
          <w:color w:val="auto"/>
          <w:sz w:val="21"/>
          <w:szCs w:val="21"/>
        </w:rPr>
      </w:pPr>
      <w:r>
        <w:rPr>
          <w:rFonts w:hint="eastAsia" w:hAnsi="宋体" w:cs="宋体"/>
          <w:color w:val="auto"/>
          <w:sz w:val="21"/>
          <w:szCs w:val="21"/>
        </w:rPr>
        <w:t>2、保险期间不足一月的，按以下标准计算极短期保险费：</w:t>
      </w:r>
    </w:p>
    <w:p>
      <w:pPr>
        <w:adjustRightInd w:val="0"/>
        <w:snapToGrid w:val="0"/>
        <w:spacing w:line="360" w:lineRule="auto"/>
        <w:ind w:firstLine="482"/>
        <w:rPr>
          <w:color w:val="auto"/>
        </w:rPr>
      </w:pPr>
      <w:r>
        <w:rPr>
          <w:rFonts w:hint="eastAsia" w:hAnsi="宋体" w:cs="宋体"/>
          <w:color w:val="auto"/>
          <w:sz w:val="21"/>
          <w:szCs w:val="21"/>
        </w:rPr>
        <w:t>极短期保险费=年保险费×保险期间天数÷365</w:t>
      </w:r>
    </w:p>
    <w:bookmarkEnd w:id="0"/>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C569D5"/>
    <w:multiLevelType w:val="singleLevel"/>
    <w:tmpl w:val="BEC569D5"/>
    <w:lvl w:ilvl="0" w:tentative="0">
      <w:start w:val="3"/>
      <w:numFmt w:val="decimal"/>
      <w:suff w:val="nothing"/>
      <w:lvlText w:val="%1、"/>
      <w:lvlJc w:val="left"/>
    </w:lvl>
  </w:abstractNum>
  <w:abstractNum w:abstractNumId="1">
    <w:nsid w:val="0BA44DD4"/>
    <w:multiLevelType w:val="multilevel"/>
    <w:tmpl w:val="0BA44DD4"/>
    <w:lvl w:ilvl="0" w:tentative="0">
      <w:start w:val="1"/>
      <w:numFmt w:val="japaneseCounting"/>
      <w:lvlText w:val="%1、"/>
      <w:lvlJc w:val="left"/>
      <w:pPr>
        <w:ind w:left="435" w:hanging="435"/>
      </w:pPr>
      <w:rPr>
        <w:rFonts w:hint="default" w:cs="Arial"/>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3067E5"/>
    <w:rsid w:val="001C3B51"/>
    <w:rsid w:val="003C0BB3"/>
    <w:rsid w:val="006D5F07"/>
    <w:rsid w:val="05882D78"/>
    <w:rsid w:val="075013D0"/>
    <w:rsid w:val="0B0F5D51"/>
    <w:rsid w:val="173067E5"/>
    <w:rsid w:val="184F1FB9"/>
    <w:rsid w:val="1EA4063E"/>
    <w:rsid w:val="21674A25"/>
    <w:rsid w:val="218E0DAE"/>
    <w:rsid w:val="3A6B5ADB"/>
    <w:rsid w:val="3CB37763"/>
    <w:rsid w:val="4111434E"/>
    <w:rsid w:val="55F93132"/>
    <w:rsid w:val="58250932"/>
    <w:rsid w:val="66395085"/>
    <w:rsid w:val="6AE608E9"/>
    <w:rsid w:val="6C7E1F79"/>
    <w:rsid w:val="725B6267"/>
    <w:rsid w:val="7D7F71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列表段落2"/>
    <w:basedOn w:val="1"/>
    <w:qFormat/>
    <w:uiPriority w:val="34"/>
    <w:pPr>
      <w:ind w:firstLine="420" w:firstLineChars="200"/>
    </w:pPr>
  </w:style>
  <w:style w:type="character" w:customStyle="1" w:styleId="9">
    <w:name w:val="批注框文本 字符"/>
    <w:basedOn w:val="7"/>
    <w:link w:val="2"/>
    <w:qFormat/>
    <w:uiPriority w:val="0"/>
    <w:rPr>
      <w:rFonts w:ascii="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华农</Company>
  <Pages>3</Pages>
  <Words>195</Words>
  <Characters>1114</Characters>
  <Lines>9</Lines>
  <Paragraphs>2</Paragraphs>
  <TotalTime>23</TotalTime>
  <ScaleCrop>false</ScaleCrop>
  <LinksUpToDate>false</LinksUpToDate>
  <CharactersWithSpaces>1307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2020-12-30T02:56:00Z</dcterms:created>
  <dc:creator>猫猫Claire</dc:creator>
  <cp:lastModifiedBy>应艳萱</cp:lastModifiedBy>
  <dcterms:modified xsi:type="dcterms:W3CDTF">2021-01-21T08:01:15Z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