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insoku/>
        <w:autoSpaceDE/>
        <w:autoSpaceDN/>
        <w:spacing w:after="120" w:afterLines="50"/>
        <w:ind w:left="0" w:leftChars="0" w:firstLine="0" w:firstLineChars="0"/>
        <w:jc w:val="center"/>
        <w:textAlignment w:val="auto"/>
        <w:rPr>
          <w:rFonts w:eastAsia="宋体" w:cs="Times New Roman"/>
          <w:b/>
          <w:snapToGrid/>
          <w:kern w:val="2"/>
          <w:sz w:val="28"/>
          <w:szCs w:val="28"/>
          <w:lang w:eastAsia="zh-CN"/>
        </w:rPr>
      </w:pPr>
      <w:r>
        <w:rPr>
          <w:rFonts w:hint="eastAsia" w:eastAsia="宋体" w:cs="Times New Roman"/>
          <w:b/>
          <w:snapToGrid/>
          <w:kern w:val="2"/>
          <w:sz w:val="28"/>
          <w:szCs w:val="28"/>
          <w:lang w:eastAsia="zh-CN"/>
        </w:rPr>
        <w:t>华农财产保险股份有限公司</w:t>
      </w:r>
    </w:p>
    <w:p>
      <w:pPr>
        <w:pStyle w:val="6"/>
        <w:kinsoku/>
        <w:autoSpaceDE/>
        <w:autoSpaceDN/>
        <w:spacing w:after="120" w:afterLines="50"/>
        <w:ind w:left="0" w:leftChars="0" w:firstLine="0" w:firstLineChars="0"/>
        <w:jc w:val="center"/>
        <w:textAlignment w:val="auto"/>
        <w:rPr>
          <w:rFonts w:eastAsia="宋体" w:cs="Times New Roman"/>
          <w:b/>
          <w:snapToGrid/>
          <w:kern w:val="2"/>
          <w:sz w:val="28"/>
          <w:szCs w:val="28"/>
          <w:lang w:eastAsia="zh-CN"/>
        </w:rPr>
      </w:pPr>
      <w:r>
        <w:rPr>
          <w:rFonts w:hint="eastAsia" w:eastAsia="宋体" w:cs="Times New Roman"/>
          <w:b/>
          <w:snapToGrid/>
          <w:kern w:val="2"/>
          <w:sz w:val="28"/>
          <w:szCs w:val="28"/>
          <w:lang w:eastAsia="zh-CN"/>
        </w:rPr>
        <w:t>附加特定心脑血管疾病康复</w:t>
      </w:r>
      <w:r>
        <w:rPr>
          <w:rFonts w:hint="eastAsia" w:eastAsia="宋体" w:cs="Times New Roman"/>
          <w:b/>
          <w:snapToGrid/>
          <w:kern w:val="2"/>
          <w:sz w:val="28"/>
          <w:szCs w:val="28"/>
          <w:lang w:val="en-US" w:eastAsia="zh-CN"/>
        </w:rPr>
        <w:t>治疗</w:t>
      </w:r>
      <w:r>
        <w:rPr>
          <w:rFonts w:hint="eastAsia" w:eastAsia="宋体" w:cs="Times New Roman"/>
          <w:b/>
          <w:snapToGrid/>
          <w:kern w:val="2"/>
          <w:sz w:val="28"/>
          <w:szCs w:val="28"/>
          <w:lang w:eastAsia="zh-CN"/>
        </w:rPr>
        <w:t>费用保险费率表（互联网专属）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42" w:firstLineChars="200"/>
        <w:textAlignment w:val="baseline"/>
        <w:rPr>
          <w:rFonts w:hint="eastAsia" w:ascii="宋体" w:hAnsi="宋体" w:eastAsia="宋体" w:cs="宋体"/>
          <w:b/>
          <w:bCs/>
          <w:spacing w:val="5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42" w:firstLineChars="200"/>
        <w:textAlignment w:val="baseline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1"/>
          <w:szCs w:val="21"/>
          <w:lang w:eastAsia="zh-CN"/>
        </w:rPr>
        <w:t>一、基准赔付标准和</w:t>
      </w:r>
      <w:r>
        <w:rPr>
          <w:rFonts w:hint="eastAsia" w:ascii="宋体" w:hAnsi="宋体" w:eastAsia="宋体" w:cs="宋体"/>
          <w:b/>
          <w:bCs/>
          <w:spacing w:val="5"/>
          <w:sz w:val="21"/>
          <w:szCs w:val="21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spacing w:val="5"/>
          <w:sz w:val="21"/>
          <w:szCs w:val="21"/>
          <w:lang w:eastAsia="zh-CN"/>
        </w:rPr>
        <w:t>基准保险费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30" w:firstLineChars="200"/>
        <w:textAlignment w:val="baseline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  <w:lang w:eastAsia="zh-CN"/>
        </w:rPr>
        <w:t>（一）基准赔付标准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24" w:firstLineChars="200"/>
        <w:textAlignment w:val="baseline"/>
        <w:rPr>
          <w:rFonts w:ascii="宋体" w:hAnsi="宋体" w:eastAsia="宋体" w:cs="宋体"/>
          <w:b w:val="0"/>
          <w:bCs w:val="0"/>
          <w:spacing w:val="1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bCs w:val="0"/>
          <w:spacing w:val="1"/>
          <w:sz w:val="21"/>
          <w:szCs w:val="21"/>
          <w:lang w:eastAsia="zh-CN"/>
        </w:rPr>
        <w:t>1.基准保险金额：100,000元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28" w:firstLineChars="200"/>
        <w:textAlignment w:val="baseline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2.基准等待期：60日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24" w:firstLineChars="200"/>
        <w:textAlignment w:val="baseline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bCs w:val="0"/>
          <w:spacing w:val="1"/>
          <w:sz w:val="21"/>
          <w:szCs w:val="21"/>
          <w:lang w:eastAsia="zh-CN"/>
        </w:rPr>
        <w:t>3.基准免赔额：0元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36" w:firstLineChars="200"/>
        <w:textAlignment w:val="baseline"/>
        <w:rPr>
          <w:rFonts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pacing w:val="4"/>
          <w:sz w:val="21"/>
          <w:szCs w:val="21"/>
          <w:lang w:eastAsia="zh-CN"/>
        </w:rPr>
        <w:t>4.基准赔付比例：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48" w:firstLineChars="200"/>
        <w:textAlignment w:val="baseline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（1）被保险人以参加</w:t>
      </w:r>
      <w:r>
        <w:rPr>
          <w:rFonts w:hint="eastAsia" w:ascii="宋体" w:hAnsi="宋体" w:eastAsia="宋体" w:cs="宋体"/>
          <w:color w:val="auto"/>
          <w:spacing w:val="7"/>
          <w:sz w:val="21"/>
          <w:szCs w:val="21"/>
          <w:u w:val="none" w:color="0000EE"/>
          <w:lang w:eastAsia="zh-CN"/>
        </w:rPr>
        <w:t>基本医疗保险</w:t>
      </w: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或者公费医疗身份投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保，并以参加基本医疗保险或者公费医疗身份就诊并结算的，赔付比例为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>100%；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64" w:firstLineChars="200"/>
        <w:textAlignment w:val="baseline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11"/>
          <w:sz w:val="21"/>
          <w:szCs w:val="21"/>
          <w:lang w:eastAsia="zh-CN"/>
        </w:rPr>
        <w:t>（2）</w:t>
      </w: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被保险人未以参加基本医疗保险或公费医疗身份投保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，赔付比例为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0%；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36" w:firstLineChars="200"/>
        <w:textAlignment w:val="baseline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（3）被保险人以参加基本医疗保险或者公费医疗身份投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保，但未以参加基本医疗保险或者公费医疗身份就诊并结算的，赔付比例为</w:t>
      </w:r>
      <w:r>
        <w:rPr>
          <w:rFonts w:hint="eastAsia" w:ascii="宋体" w:hAnsi="宋体" w:eastAsia="宋体" w:cs="宋体"/>
          <w:spacing w:val="2"/>
          <w:sz w:val="21"/>
          <w:szCs w:val="21"/>
          <w:lang w:eastAsia="zh-CN"/>
        </w:rPr>
        <w:t>60%。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38" w:firstLineChars="200"/>
        <w:textAlignment w:val="baseline"/>
        <w:rPr>
          <w:lang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spacing w:val="4"/>
          <w:sz w:val="21"/>
          <w:szCs w:val="21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spacing w:val="4"/>
          <w:sz w:val="21"/>
          <w:szCs w:val="21"/>
          <w:lang w:eastAsia="zh-CN"/>
        </w:rPr>
        <w:t>基准保险费</w:t>
      </w:r>
    </w:p>
    <w:tbl>
      <w:tblPr>
        <w:tblStyle w:val="3"/>
        <w:tblW w:w="462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5"/>
        <w:gridCol w:w="23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年龄（周岁）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年基准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保险费</w:t>
            </w: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（单位：元）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0-20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21-25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26-30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31-35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 xml:space="preserve">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36-40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 xml:space="preserve">34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41-45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46-50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 xml:space="preserve">160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51-55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 xml:space="preserve">251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56-60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 xml:space="preserve">357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61-65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 xml:space="preserve">478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66-70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 xml:space="preserve">520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71-75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76-80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 xml:space="preserve">1212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81-85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189</w:t>
            </w:r>
            <w:r>
              <w:rPr>
                <w:rFonts w:hint="eastAsia" w:ascii="宋体" w:hAnsi="宋体" w:eastAsia="宋体" w:cs="宋体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lang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86-90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29</w:t>
            </w:r>
            <w:r>
              <w:rPr>
                <w:rFonts w:hint="eastAsia" w:ascii="宋体" w:hAnsi="宋体" w:eastAsia="宋体" w:cs="宋体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lang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91-95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 xml:space="preserve">4601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Style w:val="7"/>
                <w:rFonts w:hint="default"/>
                <w:lang w:eastAsia="zh-CN" w:bidi="ar"/>
              </w:rPr>
              <w:t>96-99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717</w:t>
            </w:r>
            <w:r>
              <w:rPr>
                <w:rFonts w:hint="eastAsia" w:ascii="宋体" w:hAnsi="宋体" w:eastAsia="宋体" w:cs="宋体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lang w:eastAsia="zh-CN" w:bidi="ar"/>
              </w:rPr>
              <w:t xml:space="preserve"> </w:t>
            </w:r>
          </w:p>
        </w:tc>
      </w:tr>
    </w:tbl>
    <w:p>
      <w:pPr>
        <w:spacing w:line="107" w:lineRule="exact"/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436" w:firstLineChars="200"/>
        <w:textAlignment w:val="baseline"/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注：0周岁指出生满28天且健康出院。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2" w:firstLineChars="200"/>
        <w:textAlignment w:val="baseline"/>
        <w:rPr>
          <w:rFonts w:ascii="宋体" w:hAnsi="宋体" w:eastAsia="宋体" w:cs="宋体"/>
          <w:spacing w:val="5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1"/>
          <w:szCs w:val="21"/>
          <w:lang w:eastAsia="zh-CN"/>
        </w:rPr>
        <w:t>二、费率调整系数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32" w:firstLineChars="200"/>
        <w:textAlignment w:val="baseline"/>
        <w:rPr>
          <w:rFonts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1、免赔额调整系数（F1）</w:t>
      </w:r>
    </w:p>
    <w:tbl>
      <w:tblPr>
        <w:tblStyle w:val="9"/>
        <w:tblW w:w="544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2"/>
        <w:gridCol w:w="912"/>
        <w:gridCol w:w="912"/>
        <w:gridCol w:w="924"/>
        <w:gridCol w:w="9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1782" w:type="dxa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baseline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5"/>
                <w:sz w:val="21"/>
                <w:szCs w:val="21"/>
              </w:rPr>
              <w:t>免赔额（元）</w:t>
            </w:r>
          </w:p>
        </w:tc>
        <w:tc>
          <w:tcPr>
            <w:tcW w:w="912" w:type="dxa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baseline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0</w:t>
            </w:r>
          </w:p>
        </w:tc>
        <w:tc>
          <w:tcPr>
            <w:tcW w:w="912" w:type="dxa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baseline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6"/>
                <w:sz w:val="21"/>
                <w:szCs w:val="21"/>
              </w:rPr>
              <w:t>1,000</w:t>
            </w:r>
          </w:p>
        </w:tc>
        <w:tc>
          <w:tcPr>
            <w:tcW w:w="924" w:type="dxa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baseline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1"/>
                <w:sz w:val="21"/>
                <w:szCs w:val="21"/>
                <w:lang w:eastAsia="zh-CN"/>
              </w:rPr>
              <w:t>2</w:t>
            </w:r>
            <w:r>
              <w:rPr>
                <w:rFonts w:hint="eastAsia"/>
                <w:b w:val="0"/>
                <w:bCs w:val="0"/>
                <w:spacing w:val="1"/>
                <w:sz w:val="21"/>
                <w:szCs w:val="21"/>
              </w:rPr>
              <w:t>,000</w:t>
            </w:r>
          </w:p>
        </w:tc>
        <w:tc>
          <w:tcPr>
            <w:tcW w:w="918" w:type="dxa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baseline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5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,000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1782" w:type="dxa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baseline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4"/>
                <w:sz w:val="21"/>
                <w:szCs w:val="21"/>
              </w:rPr>
              <w:t>调整系数</w:t>
            </w:r>
          </w:p>
        </w:tc>
        <w:tc>
          <w:tcPr>
            <w:tcW w:w="912" w:type="dxa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baseline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4"/>
                <w:sz w:val="21"/>
                <w:szCs w:val="21"/>
              </w:rPr>
              <w:t>1.0</w:t>
            </w:r>
          </w:p>
        </w:tc>
        <w:tc>
          <w:tcPr>
            <w:tcW w:w="912" w:type="dxa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baseline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</w:rPr>
              <w:t>0.9</w:t>
            </w: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924" w:type="dxa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baseline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1"/>
                <w:sz w:val="21"/>
                <w:szCs w:val="21"/>
              </w:rPr>
              <w:t>0.</w:t>
            </w:r>
            <w:r>
              <w:rPr>
                <w:rFonts w:hint="eastAsia"/>
                <w:b w:val="0"/>
                <w:bCs w:val="0"/>
                <w:spacing w:val="1"/>
                <w:sz w:val="21"/>
                <w:szCs w:val="21"/>
                <w:lang w:eastAsia="zh-CN"/>
              </w:rPr>
              <w:t>88</w:t>
            </w:r>
          </w:p>
        </w:tc>
        <w:tc>
          <w:tcPr>
            <w:tcW w:w="918" w:type="dxa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baseline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1"/>
                <w:sz w:val="21"/>
                <w:szCs w:val="21"/>
              </w:rPr>
              <w:t>0.</w:t>
            </w:r>
            <w:r>
              <w:rPr>
                <w:rFonts w:hint="eastAsia"/>
                <w:b w:val="0"/>
                <w:bCs w:val="0"/>
                <w:spacing w:val="1"/>
                <w:sz w:val="21"/>
                <w:szCs w:val="21"/>
                <w:lang w:eastAsia="zh-CN"/>
              </w:rPr>
              <w:t>70</w:t>
            </w:r>
          </w:p>
        </w:tc>
      </w:tr>
    </w:tbl>
    <w:p>
      <w:pPr>
        <w:pStyle w:val="2"/>
        <w:spacing w:before="28" w:line="182" w:lineRule="auto"/>
        <w:ind w:left="1260" w:leftChars="600"/>
        <w:rPr>
          <w:rFonts w:ascii="宋体" w:hAnsi="宋体" w:eastAsia="宋体" w:cs="宋体"/>
          <w:b/>
          <w:bCs/>
          <w:spacing w:val="3"/>
          <w:sz w:val="21"/>
          <w:szCs w:val="21"/>
        </w:rPr>
      </w:pPr>
    </w:p>
    <w:p>
      <w:pPr>
        <w:pStyle w:val="2"/>
        <w:spacing w:before="28" w:line="183" w:lineRule="auto"/>
        <w:ind w:left="420" w:leftChars="200"/>
        <w:rPr>
          <w:rFonts w:ascii="宋体" w:hAnsi="宋体" w:eastAsia="宋体" w:cs="宋体"/>
          <w:b/>
          <w:bCs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注：赔付比例在两档之间的，采用线性插值的方式计算赔付比例调整系数。</w:t>
      </w:r>
    </w:p>
    <w:p>
      <w:pPr>
        <w:spacing w:line="24" w:lineRule="exact"/>
        <w:rPr>
          <w:rFonts w:ascii="宋体" w:hAnsi="宋体" w:eastAsia="宋体" w:cs="宋体"/>
          <w:lang w:eastAsia="zh-CN"/>
        </w:rPr>
      </w:pPr>
    </w:p>
    <w:p>
      <w:pPr>
        <w:pStyle w:val="2"/>
        <w:spacing w:before="54" w:line="170" w:lineRule="auto"/>
        <w:rPr>
          <w:rFonts w:ascii="宋体" w:hAnsi="宋体" w:eastAsia="宋体" w:cs="宋体"/>
          <w:spacing w:val="4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36" w:firstLineChars="200"/>
        <w:textAlignment w:val="baseline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2、等待期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调整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系数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（F2）</w:t>
      </w:r>
    </w:p>
    <w:tbl>
      <w:tblPr>
        <w:tblStyle w:val="9"/>
        <w:tblW w:w="636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2"/>
        <w:gridCol w:w="912"/>
        <w:gridCol w:w="912"/>
        <w:gridCol w:w="924"/>
        <w:gridCol w:w="918"/>
        <w:gridCol w:w="9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1782" w:type="dxa"/>
          </w:tcPr>
          <w:p>
            <w:pPr>
              <w:pStyle w:val="8"/>
              <w:autoSpaceDE/>
              <w:autoSpaceDN/>
              <w:spacing w:before="28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1"/>
                <w:sz w:val="21"/>
                <w:szCs w:val="21"/>
              </w:rPr>
              <w:t>等待期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28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1"/>
                <w:sz w:val="21"/>
                <w:szCs w:val="21"/>
              </w:rPr>
              <w:t>0天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28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</w:rPr>
              <w:t>30天</w:t>
            </w:r>
          </w:p>
        </w:tc>
        <w:tc>
          <w:tcPr>
            <w:tcW w:w="924" w:type="dxa"/>
          </w:tcPr>
          <w:p>
            <w:pPr>
              <w:pStyle w:val="8"/>
              <w:autoSpaceDE/>
              <w:autoSpaceDN/>
              <w:spacing w:before="28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1"/>
                <w:sz w:val="21"/>
                <w:szCs w:val="21"/>
              </w:rPr>
              <w:t>60天</w:t>
            </w:r>
          </w:p>
        </w:tc>
        <w:tc>
          <w:tcPr>
            <w:tcW w:w="918" w:type="dxa"/>
          </w:tcPr>
          <w:p>
            <w:pPr>
              <w:pStyle w:val="8"/>
              <w:autoSpaceDE/>
              <w:autoSpaceDN/>
              <w:spacing w:before="28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1"/>
                <w:sz w:val="21"/>
                <w:szCs w:val="21"/>
              </w:rPr>
              <w:t>90天</w:t>
            </w:r>
          </w:p>
        </w:tc>
        <w:tc>
          <w:tcPr>
            <w:tcW w:w="918" w:type="dxa"/>
          </w:tcPr>
          <w:p>
            <w:pPr>
              <w:pStyle w:val="8"/>
              <w:autoSpaceDE/>
              <w:autoSpaceDN/>
              <w:spacing w:before="28" w:line="360" w:lineRule="exact"/>
              <w:ind w:left="0" w:leftChars="0"/>
              <w:jc w:val="center"/>
              <w:rPr>
                <w:rFonts w:hint="default" w:eastAsia="宋体"/>
                <w:b w:val="0"/>
                <w:bCs w:val="0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1"/>
                <w:sz w:val="21"/>
                <w:szCs w:val="21"/>
                <w:lang w:val="en-US" w:eastAsia="zh-CN"/>
              </w:rPr>
              <w:t>180天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1782" w:type="dxa"/>
          </w:tcPr>
          <w:p>
            <w:pPr>
              <w:pStyle w:val="8"/>
              <w:autoSpaceDE/>
              <w:autoSpaceDN/>
              <w:spacing w:before="27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调整系数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57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4"/>
                <w:sz w:val="21"/>
                <w:szCs w:val="21"/>
              </w:rPr>
              <w:t>1.20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57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4"/>
                <w:sz w:val="21"/>
                <w:szCs w:val="21"/>
              </w:rPr>
              <w:t>1.10</w:t>
            </w:r>
          </w:p>
        </w:tc>
        <w:tc>
          <w:tcPr>
            <w:tcW w:w="924" w:type="dxa"/>
          </w:tcPr>
          <w:p>
            <w:pPr>
              <w:pStyle w:val="8"/>
              <w:autoSpaceDE/>
              <w:autoSpaceDN/>
              <w:spacing w:before="57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4"/>
                <w:sz w:val="21"/>
                <w:szCs w:val="21"/>
              </w:rPr>
              <w:t>1.00</w:t>
            </w:r>
          </w:p>
        </w:tc>
        <w:tc>
          <w:tcPr>
            <w:tcW w:w="918" w:type="dxa"/>
          </w:tcPr>
          <w:p>
            <w:pPr>
              <w:pStyle w:val="8"/>
              <w:autoSpaceDE/>
              <w:autoSpaceDN/>
              <w:spacing w:before="57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1"/>
                <w:sz w:val="21"/>
                <w:szCs w:val="21"/>
              </w:rPr>
              <w:t>0.92</w:t>
            </w:r>
          </w:p>
        </w:tc>
        <w:tc>
          <w:tcPr>
            <w:tcW w:w="918" w:type="dxa"/>
          </w:tcPr>
          <w:p>
            <w:pPr>
              <w:pStyle w:val="8"/>
              <w:autoSpaceDE/>
              <w:autoSpaceDN/>
              <w:spacing w:before="57" w:line="360" w:lineRule="exact"/>
              <w:ind w:left="0" w:leftChars="0"/>
              <w:jc w:val="center"/>
              <w:rPr>
                <w:rFonts w:hint="default" w:eastAsia="宋体"/>
                <w:b w:val="0"/>
                <w:bCs w:val="0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1"/>
                <w:sz w:val="21"/>
                <w:szCs w:val="21"/>
                <w:lang w:val="en-US" w:eastAsia="zh-CN"/>
              </w:rPr>
              <w:t>0.85</w:t>
            </w:r>
          </w:p>
        </w:tc>
      </w:tr>
    </w:tbl>
    <w:p>
      <w:pPr>
        <w:pStyle w:val="2"/>
        <w:spacing w:before="43" w:line="187" w:lineRule="auto"/>
        <w:rPr>
          <w:rFonts w:ascii="宋体" w:hAnsi="宋体" w:eastAsia="宋体" w:cs="宋体"/>
          <w:b/>
          <w:bCs/>
          <w:spacing w:val="3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赔付比例调整系（F3）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）被保险人以参加基本医疗保险或者公费医疗身份投保，并以参加基本医疗保险或者公费医疗身份就诊并结算：</w:t>
      </w:r>
    </w:p>
    <w:tbl>
      <w:tblPr>
        <w:tblStyle w:val="9"/>
        <w:tblW w:w="59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8"/>
        <w:gridCol w:w="912"/>
        <w:gridCol w:w="912"/>
        <w:gridCol w:w="912"/>
        <w:gridCol w:w="912"/>
        <w:gridCol w:w="9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1338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4"/>
                <w:sz w:val="21"/>
                <w:szCs w:val="21"/>
                <w:lang w:eastAsia="zh-CN"/>
              </w:rPr>
              <w:t>赔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付比例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59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</w:rPr>
              <w:t>60%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59" w:line="360" w:lineRule="exact"/>
              <w:ind w:left="0" w:left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70%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59" w:line="360" w:lineRule="exact"/>
              <w:ind w:left="0" w:left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80%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59" w:line="360" w:lineRule="exact"/>
              <w:ind w:left="0" w:left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90%</w:t>
            </w:r>
          </w:p>
        </w:tc>
        <w:tc>
          <w:tcPr>
            <w:tcW w:w="918" w:type="dxa"/>
          </w:tcPr>
          <w:p>
            <w:pPr>
              <w:pStyle w:val="8"/>
              <w:autoSpaceDE/>
              <w:autoSpaceDN/>
              <w:spacing w:before="59" w:line="360" w:lineRule="exact"/>
              <w:ind w:left="0" w:left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4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1338" w:type="dxa"/>
          </w:tcPr>
          <w:p>
            <w:pPr>
              <w:pStyle w:val="8"/>
              <w:autoSpaceDE/>
              <w:autoSpaceDN/>
              <w:spacing w:before="28" w:line="360" w:lineRule="exact"/>
              <w:ind w:firstLine="0" w:firstLine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调整系数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58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1"/>
                <w:sz w:val="21"/>
                <w:szCs w:val="21"/>
              </w:rPr>
              <w:t>0.6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58" w:line="360" w:lineRule="exact"/>
              <w:ind w:left="0" w:leftChars="0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0.</w:t>
            </w: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58" w:line="360" w:lineRule="exact"/>
              <w:ind w:left="0" w:leftChars="0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0.</w:t>
            </w: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58" w:line="360" w:lineRule="exact"/>
              <w:ind w:left="0" w:left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0.9</w:t>
            </w:r>
          </w:p>
        </w:tc>
        <w:tc>
          <w:tcPr>
            <w:tcW w:w="918" w:type="dxa"/>
          </w:tcPr>
          <w:p>
            <w:pPr>
              <w:pStyle w:val="8"/>
              <w:autoSpaceDE/>
              <w:autoSpaceDN/>
              <w:spacing w:before="58" w:line="360" w:lineRule="exact"/>
              <w:ind w:left="0" w:left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4"/>
                <w:sz w:val="21"/>
                <w:szCs w:val="21"/>
              </w:rPr>
              <w:t>1.00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注：赔付比例在两档之间的，采用线性插值的方式计算赔付比例调整系数。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（2）</w:t>
      </w: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被保险人未以参加基本医疗保险或公费医疗身份投保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：</w:t>
      </w:r>
    </w:p>
    <w:tbl>
      <w:tblPr>
        <w:tblStyle w:val="9"/>
        <w:tblW w:w="59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8"/>
        <w:gridCol w:w="912"/>
        <w:gridCol w:w="912"/>
        <w:gridCol w:w="912"/>
        <w:gridCol w:w="912"/>
        <w:gridCol w:w="9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1338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4"/>
                <w:sz w:val="21"/>
                <w:szCs w:val="21"/>
                <w:lang w:eastAsia="zh-CN"/>
              </w:rPr>
              <w:t>赔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付比例</w:t>
            </w:r>
          </w:p>
        </w:tc>
        <w:tc>
          <w:tcPr>
            <w:tcW w:w="912" w:type="dxa"/>
            <w:vAlign w:val="top"/>
          </w:tcPr>
          <w:p>
            <w:pPr>
              <w:pStyle w:val="8"/>
              <w:autoSpaceDE/>
              <w:autoSpaceDN/>
              <w:spacing w:before="59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60%</w:t>
            </w:r>
          </w:p>
        </w:tc>
        <w:tc>
          <w:tcPr>
            <w:tcW w:w="912" w:type="dxa"/>
            <w:vAlign w:val="top"/>
          </w:tcPr>
          <w:p>
            <w:pPr>
              <w:pStyle w:val="8"/>
              <w:autoSpaceDE/>
              <w:autoSpaceDN/>
              <w:spacing w:before="59" w:line="360" w:lineRule="exact"/>
              <w:ind w:left="0" w:left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70%</w:t>
            </w:r>
          </w:p>
        </w:tc>
        <w:tc>
          <w:tcPr>
            <w:tcW w:w="912" w:type="dxa"/>
            <w:vAlign w:val="top"/>
          </w:tcPr>
          <w:p>
            <w:pPr>
              <w:pStyle w:val="8"/>
              <w:autoSpaceDE/>
              <w:autoSpaceDN/>
              <w:spacing w:before="59" w:line="360" w:lineRule="exact"/>
              <w:ind w:left="0" w:left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80%</w:t>
            </w:r>
          </w:p>
        </w:tc>
        <w:tc>
          <w:tcPr>
            <w:tcW w:w="912" w:type="dxa"/>
            <w:vAlign w:val="top"/>
          </w:tcPr>
          <w:p>
            <w:pPr>
              <w:pStyle w:val="8"/>
              <w:autoSpaceDE/>
              <w:autoSpaceDN/>
              <w:spacing w:before="59" w:line="360" w:lineRule="exact"/>
              <w:ind w:left="0" w:left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90%</w:t>
            </w:r>
          </w:p>
        </w:tc>
        <w:tc>
          <w:tcPr>
            <w:tcW w:w="918" w:type="dxa"/>
            <w:vAlign w:val="top"/>
          </w:tcPr>
          <w:p>
            <w:pPr>
              <w:pStyle w:val="8"/>
              <w:autoSpaceDE/>
              <w:autoSpaceDN/>
              <w:spacing w:before="59" w:line="360" w:lineRule="exact"/>
              <w:ind w:left="0" w:left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60%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1338" w:type="dxa"/>
          </w:tcPr>
          <w:p>
            <w:pPr>
              <w:pStyle w:val="8"/>
              <w:autoSpaceDE/>
              <w:autoSpaceDN/>
              <w:spacing w:before="28" w:line="360" w:lineRule="exact"/>
              <w:ind w:firstLine="0" w:firstLine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调整系数</w:t>
            </w:r>
          </w:p>
        </w:tc>
        <w:tc>
          <w:tcPr>
            <w:tcW w:w="912" w:type="dxa"/>
            <w:vAlign w:val="top"/>
          </w:tcPr>
          <w:p>
            <w:pPr>
              <w:pStyle w:val="8"/>
              <w:autoSpaceDE/>
              <w:autoSpaceDN/>
              <w:spacing w:before="58" w:line="360" w:lineRule="exact"/>
              <w:ind w:left="0" w:left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1.0</w:t>
            </w:r>
          </w:p>
        </w:tc>
        <w:tc>
          <w:tcPr>
            <w:tcW w:w="912" w:type="dxa"/>
            <w:vAlign w:val="top"/>
          </w:tcPr>
          <w:p>
            <w:pPr>
              <w:pStyle w:val="8"/>
              <w:autoSpaceDE/>
              <w:autoSpaceDN/>
              <w:spacing w:before="58" w:line="360" w:lineRule="exact"/>
              <w:ind w:left="0" w:leftChars="0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spacing w:val="-1"/>
                <w:sz w:val="21"/>
                <w:szCs w:val="21"/>
              </w:rPr>
              <w:t>.</w:t>
            </w: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912" w:type="dxa"/>
            <w:vAlign w:val="top"/>
          </w:tcPr>
          <w:p>
            <w:pPr>
              <w:pStyle w:val="8"/>
              <w:autoSpaceDE/>
              <w:autoSpaceDN/>
              <w:spacing w:before="58" w:line="360" w:lineRule="exact"/>
              <w:ind w:left="0" w:leftChars="0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1.33</w:t>
            </w:r>
          </w:p>
        </w:tc>
        <w:tc>
          <w:tcPr>
            <w:tcW w:w="912" w:type="dxa"/>
            <w:vAlign w:val="top"/>
          </w:tcPr>
          <w:p>
            <w:pPr>
              <w:pStyle w:val="8"/>
              <w:autoSpaceDE/>
              <w:autoSpaceDN/>
              <w:spacing w:before="58" w:line="360" w:lineRule="exact"/>
              <w:ind w:left="0" w:left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1.5</w:t>
            </w:r>
          </w:p>
        </w:tc>
        <w:tc>
          <w:tcPr>
            <w:tcW w:w="918" w:type="dxa"/>
            <w:vAlign w:val="top"/>
          </w:tcPr>
          <w:p>
            <w:pPr>
              <w:pStyle w:val="8"/>
              <w:autoSpaceDE/>
              <w:autoSpaceDN/>
              <w:spacing w:before="58" w:line="360" w:lineRule="exact"/>
              <w:ind w:left="0" w:left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1.0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注：赔付比例在两档之间的，采用线性插值的方式计算赔付比例调整系数。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（3）被保险人以参加基本医疗保险或者公费医疗身份投保，但未以参加基本医疗保险或者公费医疗身份就诊并结算的：</w:t>
      </w:r>
    </w:p>
    <w:tbl>
      <w:tblPr>
        <w:tblStyle w:val="9"/>
        <w:tblW w:w="498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8"/>
        <w:gridCol w:w="912"/>
        <w:gridCol w:w="912"/>
        <w:gridCol w:w="912"/>
        <w:gridCol w:w="9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1338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赔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付比例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60%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70%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80%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1338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调整系数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1.0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.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1.33</w:t>
            </w:r>
          </w:p>
        </w:tc>
        <w:tc>
          <w:tcPr>
            <w:tcW w:w="912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1.5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注：赔付比例在两档之间的，采用线性插值的方式计算赔付比例调整系数。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4、保险金额调整系数（F4）</w:t>
      </w:r>
    </w:p>
    <w:tbl>
      <w:tblPr>
        <w:tblStyle w:val="4"/>
        <w:tblW w:w="2811" w:type="pct"/>
        <w:tblInd w:w="2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1"/>
        <w:gridCol w:w="2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保险金额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万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元）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(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0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,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0]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[0.8,1.0]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(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0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,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0]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(1.0,1.1]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(30,50]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(1.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,1.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(5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0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,100]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(1.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,1.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]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32" w:firstLineChars="200"/>
        <w:textAlignment w:val="baseline"/>
        <w:rPr>
          <w:rFonts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被保险人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健康状况调整系数核保要素（F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被保险人健康状况</w:t>
            </w:r>
          </w:p>
        </w:tc>
        <w:tc>
          <w:tcPr>
            <w:tcW w:w="1830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健康意识较好，开展的体育文化活动非常丰富，生活规律。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[0.5,0.9)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健康意识一般，开展体育文化活动较少，生活比较规律。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[0.9,1.1)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健康意识较差，基本不开展体育文化活动，生活不规律。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[1.1,2.0]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8" w:firstLineChars="200"/>
        <w:textAlignment w:val="baseline"/>
        <w:rPr>
          <w:rFonts w:ascii="宋体" w:hAnsi="宋体" w:eastAsia="宋体" w:cs="宋体"/>
          <w:b/>
          <w:bCs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pacing w:val="2"/>
          <w:sz w:val="21"/>
          <w:szCs w:val="21"/>
          <w:lang w:eastAsia="zh-CN"/>
        </w:rPr>
        <w:t>、经验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赔付率</w:t>
      </w:r>
      <w:r>
        <w:rPr>
          <w:rFonts w:hint="eastAsia" w:ascii="宋体" w:hAnsi="宋体" w:eastAsia="宋体" w:cs="宋体"/>
          <w:spacing w:val="2"/>
          <w:sz w:val="21"/>
          <w:szCs w:val="21"/>
          <w:lang w:eastAsia="zh-CN"/>
        </w:rPr>
        <w:t>系数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（F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历史赔付率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0%-30%（含）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[0.5,0.7]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30%-50%（含）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(0.7,0.9]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50%-80%（含）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(0.9,1.1]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80%以上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(1.1,1.5]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4" w:firstLineChars="200"/>
        <w:textAlignment w:val="baseline"/>
        <w:rPr>
          <w:rFonts w:ascii="宋体" w:hAnsi="宋体" w:eastAsia="宋体" w:cs="宋体"/>
          <w:spacing w:val="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1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pacing w:val="1"/>
          <w:sz w:val="21"/>
          <w:szCs w:val="21"/>
          <w:lang w:eastAsia="zh-CN"/>
        </w:rPr>
        <w:t>、被保险人数或渠道预期投保人数系数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（F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被保险人数或渠道预期投保人数</w:t>
            </w:r>
          </w:p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(N人）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N≤100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[1.0,1.5]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100＜N≤500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[0.9,1.0)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500＜N≤1,000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[0.8,0.9)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1,000＜N≤5,000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[0.75,0.8)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5,000＜N≤10,000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[0.7,0.75)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10,000＜N≤50,000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[0.65,0.7)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N＞50,000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autoSpaceDE/>
              <w:autoSpaceDN/>
              <w:spacing w:before="29" w:line="360" w:lineRule="exact"/>
              <w:ind w:firstLine="0" w:firstLineChars="0"/>
              <w:jc w:val="center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[0.55,0.65)</w:t>
            </w:r>
          </w:p>
        </w:tc>
      </w:tr>
    </w:tbl>
    <w:p>
      <w:pPr>
        <w:pStyle w:val="2"/>
        <w:spacing w:after="175" w:afterLines="73" w:line="360" w:lineRule="exact"/>
        <w:ind w:left="420" w:leftChars="200"/>
        <w:rPr>
          <w:rFonts w:ascii="宋体" w:hAnsi="宋体" w:eastAsia="宋体" w:cs="宋体"/>
          <w:spacing w:val="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1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pacing w:val="1"/>
          <w:sz w:val="21"/>
          <w:szCs w:val="21"/>
          <w:lang w:eastAsia="zh-CN"/>
        </w:rPr>
        <w:t>.缴费方式调整系数(F</w:t>
      </w:r>
      <w:r>
        <w:rPr>
          <w:rFonts w:hint="eastAsia" w:ascii="宋体" w:hAnsi="宋体" w:eastAsia="宋体" w:cs="宋体"/>
          <w:spacing w:val="1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pacing w:val="1"/>
          <w:sz w:val="21"/>
          <w:szCs w:val="21"/>
          <w:lang w:eastAsia="zh-CN"/>
        </w:rPr>
        <w:t>)</w:t>
      </w:r>
    </w:p>
    <w:tbl>
      <w:tblPr>
        <w:tblStyle w:val="3"/>
        <w:tblW w:w="5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2"/>
        <w:gridCol w:w="2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2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缴费方式</w:t>
            </w:r>
          </w:p>
        </w:tc>
        <w:tc>
          <w:tcPr>
            <w:tcW w:w="2194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2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按月缴费</w:t>
            </w:r>
          </w:p>
        </w:tc>
        <w:tc>
          <w:tcPr>
            <w:tcW w:w="2194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[1.0,1.3]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2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按季缴费</w:t>
            </w:r>
          </w:p>
        </w:tc>
        <w:tc>
          <w:tcPr>
            <w:tcW w:w="2194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2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一次性缴清</w:t>
            </w:r>
          </w:p>
        </w:tc>
        <w:tc>
          <w:tcPr>
            <w:tcW w:w="2194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[0.9,1.0]</w:t>
            </w:r>
          </w:p>
        </w:tc>
      </w:tr>
    </w:tbl>
    <w:p>
      <w:pPr>
        <w:pStyle w:val="2"/>
        <w:spacing w:before="186" w:after="120" w:afterLines="50" w:line="360" w:lineRule="exact"/>
        <w:ind w:firstLine="430" w:firstLineChars="200"/>
        <w:rPr>
          <w:rFonts w:ascii="宋体" w:hAnsi="宋体" w:eastAsia="宋体" w:cs="宋体"/>
          <w:b/>
          <w:bCs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  <w:lang w:eastAsia="zh-CN"/>
        </w:rPr>
        <w:t>三、保险费计算公式</w:t>
      </w:r>
    </w:p>
    <w:p>
      <w:pPr>
        <w:spacing w:before="39" w:line="360" w:lineRule="exact"/>
        <w:ind w:left="420" w:leftChars="200"/>
        <w:rPr>
          <w:rFonts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 xml:space="preserve">年保险费= </w:t>
      </w:r>
      <w:r>
        <w:rPr>
          <w:rFonts w:hint="eastAsia" w:ascii="宋体" w:hAnsi="宋体" w:eastAsia="宋体" w:cs="宋体"/>
          <w:spacing w:val="-1"/>
          <w:lang w:val="en-US" w:eastAsia="zh-CN"/>
        </w:rPr>
        <w:t>年</w:t>
      </w:r>
      <w:r>
        <w:rPr>
          <w:rFonts w:hint="eastAsia" w:ascii="宋体" w:hAnsi="宋体" w:eastAsia="宋体" w:cs="宋体"/>
          <w:spacing w:val="4"/>
          <w:lang w:eastAsia="zh-CN"/>
        </w:rPr>
        <w:t>基准保险费</w:t>
      </w:r>
      <w:r>
        <w:rPr>
          <w:rFonts w:hint="eastAsia" w:ascii="宋体" w:hAnsi="宋体" w:eastAsia="宋体" w:cs="宋体"/>
          <w:spacing w:val="-1"/>
          <w:lang w:eastAsia="zh-CN"/>
        </w:rPr>
        <w:t>×F1×F2×F3×F4×F5×F6×F7×F</w:t>
      </w:r>
      <w:r>
        <w:rPr>
          <w:rFonts w:hint="eastAsia" w:ascii="宋体" w:hAnsi="宋体" w:eastAsia="宋体" w:cs="宋体"/>
          <w:spacing w:val="-1"/>
          <w:lang w:val="en-US" w:eastAsia="zh-CN"/>
        </w:rPr>
        <w:t>8</w:t>
      </w:r>
    </w:p>
    <w:p>
      <w:pPr>
        <w:pStyle w:val="2"/>
        <w:spacing w:before="186" w:after="120" w:afterLines="50" w:line="360" w:lineRule="exact"/>
        <w:ind w:firstLine="430" w:firstLineChars="200"/>
        <w:rPr>
          <w:rFonts w:hint="eastAsia" w:ascii="宋体" w:hAnsi="宋体" w:eastAsia="宋体" w:cs="宋体"/>
          <w:b/>
          <w:bCs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  <w:lang w:eastAsia="zh-CN"/>
        </w:rPr>
        <w:t>四、短期费率表</w:t>
      </w:r>
    </w:p>
    <w:p>
      <w:pPr>
        <w:spacing w:line="288" w:lineRule="auto"/>
        <w:ind w:firstLine="482"/>
        <w:rPr>
          <w:rFonts w:hAnsi="宋体"/>
          <w:lang w:eastAsia="zh-CN"/>
        </w:rPr>
      </w:pPr>
      <w:r>
        <w:rPr>
          <w:rFonts w:hint="eastAsia" w:hAnsi="宋体"/>
          <w:lang w:eastAsia="zh-CN"/>
        </w:rPr>
        <w:t>保险期间不足一年的，按以下标准计算短期保险费（按年保险费的百分比计算，不足一个月的按一个月计算）：</w:t>
      </w:r>
    </w:p>
    <w:tbl>
      <w:tblPr>
        <w:tblStyle w:val="3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  <w:lang w:eastAsia="zh-CN"/>
              </w:rPr>
              <w:t>100%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499E55EF"/>
    <w:rsid w:val="02303BC1"/>
    <w:rsid w:val="0B3256D8"/>
    <w:rsid w:val="0B962DC3"/>
    <w:rsid w:val="130C6DBF"/>
    <w:rsid w:val="1AC476BB"/>
    <w:rsid w:val="260E54E9"/>
    <w:rsid w:val="2BA82B55"/>
    <w:rsid w:val="38F51F6A"/>
    <w:rsid w:val="43D82AFF"/>
    <w:rsid w:val="499E55EF"/>
    <w:rsid w:val="543644FE"/>
    <w:rsid w:val="68547857"/>
    <w:rsid w:val="785F0E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微软雅黑" w:hAnsi="微软雅黑" w:eastAsia="微软雅黑" w:cs="微软雅黑"/>
      <w:sz w:val="25"/>
      <w:szCs w:val="25"/>
    </w:rPr>
  </w:style>
  <w:style w:type="table" w:styleId="4">
    <w:name w:val="Table Grid"/>
    <w:basedOn w:val="3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条款正文"/>
    <w:basedOn w:val="1"/>
    <w:autoRedefine/>
    <w:qFormat/>
    <w:uiPriority w:val="0"/>
    <w:pPr>
      <w:ind w:left="840" w:leftChars="400" w:firstLine="420" w:firstLineChars="200"/>
    </w:pPr>
    <w:rPr>
      <w:rFonts w:ascii="Times New Roman" w:hAnsi="Times New Roman"/>
    </w:rPr>
  </w:style>
  <w:style w:type="character" w:customStyle="1" w:styleId="7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1157</Words>
  <Characters>1686</Characters>
  <Lines>0</Lines>
  <Paragraphs>0</Paragraphs>
  <TotalTime>3</TotalTime>
  <ScaleCrop>false</ScaleCrop>
  <LinksUpToDate>false</LinksUpToDate>
  <CharactersWithSpaces>1699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2023-12-18T10:29:00Z</dcterms:created>
  <dc:creator>KOALA </dc:creator>
  <cp:lastModifiedBy>Zixuan Shen</cp:lastModifiedBy>
  <dcterms:modified xsi:type="dcterms:W3CDTF">2023-12-20T11:24:24Z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27E21F0301024414B7B5E0FFE48E1302_11</vt:lpwstr>
  </property>
</Properties>
</file>