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widowControl/>
        <w:adjustRightInd w:val="0"/>
        <w:snapToGrid w:val="0"/>
        <w:spacing w:before="0" w:beforeAutospacing="0" w:after="156" w:afterLines="50" w:afterAutospacing="0"/>
        <w:jc w:val="center"/>
        <w:rPr>
          <w:b/>
          <w:kern w:val="2"/>
          <w:sz w:val="28"/>
          <w:szCs w:val="28"/>
          <w:lang w:bidi="ar"/>
        </w:rPr>
      </w:pPr>
      <w:r>
        <w:rPr>
          <w:rFonts w:hint="eastAsia"/>
          <w:b/>
          <w:kern w:val="2"/>
          <w:sz w:val="28"/>
          <w:szCs w:val="28"/>
          <w:lang w:bidi="ar"/>
        </w:rPr>
        <w:t>华农财产保险股份有限公司</w:t>
      </w:r>
    </w:p>
    <w:p>
      <w:pPr>
        <w:pStyle w:val="7"/>
        <w:widowControl/>
        <w:adjustRightInd w:val="0"/>
        <w:snapToGrid w:val="0"/>
        <w:spacing w:before="0" w:beforeAutospacing="0" w:after="156" w:afterLines="50" w:afterAutospacing="0"/>
        <w:jc w:val="center"/>
        <w:rPr>
          <w:b/>
          <w:kern w:val="2"/>
          <w:sz w:val="28"/>
          <w:szCs w:val="28"/>
          <w:lang w:bidi="ar"/>
        </w:rPr>
      </w:pPr>
      <w:r>
        <w:rPr>
          <w:rFonts w:hint="eastAsia"/>
          <w:b/>
          <w:kern w:val="2"/>
          <w:sz w:val="28"/>
          <w:szCs w:val="28"/>
          <w:lang w:bidi="ar"/>
        </w:rPr>
        <w:t>附加特定责任定额补偿保险A</w:t>
      </w:r>
      <w:r>
        <w:rPr>
          <w:b/>
          <w:kern w:val="2"/>
          <w:sz w:val="28"/>
          <w:szCs w:val="28"/>
          <w:lang w:bidi="ar"/>
        </w:rPr>
        <w:t>款</w:t>
      </w:r>
      <w:r>
        <w:rPr>
          <w:rFonts w:hint="eastAsia"/>
          <w:b/>
          <w:kern w:val="2"/>
          <w:sz w:val="28"/>
          <w:szCs w:val="28"/>
          <w:lang w:bidi="ar"/>
        </w:rPr>
        <w:t>条款（互联网专属）</w:t>
      </w:r>
    </w:p>
    <w:p>
      <w:pPr>
        <w:pStyle w:val="7"/>
        <w:widowControl/>
        <w:adjustRightInd w:val="0"/>
        <w:snapToGrid w:val="0"/>
        <w:spacing w:after="156" w:afterLines="50" w:afterAutospacing="0"/>
        <w:jc w:val="center"/>
        <w:rPr>
          <w:rFonts w:hint="default" w:eastAsia="宋体"/>
          <w:b/>
          <w:kern w:val="2"/>
          <w:sz w:val="21"/>
          <w:szCs w:val="21"/>
          <w:lang w:val="en-US" w:eastAsia="zh-CN"/>
        </w:rPr>
      </w:pPr>
      <w:r>
        <w:rPr>
          <w:rFonts w:hint="eastAsia"/>
          <w:b/>
          <w:kern w:val="2"/>
          <w:sz w:val="21"/>
          <w:szCs w:val="21"/>
          <w:lang w:val="en-US" w:eastAsia="zh-CN"/>
        </w:rPr>
        <w:t>注册编号：</w:t>
      </w:r>
      <w:r>
        <w:rPr>
          <w:rFonts w:hint="default" w:eastAsia="宋体"/>
          <w:b/>
          <w:kern w:val="2"/>
          <w:sz w:val="21"/>
          <w:szCs w:val="21"/>
          <w:lang w:val="en-US" w:eastAsia="zh-CN"/>
        </w:rPr>
        <w:t>C00010132522023020924523</w:t>
      </w:r>
    </w:p>
    <w:p>
      <w:pPr>
        <w:pStyle w:val="7"/>
        <w:widowControl/>
        <w:adjustRightInd w:val="0"/>
        <w:snapToGrid w:val="0"/>
        <w:spacing w:after="156" w:afterLines="50" w:afterAutospacing="0"/>
        <w:jc w:val="center"/>
        <w:rPr>
          <w:b/>
          <w:kern w:val="2"/>
          <w:sz w:val="21"/>
          <w:szCs w:val="21"/>
        </w:rPr>
      </w:pPr>
      <w:bookmarkStart w:id="11" w:name="_GoBack"/>
      <w:bookmarkEnd w:id="11"/>
      <w:r>
        <w:rPr>
          <w:rFonts w:hint="eastAsia"/>
          <w:b/>
          <w:kern w:val="2"/>
          <w:sz w:val="21"/>
          <w:szCs w:val="21"/>
        </w:rPr>
        <w:t>总则</w:t>
      </w:r>
    </w:p>
    <w:p>
      <w:pPr>
        <w:spacing w:after="156" w:afterLines="50"/>
        <w:ind w:firstLine="422"/>
        <w:rPr>
          <w:rFonts w:cs="Arial"/>
          <w:b/>
          <w:kern w:val="2"/>
          <w:sz w:val="21"/>
          <w:szCs w:val="21"/>
        </w:rPr>
      </w:pPr>
      <w:r>
        <w:rPr>
          <w:rFonts w:hint="eastAsia" w:cs="Arial"/>
          <w:b/>
          <w:kern w:val="2"/>
          <w:sz w:val="21"/>
          <w:szCs w:val="21"/>
        </w:rPr>
        <w:t xml:space="preserve">第一条  </w:t>
      </w:r>
      <w:r>
        <w:rPr>
          <w:rFonts w:hint="eastAsia" w:cs="Arial"/>
          <w:bCs/>
          <w:kern w:val="2"/>
          <w:sz w:val="21"/>
          <w:szCs w:val="21"/>
        </w:rPr>
        <w:t>本附加险合同可附加于华农财产保险股份有限公司互联网专属的住院医疗类保险合同（以下简称“主险合同”）上。在投保主险合同的基础上，投保人可以投保本附加险。凡涉及本附加险合同的约定，均应采用书面形式。</w:t>
      </w:r>
    </w:p>
    <w:p>
      <w:pPr>
        <w:spacing w:after="156" w:afterLines="50"/>
        <w:ind w:firstLine="422"/>
        <w:rPr>
          <w:rFonts w:cs="Arial"/>
          <w:bCs/>
          <w:kern w:val="2"/>
          <w:sz w:val="21"/>
          <w:szCs w:val="21"/>
        </w:rPr>
      </w:pPr>
      <w:r>
        <w:rPr>
          <w:rFonts w:hint="eastAsia" w:cs="Arial"/>
          <w:b/>
          <w:kern w:val="2"/>
          <w:sz w:val="21"/>
          <w:szCs w:val="21"/>
        </w:rPr>
        <w:t>本附加险合同作为主险合同的组成部分，主险合同效力终止，本附加险合同效力亦同时终止；主险合同无效，本附加险合同亦无效。本附加险合同与主险合同相抵触之处，以本附加险合同为准，本附加险合同未约定事项，以主险合同为准</w:t>
      </w:r>
      <w:r>
        <w:rPr>
          <w:rFonts w:hint="eastAsia" w:cs="Arial"/>
          <w:bCs/>
          <w:kern w:val="2"/>
          <w:sz w:val="21"/>
          <w:szCs w:val="21"/>
        </w:rPr>
        <w:t>。</w:t>
      </w:r>
    </w:p>
    <w:p>
      <w:pPr>
        <w:spacing w:after="156" w:afterLines="50"/>
        <w:ind w:right="82" w:rightChars="24"/>
        <w:jc w:val="center"/>
        <w:rPr>
          <w:rFonts w:hAnsi="宋体" w:cs="宋体"/>
          <w:b/>
          <w:kern w:val="2"/>
          <w:sz w:val="21"/>
          <w:szCs w:val="21"/>
        </w:rPr>
      </w:pPr>
      <w:r>
        <w:rPr>
          <w:rFonts w:hint="eastAsia" w:hAnsi="宋体" w:cs="宋体"/>
          <w:b/>
          <w:kern w:val="2"/>
          <w:sz w:val="21"/>
          <w:szCs w:val="21"/>
          <w:lang w:bidi="ar"/>
        </w:rPr>
        <w:t>保险责任</w:t>
      </w:r>
    </w:p>
    <w:p>
      <w:pPr>
        <w:numPr>
          <w:ilvl w:val="255"/>
          <w:numId w:val="0"/>
        </w:numPr>
        <w:spacing w:after="156" w:afterLines="50"/>
        <w:ind w:firstLine="420"/>
        <w:rPr>
          <w:rFonts w:cs="Arial"/>
          <w:b/>
          <w:kern w:val="2"/>
          <w:sz w:val="21"/>
          <w:szCs w:val="21"/>
        </w:rPr>
      </w:pPr>
      <w:r>
        <w:rPr>
          <w:rFonts w:hint="eastAsia" w:hAnsi="宋体" w:cs="宋体"/>
          <w:b/>
          <w:bCs/>
          <w:kern w:val="2"/>
          <w:sz w:val="21"/>
          <w:szCs w:val="21"/>
        </w:rPr>
        <w:t>第二条</w:t>
      </w:r>
      <w:r>
        <w:rPr>
          <w:rFonts w:hint="eastAsia" w:hAnsi="宋体" w:cs="宋体"/>
          <w:kern w:val="2"/>
          <w:sz w:val="21"/>
          <w:szCs w:val="21"/>
        </w:rPr>
        <w:t xml:space="preserve">  本附加险合同的特定责任定额补偿保险责任包括“重症监护病房住院津贴保险金”、“急性肺损伤导致的体外膜肺氧合（ECMO）治疗保险金”、“住院治疗保险金”、“特定重大器官移植手术保险金”、“全残保险金”和“严重慢性肾衰竭导致的日常生活能力丧失保险金”共六项保险责任，具体如下。</w:t>
      </w:r>
    </w:p>
    <w:p>
      <w:pPr>
        <w:pStyle w:val="7"/>
        <w:spacing w:before="0" w:beforeAutospacing="0" w:after="156" w:afterLines="50" w:afterAutospacing="0"/>
        <w:ind w:firstLine="422" w:firstLineChars="200"/>
        <w:jc w:val="both"/>
        <w:rPr>
          <w:b/>
          <w:kern w:val="2"/>
          <w:sz w:val="21"/>
          <w:szCs w:val="21"/>
        </w:rPr>
      </w:pPr>
      <w:r>
        <w:rPr>
          <w:rFonts w:hint="eastAsia"/>
          <w:b/>
          <w:kern w:val="2"/>
          <w:sz w:val="21"/>
          <w:szCs w:val="21"/>
          <w:lang w:bidi="ar"/>
        </w:rPr>
        <w:t>（一）重症监护病房住院津贴保险金</w:t>
      </w:r>
    </w:p>
    <w:p>
      <w:pPr>
        <w:adjustRightInd w:val="0"/>
        <w:snapToGrid w:val="0"/>
        <w:spacing w:line="360" w:lineRule="auto"/>
        <w:ind w:firstLine="420" w:firstLineChars="200"/>
        <w:rPr>
          <w:rFonts w:hAnsi="宋体" w:cs="宋体"/>
          <w:b/>
          <w:kern w:val="2"/>
          <w:sz w:val="21"/>
          <w:szCs w:val="21"/>
        </w:rPr>
      </w:pPr>
      <w:r>
        <w:rPr>
          <w:rFonts w:hint="eastAsia" w:hAnsi="宋体" w:cs="宋体"/>
          <w:kern w:val="2"/>
          <w:sz w:val="21"/>
          <w:szCs w:val="21"/>
        </w:rPr>
        <w:t>在保险期间内，被保险人因遭受</w:t>
      </w:r>
      <w:r>
        <w:rPr>
          <w:rFonts w:hint="eastAsia" w:hAnsi="宋体" w:cs="宋体"/>
          <w:bCs/>
          <w:kern w:val="2"/>
          <w:sz w:val="21"/>
          <w:szCs w:val="21"/>
        </w:rPr>
        <w:t>意外伤害或</w:t>
      </w:r>
      <w:r>
        <w:rPr>
          <w:rFonts w:hint="eastAsia" w:hAnsi="宋体" w:cs="宋体"/>
          <w:b/>
          <w:bCs/>
          <w:kern w:val="2"/>
          <w:sz w:val="21"/>
          <w:szCs w:val="21"/>
        </w:rPr>
        <w:t>等待期（见释义</w:t>
      </w:r>
      <w:r>
        <w:rPr>
          <w:rFonts w:hAnsi="宋体" w:cs="宋体"/>
          <w:b/>
          <w:bCs/>
          <w:kern w:val="2"/>
          <w:sz w:val="21"/>
          <w:szCs w:val="21"/>
        </w:rPr>
        <w:t>1）</w:t>
      </w:r>
      <w:r>
        <w:rPr>
          <w:rFonts w:hint="eastAsia" w:hAnsi="宋体" w:cs="宋体"/>
          <w:kern w:val="2"/>
          <w:sz w:val="21"/>
          <w:szCs w:val="21"/>
        </w:rPr>
        <w:t>后因意外伤害之外的其他原因，在</w:t>
      </w:r>
      <w:r>
        <w:rPr>
          <w:rFonts w:hint="eastAsia" w:hAnsi="宋体" w:cs="宋体"/>
          <w:b/>
          <w:bCs/>
          <w:kern w:val="2"/>
          <w:sz w:val="21"/>
          <w:szCs w:val="21"/>
        </w:rPr>
        <w:t>三级公立</w:t>
      </w:r>
      <w:r>
        <w:rPr>
          <w:rFonts w:hint="eastAsia" w:hAnsi="宋体" w:cs="宋体"/>
          <w:b/>
          <w:kern w:val="2"/>
          <w:sz w:val="21"/>
          <w:szCs w:val="21"/>
        </w:rPr>
        <w:t>医院（</w:t>
      </w:r>
      <w:r>
        <w:rPr>
          <w:rFonts w:hint="eastAsia" w:hAnsi="宋体" w:cs="宋体"/>
          <w:b/>
          <w:bCs/>
          <w:kern w:val="2"/>
          <w:sz w:val="21"/>
          <w:szCs w:val="21"/>
        </w:rPr>
        <w:t>见</w:t>
      </w:r>
      <w:r>
        <w:rPr>
          <w:rFonts w:hint="eastAsia" w:hAnsi="宋体" w:cs="宋体"/>
          <w:b/>
          <w:kern w:val="2"/>
          <w:sz w:val="21"/>
          <w:szCs w:val="21"/>
        </w:rPr>
        <w:t>释义</w:t>
      </w:r>
      <w:r>
        <w:rPr>
          <w:rFonts w:hAnsi="宋体" w:cs="宋体"/>
          <w:b/>
          <w:kern w:val="2"/>
          <w:sz w:val="21"/>
          <w:szCs w:val="21"/>
        </w:rPr>
        <w:t>2</w:t>
      </w:r>
      <w:r>
        <w:rPr>
          <w:rFonts w:hint="eastAsia" w:hAnsi="宋体" w:cs="宋体"/>
          <w:b/>
          <w:kern w:val="2"/>
          <w:sz w:val="21"/>
          <w:szCs w:val="21"/>
        </w:rPr>
        <w:t>）</w:t>
      </w:r>
      <w:r>
        <w:rPr>
          <w:rFonts w:hint="eastAsia" w:hAnsi="宋体" w:cs="宋体"/>
          <w:kern w:val="2"/>
          <w:sz w:val="21"/>
          <w:szCs w:val="21"/>
        </w:rPr>
        <w:t>入住</w:t>
      </w:r>
      <w:r>
        <w:rPr>
          <w:rFonts w:hint="eastAsia" w:hAnsi="宋体" w:cs="宋体"/>
          <w:b/>
          <w:kern w:val="2"/>
          <w:sz w:val="21"/>
          <w:szCs w:val="21"/>
        </w:rPr>
        <w:t>重症监护病房（以下简称“ICU”）（见释义</w:t>
      </w:r>
      <w:r>
        <w:rPr>
          <w:rFonts w:hAnsi="宋体" w:cs="宋体"/>
          <w:b/>
          <w:kern w:val="2"/>
          <w:sz w:val="21"/>
          <w:szCs w:val="21"/>
        </w:rPr>
        <w:t>3</w:t>
      </w:r>
      <w:r>
        <w:rPr>
          <w:rFonts w:hint="eastAsia" w:hAnsi="宋体" w:cs="宋体"/>
          <w:b/>
          <w:kern w:val="2"/>
          <w:sz w:val="21"/>
          <w:szCs w:val="21"/>
        </w:rPr>
        <w:t>）</w:t>
      </w:r>
      <w:r>
        <w:rPr>
          <w:rFonts w:hint="eastAsia" w:hAnsi="宋体" w:cs="宋体"/>
          <w:kern w:val="2"/>
          <w:sz w:val="21"/>
          <w:szCs w:val="21"/>
        </w:rPr>
        <w:t>治疗，</w:t>
      </w:r>
      <w:r>
        <w:rPr>
          <w:rFonts w:hint="eastAsia" w:hAnsi="宋体" w:cs="宋体"/>
          <w:b/>
          <w:bCs/>
          <w:kern w:val="2"/>
          <w:sz w:val="21"/>
          <w:szCs w:val="21"/>
        </w:rPr>
        <w:t>保险人按照被保险人每次实际入住ICU天数扣除每次住院免赔天数后乘以本附加险合同约定的ICU每日住院津贴金额给付重症监护病房住院津贴保险金，但对累计重症监护病房住院津贴保险金以约定的I</w:t>
      </w:r>
      <w:r>
        <w:rPr>
          <w:rFonts w:hAnsi="宋体" w:cs="宋体"/>
          <w:b/>
          <w:bCs/>
          <w:kern w:val="2"/>
          <w:sz w:val="21"/>
          <w:szCs w:val="21"/>
        </w:rPr>
        <w:t>CU</w:t>
      </w:r>
      <w:r>
        <w:rPr>
          <w:rFonts w:hint="eastAsia" w:hAnsi="宋体" w:cs="宋体"/>
          <w:b/>
          <w:bCs/>
          <w:kern w:val="2"/>
          <w:sz w:val="21"/>
          <w:szCs w:val="21"/>
        </w:rPr>
        <w:t>累计给付限额为限</w:t>
      </w:r>
      <w:r>
        <w:rPr>
          <w:rFonts w:hint="eastAsia" w:hAnsi="宋体" w:cs="宋体"/>
          <w:kern w:val="2"/>
          <w:sz w:val="21"/>
          <w:szCs w:val="21"/>
        </w:rPr>
        <w:t>。</w:t>
      </w:r>
      <w:r>
        <w:rPr>
          <w:rFonts w:hint="eastAsia" w:hAnsi="宋体" w:cs="宋体"/>
          <w:b/>
          <w:kern w:val="2"/>
          <w:sz w:val="21"/>
          <w:szCs w:val="21"/>
        </w:rPr>
        <w:t>当累计重症监护病房住院津贴保险金之和达到约定的</w:t>
      </w:r>
      <w:r>
        <w:rPr>
          <w:rFonts w:hAnsi="宋体" w:cs="宋体"/>
          <w:b/>
          <w:kern w:val="2"/>
          <w:sz w:val="21"/>
          <w:szCs w:val="21"/>
        </w:rPr>
        <w:t>ICU累计给付限额</w:t>
      </w:r>
      <w:r>
        <w:rPr>
          <w:rFonts w:hint="eastAsia" w:hAnsi="宋体" w:cs="宋体"/>
          <w:b/>
          <w:kern w:val="2"/>
          <w:sz w:val="21"/>
          <w:szCs w:val="21"/>
        </w:rPr>
        <w:t>时，保险人对被保险人在本项下的保险责任终止。</w:t>
      </w:r>
    </w:p>
    <w:p>
      <w:pPr>
        <w:numPr>
          <w:ilvl w:val="255"/>
          <w:numId w:val="0"/>
        </w:numPr>
        <w:spacing w:after="156" w:afterLines="50"/>
        <w:ind w:firstLine="422" w:firstLineChars="200"/>
        <w:rPr>
          <w:rFonts w:cs="Arial"/>
          <w:b/>
          <w:bCs/>
          <w:kern w:val="2"/>
          <w:sz w:val="21"/>
          <w:szCs w:val="21"/>
        </w:rPr>
      </w:pPr>
      <w:r>
        <w:rPr>
          <w:rFonts w:hint="eastAsia" w:hAnsi="宋体" w:cs="宋体"/>
          <w:b/>
          <w:bCs/>
          <w:kern w:val="2"/>
          <w:sz w:val="21"/>
          <w:szCs w:val="21"/>
        </w:rPr>
        <w:t>重症监护病房住院津贴保险金的ICU每日住院津贴金额、ICU每次住院免赔天数和ICU累计给付限额由投保人与保险人约定并在保险单中载明。</w:t>
      </w:r>
    </w:p>
    <w:p>
      <w:pPr>
        <w:adjustRightInd w:val="0"/>
        <w:snapToGrid w:val="0"/>
        <w:spacing w:line="360" w:lineRule="auto"/>
        <w:ind w:firstLine="422" w:firstLineChars="200"/>
        <w:rPr>
          <w:rFonts w:hAnsi="宋体" w:cs="宋体"/>
          <w:b/>
          <w:bCs/>
          <w:kern w:val="2"/>
          <w:sz w:val="21"/>
          <w:szCs w:val="21"/>
        </w:rPr>
      </w:pPr>
      <w:bookmarkStart w:id="0" w:name="_Hlk58514839"/>
      <w:r>
        <w:rPr>
          <w:rFonts w:hint="eastAsia" w:hAnsi="宋体" w:cs="宋体"/>
          <w:b/>
          <w:bCs/>
          <w:kern w:val="2"/>
          <w:sz w:val="21"/>
          <w:szCs w:val="21"/>
        </w:rPr>
        <w:t>（二）急性肺损伤导致的体外膜肺氧合（ECMO）治疗保险金</w:t>
      </w:r>
      <w:bookmarkEnd w:id="0"/>
    </w:p>
    <w:p>
      <w:pPr>
        <w:numPr>
          <w:ilvl w:val="255"/>
          <w:numId w:val="0"/>
        </w:numPr>
        <w:adjustRightInd w:val="0"/>
        <w:snapToGrid w:val="0"/>
        <w:spacing w:line="360" w:lineRule="auto"/>
        <w:ind w:firstLine="420" w:firstLineChars="200"/>
        <w:rPr>
          <w:rFonts w:hAnsi="宋体" w:cs="宋体"/>
          <w:kern w:val="2"/>
          <w:sz w:val="21"/>
          <w:szCs w:val="21"/>
        </w:rPr>
      </w:pPr>
      <w:bookmarkStart w:id="1" w:name="_Hlk31887114"/>
      <w:r>
        <w:rPr>
          <w:rFonts w:hint="eastAsia" w:hAnsi="宋体" w:cs="宋体"/>
          <w:kern w:val="2"/>
          <w:sz w:val="21"/>
          <w:szCs w:val="21"/>
        </w:rPr>
        <w:t>在保险期间内，被保险人因意外伤害或等待期后因意外伤害之外的其他原因，经</w:t>
      </w:r>
      <w:r>
        <w:rPr>
          <w:rFonts w:hint="eastAsia" w:hAnsi="宋体" w:cs="宋体"/>
          <w:b/>
          <w:bCs/>
          <w:kern w:val="2"/>
          <w:sz w:val="21"/>
          <w:szCs w:val="21"/>
        </w:rPr>
        <w:t>三级公立医院</w:t>
      </w:r>
      <w:r>
        <w:rPr>
          <w:rFonts w:hint="eastAsia" w:hAnsi="宋体" w:cs="宋体"/>
          <w:bCs/>
          <w:kern w:val="2"/>
          <w:sz w:val="21"/>
          <w:szCs w:val="21"/>
        </w:rPr>
        <w:t>专科医生初次确诊</w:t>
      </w:r>
      <w:r>
        <w:rPr>
          <w:rFonts w:hint="eastAsia" w:hAnsi="宋体" w:cs="宋体"/>
          <w:kern w:val="2"/>
          <w:sz w:val="21"/>
          <w:szCs w:val="21"/>
        </w:rPr>
        <w:t>本附加险合同所定义的</w:t>
      </w:r>
      <w:r>
        <w:rPr>
          <w:rFonts w:hint="eastAsia" w:hAnsi="宋体" w:cs="宋体"/>
          <w:b/>
          <w:kern w:val="2"/>
          <w:sz w:val="21"/>
          <w:szCs w:val="21"/>
        </w:rPr>
        <w:t>急性肺损伤（见释义</w:t>
      </w:r>
      <w:r>
        <w:rPr>
          <w:rFonts w:hAnsi="宋体" w:cs="宋体"/>
          <w:b/>
          <w:kern w:val="2"/>
          <w:sz w:val="21"/>
          <w:szCs w:val="21"/>
        </w:rPr>
        <w:t>4</w:t>
      </w:r>
      <w:r>
        <w:rPr>
          <w:rFonts w:hint="eastAsia" w:hAnsi="宋体" w:cs="宋体"/>
          <w:b/>
          <w:kern w:val="2"/>
          <w:sz w:val="21"/>
          <w:szCs w:val="21"/>
        </w:rPr>
        <w:t>）</w:t>
      </w:r>
      <w:r>
        <w:rPr>
          <w:rFonts w:hint="eastAsia" w:hAnsi="宋体" w:cs="宋体"/>
          <w:kern w:val="2"/>
          <w:sz w:val="21"/>
          <w:szCs w:val="21"/>
        </w:rPr>
        <w:t>，并实际接受了</w:t>
      </w:r>
      <w:bookmarkStart w:id="2" w:name="_Hlk58522169"/>
      <w:r>
        <w:rPr>
          <w:rFonts w:hint="eastAsia" w:hAnsi="宋体" w:cs="宋体"/>
          <w:b/>
          <w:bCs/>
          <w:kern w:val="2"/>
          <w:sz w:val="21"/>
          <w:szCs w:val="21"/>
        </w:rPr>
        <w:t>体外膜肺氧合（</w:t>
      </w:r>
      <w:r>
        <w:rPr>
          <w:rFonts w:hAnsi="宋体" w:cs="宋体"/>
          <w:b/>
          <w:bCs/>
          <w:kern w:val="2"/>
          <w:sz w:val="21"/>
          <w:szCs w:val="21"/>
        </w:rPr>
        <w:t>ECMO）急救治疗</w:t>
      </w:r>
      <w:bookmarkEnd w:id="2"/>
      <w:r>
        <w:rPr>
          <w:rFonts w:hint="eastAsia" w:hAnsi="宋体" w:cs="宋体"/>
          <w:b/>
          <w:bCs/>
          <w:kern w:val="2"/>
          <w:sz w:val="21"/>
          <w:szCs w:val="21"/>
        </w:rPr>
        <w:t>（见释义</w:t>
      </w:r>
      <w:r>
        <w:rPr>
          <w:rFonts w:hAnsi="宋体" w:cs="宋体"/>
          <w:b/>
          <w:bCs/>
          <w:kern w:val="2"/>
          <w:sz w:val="21"/>
          <w:szCs w:val="21"/>
        </w:rPr>
        <w:t>5）</w:t>
      </w:r>
      <w:r>
        <w:rPr>
          <w:rFonts w:hint="eastAsia" w:hAnsi="宋体" w:cs="宋体"/>
          <w:kern w:val="2"/>
          <w:sz w:val="21"/>
          <w:szCs w:val="21"/>
        </w:rPr>
        <w:t>，保险人将按照急性肺损伤导致的体外膜肺氧合（ECMO）治疗保险金的保险金额给付急性肺损伤导致的体外膜肺氧合（ECMO）治疗保险金，</w:t>
      </w:r>
      <w:bookmarkStart w:id="3" w:name="_Hlk58514137"/>
      <w:r>
        <w:rPr>
          <w:rFonts w:hint="eastAsia" w:hAnsi="宋体" w:cs="宋体"/>
          <w:b/>
          <w:bCs/>
          <w:kern w:val="2"/>
          <w:sz w:val="21"/>
          <w:szCs w:val="21"/>
        </w:rPr>
        <w:t>保险人对被保险人在本项下的保险责任终止。</w:t>
      </w:r>
      <w:bookmarkEnd w:id="1"/>
      <w:bookmarkEnd w:id="3"/>
    </w:p>
    <w:p>
      <w:pPr>
        <w:numPr>
          <w:ilvl w:val="255"/>
          <w:numId w:val="0"/>
        </w:numPr>
        <w:adjustRightInd w:val="0"/>
        <w:snapToGrid w:val="0"/>
        <w:spacing w:line="360" w:lineRule="auto"/>
        <w:ind w:firstLine="420" w:firstLineChars="200"/>
        <w:rPr>
          <w:rFonts w:hAnsi="宋体" w:cs="宋体"/>
          <w:kern w:val="2"/>
          <w:sz w:val="21"/>
          <w:szCs w:val="21"/>
        </w:rPr>
      </w:pPr>
      <w:bookmarkStart w:id="4" w:name="_Hlk57909832"/>
      <w:bookmarkStart w:id="5" w:name="_Hlk31887261"/>
      <w:r>
        <w:rPr>
          <w:rFonts w:hint="eastAsia" w:hAnsi="宋体" w:cs="宋体"/>
          <w:kern w:val="2"/>
          <w:sz w:val="21"/>
          <w:szCs w:val="21"/>
        </w:rPr>
        <w:t>急性肺损伤导致的体外膜肺氧合（ECMO）治疗保险金的保险金额由投保人与保险人约定并在保险单中载明。</w:t>
      </w:r>
      <w:bookmarkEnd w:id="4"/>
      <w:bookmarkEnd w:id="5"/>
    </w:p>
    <w:p>
      <w:pPr>
        <w:numPr>
          <w:ilvl w:val="0"/>
          <w:numId w:val="0"/>
        </w:numPr>
        <w:adjustRightInd w:val="0"/>
        <w:snapToGrid w:val="0"/>
        <w:spacing w:line="360" w:lineRule="auto"/>
        <w:ind w:left="422" w:leftChars="0"/>
        <w:rPr>
          <w:rFonts w:hAnsi="宋体" w:cs="宋体"/>
          <w:kern w:val="2"/>
          <w:sz w:val="21"/>
          <w:szCs w:val="21"/>
        </w:rPr>
      </w:pPr>
      <w:r>
        <w:rPr>
          <w:rFonts w:hint="eastAsia" w:hAnsi="宋体" w:cs="宋体"/>
          <w:b/>
          <w:kern w:val="2"/>
          <w:sz w:val="21"/>
          <w:szCs w:val="21"/>
          <w:lang w:eastAsia="zh-CN"/>
        </w:rPr>
        <w:t>（</w:t>
      </w:r>
      <w:r>
        <w:rPr>
          <w:rFonts w:hint="eastAsia" w:hAnsi="宋体" w:cs="宋体"/>
          <w:b/>
          <w:kern w:val="2"/>
          <w:sz w:val="21"/>
          <w:szCs w:val="21"/>
          <w:lang w:val="en-US" w:eastAsia="zh-CN"/>
        </w:rPr>
        <w:t>三</w:t>
      </w:r>
      <w:r>
        <w:rPr>
          <w:rFonts w:hint="eastAsia" w:hAnsi="宋体" w:cs="宋体"/>
          <w:b/>
          <w:kern w:val="2"/>
          <w:sz w:val="21"/>
          <w:szCs w:val="21"/>
          <w:lang w:eastAsia="zh-CN"/>
        </w:rPr>
        <w:t>）</w:t>
      </w:r>
      <w:r>
        <w:rPr>
          <w:rFonts w:hint="eastAsia" w:hAnsi="宋体" w:cs="宋体"/>
          <w:b/>
          <w:kern w:val="2"/>
          <w:sz w:val="21"/>
          <w:szCs w:val="21"/>
        </w:rPr>
        <w:t>住院治疗保险金</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在保险期间内，被保险人因遭受意外伤害或等待期后因意外伤害之外的其他原因，在</w:t>
      </w:r>
      <w:r>
        <w:rPr>
          <w:rFonts w:hint="eastAsia" w:hAnsi="宋体" w:cs="宋体"/>
          <w:b/>
          <w:bCs/>
          <w:kern w:val="2"/>
          <w:sz w:val="21"/>
          <w:szCs w:val="21"/>
        </w:rPr>
        <w:t>二级及以上公立医院</w:t>
      </w:r>
      <w:r>
        <w:rPr>
          <w:rFonts w:hint="eastAsia" w:hAnsi="宋体" w:cs="宋体"/>
          <w:kern w:val="2"/>
          <w:sz w:val="21"/>
          <w:szCs w:val="21"/>
        </w:rPr>
        <w:t>普通部接受</w:t>
      </w:r>
      <w:r>
        <w:rPr>
          <w:rFonts w:hint="eastAsia" w:hAnsi="宋体" w:cs="宋体"/>
          <w:bCs/>
          <w:kern w:val="2"/>
          <w:sz w:val="21"/>
          <w:szCs w:val="21"/>
        </w:rPr>
        <w:t>住院</w:t>
      </w:r>
      <w:r>
        <w:rPr>
          <w:rFonts w:hint="eastAsia" w:hAnsi="宋体" w:cs="宋体"/>
          <w:kern w:val="2"/>
          <w:sz w:val="21"/>
          <w:szCs w:val="21"/>
        </w:rPr>
        <w:t>治疗，对于在医院治疗期间发生的</w:t>
      </w:r>
      <w:r>
        <w:rPr>
          <w:rFonts w:hint="eastAsia" w:hAnsi="宋体" w:cs="宋体"/>
          <w:bCs/>
          <w:kern w:val="2"/>
          <w:sz w:val="21"/>
          <w:szCs w:val="21"/>
        </w:rPr>
        <w:t>必需且合理的住院医疗费用，经过基本医疗保险</w:t>
      </w:r>
      <w:r>
        <w:rPr>
          <w:rFonts w:hint="eastAsia" w:hAnsi="宋体" w:cs="宋体"/>
          <w:kern w:val="2"/>
          <w:sz w:val="21"/>
          <w:szCs w:val="21"/>
        </w:rPr>
        <w:t>或者公费医疗结算后，任意一个保单年度内社保范围内个人自付的住院医疗费用累计金额达到人民币25万元但不足30万元的，保险人将按照住院治疗保险金的基本保险金额给付住院治疗保险金；若任意一个保单年度内社保范围内个人自付的住院医疗费用累计金额达到人民币30万元，保险人将按照</w:t>
      </w:r>
      <w:bookmarkStart w:id="6" w:name="_Hlk57909240"/>
      <w:r>
        <w:rPr>
          <w:rFonts w:hint="eastAsia" w:hAnsi="宋体" w:cs="宋体"/>
          <w:kern w:val="2"/>
          <w:sz w:val="21"/>
          <w:szCs w:val="21"/>
        </w:rPr>
        <w:t>住院治疗保险金</w:t>
      </w:r>
      <w:bookmarkEnd w:id="6"/>
      <w:r>
        <w:rPr>
          <w:rFonts w:hint="eastAsia" w:hAnsi="宋体" w:cs="宋体"/>
          <w:kern w:val="2"/>
          <w:sz w:val="21"/>
          <w:szCs w:val="21"/>
        </w:rPr>
        <w:t>的基本保险金额的2倍给付住院治疗保险金，</w:t>
      </w:r>
      <w:r>
        <w:rPr>
          <w:rFonts w:hint="eastAsia" w:hAnsi="宋体" w:cs="宋体"/>
          <w:b/>
          <w:bCs/>
          <w:kern w:val="2"/>
          <w:sz w:val="21"/>
          <w:szCs w:val="21"/>
        </w:rPr>
        <w:t>保险人对被保险人在本项下的保险责任终止。</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住院治疗保险金的基本保险金额由投保人与保险人约定并在保险单中载明。</w:t>
      </w:r>
    </w:p>
    <w:p>
      <w:pPr>
        <w:adjustRightInd w:val="0"/>
        <w:snapToGrid w:val="0"/>
        <w:spacing w:line="360" w:lineRule="auto"/>
        <w:ind w:firstLine="422" w:firstLineChars="200"/>
        <w:rPr>
          <w:rFonts w:hAnsi="宋体" w:cs="宋体"/>
          <w:kern w:val="2"/>
          <w:sz w:val="21"/>
          <w:szCs w:val="21"/>
        </w:rPr>
      </w:pPr>
      <w:bookmarkStart w:id="7" w:name="_Hlk58514813"/>
      <w:r>
        <w:rPr>
          <w:rFonts w:hint="eastAsia" w:hAnsi="宋体" w:cs="宋体"/>
          <w:b/>
          <w:kern w:val="2"/>
          <w:sz w:val="21"/>
          <w:szCs w:val="21"/>
        </w:rPr>
        <w:t>（四）特定重大器官移植手术保险金</w:t>
      </w:r>
      <w:bookmarkEnd w:id="7"/>
    </w:p>
    <w:p>
      <w:pPr>
        <w:adjustRightInd w:val="0"/>
        <w:snapToGrid w:val="0"/>
        <w:spacing w:line="360" w:lineRule="auto"/>
        <w:ind w:firstLine="420" w:firstLineChars="200"/>
        <w:rPr>
          <w:rFonts w:hAnsi="宋体" w:cs="宋体"/>
          <w:b/>
          <w:bCs/>
          <w:kern w:val="2"/>
          <w:sz w:val="21"/>
          <w:szCs w:val="21"/>
        </w:rPr>
      </w:pPr>
      <w:r>
        <w:rPr>
          <w:rFonts w:hint="eastAsia" w:hAnsi="宋体" w:cs="宋体"/>
          <w:kern w:val="2"/>
          <w:sz w:val="21"/>
          <w:szCs w:val="21"/>
        </w:rPr>
        <w:t>在保险期间内，被保险人因意外伤害或等待期后因意外伤害之外的其他原因，在</w:t>
      </w:r>
      <w:r>
        <w:rPr>
          <w:rFonts w:hint="eastAsia" w:hAnsi="宋体" w:cs="宋体"/>
          <w:b/>
          <w:bCs/>
          <w:kern w:val="2"/>
          <w:sz w:val="21"/>
          <w:szCs w:val="21"/>
        </w:rPr>
        <w:t>三级公立医院</w:t>
      </w:r>
      <w:r>
        <w:rPr>
          <w:rFonts w:hint="eastAsia" w:hAnsi="宋体" w:cs="宋体"/>
          <w:kern w:val="2"/>
          <w:sz w:val="21"/>
          <w:szCs w:val="21"/>
        </w:rPr>
        <w:t>接受本附加险合同所定义的一种或多种</w:t>
      </w:r>
      <w:r>
        <w:rPr>
          <w:rFonts w:hint="eastAsia" w:hAnsi="宋体" w:cs="宋体"/>
          <w:b/>
          <w:kern w:val="2"/>
          <w:sz w:val="21"/>
          <w:szCs w:val="21"/>
        </w:rPr>
        <w:t>特定重大器官移植手术（见释义</w:t>
      </w:r>
      <w:r>
        <w:rPr>
          <w:rFonts w:hAnsi="宋体" w:cs="宋体"/>
          <w:b/>
          <w:kern w:val="2"/>
          <w:sz w:val="21"/>
          <w:szCs w:val="21"/>
        </w:rPr>
        <w:t>6</w:t>
      </w:r>
      <w:r>
        <w:rPr>
          <w:rFonts w:hint="eastAsia" w:hAnsi="宋体" w:cs="宋体"/>
          <w:b/>
          <w:kern w:val="2"/>
          <w:sz w:val="21"/>
          <w:szCs w:val="21"/>
        </w:rPr>
        <w:t>）</w:t>
      </w:r>
      <w:r>
        <w:rPr>
          <w:rFonts w:hint="eastAsia" w:hAnsi="宋体" w:cs="宋体"/>
          <w:kern w:val="2"/>
          <w:sz w:val="21"/>
          <w:szCs w:val="21"/>
        </w:rPr>
        <w:t>，保险人将按照特定重大器官移植手术保险金的保险金额给付特定重大器官移植手术保险金，</w:t>
      </w:r>
      <w:r>
        <w:rPr>
          <w:rFonts w:hint="eastAsia" w:hAnsi="宋体" w:cs="宋体"/>
          <w:b/>
          <w:bCs/>
          <w:kern w:val="2"/>
          <w:sz w:val="21"/>
          <w:szCs w:val="21"/>
        </w:rPr>
        <w:t>保险人对被保险人在本项下的保险责任终止。</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特定重大器官移植手术保险金的保险金额由投保人与保险人约定并在保险单中载明。</w:t>
      </w:r>
    </w:p>
    <w:p>
      <w:pPr>
        <w:adjustRightInd w:val="0"/>
        <w:snapToGrid w:val="0"/>
        <w:spacing w:line="360" w:lineRule="auto"/>
        <w:ind w:firstLine="422" w:firstLineChars="200"/>
        <w:rPr>
          <w:rFonts w:hAnsi="宋体" w:cs="宋体"/>
          <w:kern w:val="2"/>
          <w:sz w:val="21"/>
          <w:szCs w:val="21"/>
        </w:rPr>
      </w:pPr>
      <w:r>
        <w:rPr>
          <w:rFonts w:hint="eastAsia" w:hAnsi="宋体" w:cs="宋体"/>
          <w:b/>
          <w:kern w:val="2"/>
          <w:sz w:val="21"/>
          <w:szCs w:val="21"/>
        </w:rPr>
        <w:t>（五）全残保险金</w:t>
      </w:r>
    </w:p>
    <w:p>
      <w:p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在保险期间内，被保险人因意外伤害或等待期后因意外伤害之外的其他原因导致</w:t>
      </w:r>
      <w:r>
        <w:rPr>
          <w:rFonts w:hint="eastAsia" w:hAnsi="宋体" w:cs="宋体"/>
          <w:b/>
          <w:bCs/>
          <w:kern w:val="2"/>
          <w:sz w:val="21"/>
          <w:szCs w:val="21"/>
        </w:rPr>
        <w:t>身体全残</w:t>
      </w:r>
      <w:r>
        <w:rPr>
          <w:rFonts w:hint="eastAsia" w:hAnsi="宋体" w:cs="宋体"/>
          <w:b/>
          <w:kern w:val="2"/>
          <w:sz w:val="21"/>
          <w:szCs w:val="21"/>
        </w:rPr>
        <w:t>（见释义</w:t>
      </w:r>
      <w:r>
        <w:rPr>
          <w:rFonts w:hAnsi="宋体" w:cs="宋体"/>
          <w:b/>
          <w:kern w:val="2"/>
          <w:sz w:val="21"/>
          <w:szCs w:val="21"/>
        </w:rPr>
        <w:t>7</w:t>
      </w:r>
      <w:r>
        <w:rPr>
          <w:rFonts w:hint="eastAsia" w:hAnsi="宋体" w:cs="宋体"/>
          <w:b/>
          <w:kern w:val="2"/>
          <w:sz w:val="21"/>
          <w:szCs w:val="21"/>
        </w:rPr>
        <w:t>）</w:t>
      </w:r>
      <w:r>
        <w:rPr>
          <w:rFonts w:hint="eastAsia" w:hAnsi="宋体" w:cs="宋体"/>
          <w:bCs/>
          <w:kern w:val="2"/>
          <w:sz w:val="21"/>
          <w:szCs w:val="21"/>
        </w:rPr>
        <w:t>，保险人将按照全残保险金的保险金额给付全残保险金，</w:t>
      </w:r>
      <w:r>
        <w:rPr>
          <w:rFonts w:hint="eastAsia" w:hAnsi="宋体" w:cs="宋体"/>
          <w:b/>
          <w:kern w:val="2"/>
          <w:sz w:val="21"/>
          <w:szCs w:val="21"/>
        </w:rPr>
        <w:t>保险人对被保险人在本项下的保险责任终止。</w:t>
      </w:r>
    </w:p>
    <w:p>
      <w:p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全残保险金的保险金额由投保人与保险人约定并在保险单中载明。</w:t>
      </w:r>
    </w:p>
    <w:p>
      <w:pPr>
        <w:adjustRightInd w:val="0"/>
        <w:snapToGrid w:val="0"/>
        <w:spacing w:line="360" w:lineRule="auto"/>
        <w:ind w:firstLine="422" w:firstLineChars="200"/>
        <w:rPr>
          <w:rFonts w:hAnsi="宋体" w:cs="宋体"/>
          <w:bCs/>
          <w:kern w:val="2"/>
          <w:sz w:val="21"/>
          <w:szCs w:val="21"/>
        </w:rPr>
      </w:pPr>
      <w:bookmarkStart w:id="8" w:name="_Hlk58514793"/>
      <w:r>
        <w:rPr>
          <w:rFonts w:hint="eastAsia" w:hAnsi="宋体" w:cs="宋体"/>
          <w:b/>
          <w:kern w:val="2"/>
          <w:sz w:val="21"/>
          <w:szCs w:val="21"/>
        </w:rPr>
        <w:t>（六）严重慢性肾衰竭导致的日常生活能力丧失保险金</w:t>
      </w:r>
      <w:bookmarkEnd w:id="8"/>
    </w:p>
    <w:p>
      <w:pPr>
        <w:adjustRightInd w:val="0"/>
        <w:snapToGrid w:val="0"/>
        <w:spacing w:line="360" w:lineRule="auto"/>
        <w:ind w:firstLine="420" w:firstLineChars="200"/>
        <w:rPr>
          <w:rFonts w:hAnsi="宋体" w:cs="宋体"/>
          <w:b/>
          <w:bCs/>
          <w:kern w:val="2"/>
          <w:sz w:val="21"/>
          <w:szCs w:val="21"/>
        </w:rPr>
      </w:pPr>
      <w:r>
        <w:rPr>
          <w:rFonts w:hint="eastAsia" w:hAnsi="宋体" w:cs="宋体"/>
          <w:kern w:val="2"/>
          <w:sz w:val="21"/>
          <w:szCs w:val="21"/>
        </w:rPr>
        <w:t>在保险期间内，被保险人因意外伤害或等待期后因意外伤害之外的其他原因，经</w:t>
      </w:r>
      <w:r>
        <w:rPr>
          <w:rFonts w:hint="eastAsia" w:hAnsi="宋体" w:cs="宋体"/>
          <w:b/>
          <w:bCs/>
          <w:kern w:val="2"/>
          <w:sz w:val="21"/>
          <w:szCs w:val="21"/>
        </w:rPr>
        <w:t>三级公立医院</w:t>
      </w:r>
      <w:r>
        <w:rPr>
          <w:rFonts w:hint="eastAsia" w:hAnsi="宋体" w:cs="宋体"/>
          <w:kern w:val="2"/>
          <w:sz w:val="21"/>
          <w:szCs w:val="21"/>
        </w:rPr>
        <w:t>专科医生初次确诊本附加险合同所定义的</w:t>
      </w:r>
      <w:r>
        <w:rPr>
          <w:rFonts w:hint="eastAsia" w:hAnsi="宋体" w:cs="宋体"/>
          <w:b/>
          <w:kern w:val="2"/>
          <w:sz w:val="21"/>
          <w:szCs w:val="21"/>
        </w:rPr>
        <w:t>严重慢性肾衰竭（见释义</w:t>
      </w:r>
      <w:r>
        <w:rPr>
          <w:rFonts w:hAnsi="宋体" w:cs="宋体"/>
          <w:b/>
          <w:kern w:val="2"/>
          <w:sz w:val="21"/>
          <w:szCs w:val="21"/>
        </w:rPr>
        <w:t>8</w:t>
      </w:r>
      <w:r>
        <w:rPr>
          <w:rFonts w:hint="eastAsia" w:hAnsi="宋体" w:cs="宋体"/>
          <w:b/>
          <w:kern w:val="2"/>
          <w:sz w:val="21"/>
          <w:szCs w:val="21"/>
        </w:rPr>
        <w:t>）</w:t>
      </w:r>
      <w:r>
        <w:rPr>
          <w:rFonts w:hint="eastAsia" w:hAnsi="宋体" w:cs="宋体"/>
          <w:kern w:val="2"/>
          <w:sz w:val="21"/>
          <w:szCs w:val="21"/>
        </w:rPr>
        <w:t>导致自主生活能力完全丧失，且持续180天无法独立完成</w:t>
      </w:r>
      <w:r>
        <w:rPr>
          <w:rFonts w:hint="eastAsia" w:hAnsi="宋体" w:cs="宋体"/>
          <w:b/>
          <w:kern w:val="2"/>
          <w:sz w:val="21"/>
          <w:szCs w:val="21"/>
        </w:rPr>
        <w:t>六项基本日常生活活动（见释义</w:t>
      </w:r>
      <w:r>
        <w:rPr>
          <w:rFonts w:hAnsi="宋体" w:cs="宋体"/>
          <w:b/>
          <w:kern w:val="2"/>
          <w:sz w:val="21"/>
          <w:szCs w:val="21"/>
        </w:rPr>
        <w:t>9</w:t>
      </w:r>
      <w:r>
        <w:rPr>
          <w:rFonts w:hint="eastAsia" w:hAnsi="宋体" w:cs="宋体"/>
          <w:b/>
          <w:kern w:val="2"/>
          <w:sz w:val="21"/>
          <w:szCs w:val="21"/>
        </w:rPr>
        <w:t>）</w:t>
      </w:r>
      <w:r>
        <w:rPr>
          <w:rFonts w:hint="eastAsia" w:hAnsi="宋体" w:cs="宋体"/>
          <w:kern w:val="2"/>
          <w:sz w:val="21"/>
          <w:szCs w:val="21"/>
        </w:rPr>
        <w:t>中的三项或三项以上。保险人将按照严重慢性肾衰竭导致的日常生活能力丧失保险金的保险金额给付严重慢性肾衰竭导致的日常生活能力丧失保险金，</w:t>
      </w:r>
      <w:r>
        <w:rPr>
          <w:rFonts w:hint="eastAsia" w:hAnsi="宋体" w:cs="宋体"/>
          <w:b/>
          <w:bCs/>
          <w:kern w:val="2"/>
          <w:sz w:val="21"/>
          <w:szCs w:val="21"/>
        </w:rPr>
        <w:t>保险人对被保险人在本项下的保险责任终止。</w:t>
      </w:r>
    </w:p>
    <w:p>
      <w:pPr>
        <w:numPr>
          <w:ilvl w:val="255"/>
          <w:numId w:val="0"/>
        </w:num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严重慢性肾衰竭导致的日常生活能力丧失保险金的保险金额由投保人与保险人约定并在保险单中载明。</w:t>
      </w:r>
    </w:p>
    <w:p>
      <w:pPr>
        <w:adjustRightInd w:val="0"/>
        <w:snapToGrid w:val="0"/>
        <w:spacing w:line="360" w:lineRule="auto"/>
        <w:ind w:firstLine="420" w:firstLineChars="200"/>
        <w:rPr>
          <w:rFonts w:hAnsi="宋体" w:cs="宋体"/>
          <w:b/>
          <w:bCs/>
          <w:kern w:val="2"/>
          <w:sz w:val="21"/>
          <w:szCs w:val="21"/>
        </w:rPr>
      </w:pPr>
      <w:r>
        <w:rPr>
          <w:rFonts w:hint="eastAsia" w:hAnsi="宋体" w:cs="宋体"/>
          <w:kern w:val="2"/>
          <w:sz w:val="21"/>
          <w:szCs w:val="21"/>
        </w:rPr>
        <w:t>本附加险合同特定责任定额补偿保险责任</w:t>
      </w:r>
      <w:r>
        <w:rPr>
          <w:rFonts w:hint="eastAsia" w:hAnsi="宋体" w:cs="宋体"/>
          <w:b/>
          <w:bCs/>
          <w:kern w:val="2"/>
          <w:sz w:val="21"/>
          <w:szCs w:val="21"/>
        </w:rPr>
        <w:t>包括上述六项保险责任，每项保险责任仅限赔付一次，获得赔付后该项责任即终止，其他保险责任继续有效。当上述六项保险责任均获得赔付后，则本附加险合同终止，且保险人不再接受投保人的续保申请。</w:t>
      </w:r>
    </w:p>
    <w:p>
      <w:pPr>
        <w:spacing w:after="156" w:afterLines="50"/>
        <w:ind w:right="82" w:rightChars="24"/>
        <w:jc w:val="center"/>
        <w:rPr>
          <w:rFonts w:hAnsi="宋体" w:cs="宋体"/>
          <w:b/>
          <w:kern w:val="2"/>
          <w:sz w:val="21"/>
          <w:szCs w:val="21"/>
        </w:rPr>
      </w:pPr>
      <w:r>
        <w:rPr>
          <w:rFonts w:hint="eastAsia" w:hAnsi="宋体" w:cs="宋体"/>
          <w:b/>
          <w:kern w:val="2"/>
          <w:sz w:val="21"/>
          <w:szCs w:val="21"/>
          <w:lang w:bidi="ar"/>
        </w:rPr>
        <w:t>责任免除</w:t>
      </w:r>
    </w:p>
    <w:p>
      <w:pPr>
        <w:pStyle w:val="7"/>
        <w:widowControl/>
        <w:adjustRightInd w:val="0"/>
        <w:snapToGrid w:val="0"/>
        <w:spacing w:after="156" w:afterLines="50" w:afterAutospacing="0" w:line="360" w:lineRule="auto"/>
        <w:ind w:firstLine="422" w:firstLineChars="200"/>
        <w:rPr>
          <w:b/>
          <w:bCs/>
          <w:sz w:val="21"/>
          <w:szCs w:val="21"/>
        </w:rPr>
      </w:pPr>
      <w:r>
        <w:rPr>
          <w:rFonts w:hint="eastAsia"/>
          <w:b/>
          <w:kern w:val="2"/>
          <w:sz w:val="21"/>
          <w:szCs w:val="21"/>
          <w:lang w:bidi="ar"/>
        </w:rPr>
        <w:t>第三条  主险合同中列明的责任免除事项适用于本附加险合同。</w:t>
      </w:r>
    </w:p>
    <w:p>
      <w:pPr>
        <w:adjustRightInd w:val="0"/>
        <w:snapToGrid w:val="0"/>
        <w:spacing w:after="156"/>
        <w:jc w:val="center"/>
        <w:rPr>
          <w:rFonts w:hAnsi="宋体" w:cs="宋体"/>
          <w:b/>
          <w:kern w:val="2"/>
          <w:sz w:val="21"/>
          <w:szCs w:val="21"/>
        </w:rPr>
      </w:pPr>
      <w:r>
        <w:rPr>
          <w:rFonts w:hint="eastAsia" w:hAnsi="宋体" w:cs="宋体"/>
          <w:b/>
          <w:kern w:val="2"/>
          <w:sz w:val="21"/>
          <w:szCs w:val="21"/>
          <w:lang w:bidi="ar"/>
        </w:rPr>
        <w:t>保险金额和保险费</w:t>
      </w:r>
    </w:p>
    <w:p>
      <w:pPr>
        <w:spacing w:after="156" w:afterLines="50"/>
        <w:ind w:right="-47" w:firstLine="422" w:firstLineChars="200"/>
        <w:rPr>
          <w:rFonts w:hAnsi="宋体" w:cs="宋体"/>
          <w:kern w:val="2"/>
          <w:sz w:val="21"/>
          <w:szCs w:val="21"/>
        </w:rPr>
      </w:pPr>
      <w:r>
        <w:rPr>
          <w:rFonts w:hint="eastAsia" w:hAnsi="宋体" w:cs="宋体"/>
          <w:b/>
          <w:kern w:val="2"/>
          <w:sz w:val="21"/>
          <w:szCs w:val="21"/>
          <w:lang w:bidi="ar"/>
        </w:rPr>
        <w:t xml:space="preserve">第四条  </w:t>
      </w:r>
      <w:r>
        <w:rPr>
          <w:rFonts w:hint="eastAsia" w:hAnsi="宋体" w:cs="宋体"/>
          <w:b/>
          <w:bCs/>
          <w:kern w:val="2"/>
          <w:sz w:val="21"/>
          <w:szCs w:val="21"/>
        </w:rPr>
        <w:t>被保险人的保险金额是保险人对该被保险人承担给付保险金责任的最高限额。</w:t>
      </w:r>
      <w:r>
        <w:rPr>
          <w:rFonts w:hint="eastAsia" w:hAnsi="宋体" w:cs="宋体"/>
          <w:kern w:val="2"/>
          <w:sz w:val="21"/>
          <w:szCs w:val="21"/>
        </w:rPr>
        <w:t>保险金额由投保人、保险人双方约定，并在保险单中载明。</w:t>
      </w:r>
    </w:p>
    <w:p>
      <w:pPr>
        <w:adjustRightInd w:val="0"/>
        <w:snapToGrid w:val="0"/>
        <w:spacing w:after="156" w:afterLines="50"/>
        <w:ind w:firstLine="422" w:firstLineChars="200"/>
        <w:rPr>
          <w:rFonts w:hAnsi="宋体" w:cs="宋体"/>
          <w:kern w:val="2"/>
          <w:sz w:val="21"/>
          <w:szCs w:val="21"/>
        </w:rPr>
      </w:pPr>
      <w:r>
        <w:rPr>
          <w:rFonts w:hint="eastAsia" w:hAnsi="宋体" w:cs="宋体"/>
          <w:b/>
          <w:bCs/>
          <w:kern w:val="2"/>
          <w:sz w:val="21"/>
          <w:szCs w:val="21"/>
        </w:rPr>
        <w:t xml:space="preserve">第五条  </w:t>
      </w:r>
      <w:r>
        <w:rPr>
          <w:rFonts w:hint="eastAsia" w:hAnsi="宋体" w:cs="宋体"/>
          <w:kern w:val="2"/>
          <w:sz w:val="21"/>
          <w:szCs w:val="21"/>
        </w:rPr>
        <w:t>本</w:t>
      </w:r>
      <w:r>
        <w:rPr>
          <w:rFonts w:hint="eastAsia" w:ascii="Times New Roman"/>
          <w:kern w:val="2"/>
          <w:sz w:val="21"/>
          <w:szCs w:val="21"/>
        </w:rPr>
        <w:t>附加险</w:t>
      </w:r>
      <w:r>
        <w:rPr>
          <w:rFonts w:hint="eastAsia" w:hAnsi="宋体" w:cs="宋体"/>
          <w:kern w:val="2"/>
          <w:sz w:val="21"/>
          <w:szCs w:val="21"/>
        </w:rPr>
        <w:t>合同的保险费由保险人根据保险金额、保险期间及具体风险状况等确定，并在保险单中载明其金额。</w:t>
      </w:r>
    </w:p>
    <w:p>
      <w:pPr>
        <w:adjustRightInd w:val="0"/>
        <w:snapToGrid w:val="0"/>
        <w:spacing w:after="156"/>
        <w:jc w:val="center"/>
        <w:rPr>
          <w:rFonts w:hAnsi="宋体" w:cs="宋体"/>
          <w:b/>
          <w:kern w:val="2"/>
          <w:sz w:val="21"/>
          <w:szCs w:val="21"/>
        </w:rPr>
      </w:pPr>
      <w:r>
        <w:rPr>
          <w:rFonts w:hint="eastAsia" w:hAnsi="宋体" w:cs="宋体"/>
          <w:b/>
          <w:kern w:val="2"/>
          <w:sz w:val="21"/>
          <w:szCs w:val="21"/>
          <w:lang w:bidi="ar"/>
        </w:rPr>
        <w:t>缴费方式</w:t>
      </w:r>
    </w:p>
    <w:p>
      <w:pPr>
        <w:numPr>
          <w:ilvl w:val="255"/>
          <w:numId w:val="0"/>
        </w:numPr>
        <w:adjustRightInd w:val="0"/>
        <w:snapToGrid w:val="0"/>
        <w:spacing w:line="360" w:lineRule="auto"/>
        <w:ind w:firstLine="422" w:firstLineChars="200"/>
        <w:rPr>
          <w:rFonts w:hAnsi="宋体" w:cs="宋体"/>
          <w:sz w:val="21"/>
          <w:szCs w:val="21"/>
        </w:rPr>
      </w:pPr>
      <w:r>
        <w:rPr>
          <w:rFonts w:hint="eastAsia" w:hAnsi="宋体" w:cs="宋体"/>
          <w:b/>
          <w:sz w:val="21"/>
          <w:szCs w:val="21"/>
        </w:rPr>
        <w:t>第六条</w:t>
      </w:r>
      <w:r>
        <w:rPr>
          <w:rFonts w:hint="eastAsia" w:hAnsi="宋体" w:cs="宋体"/>
          <w:sz w:val="21"/>
          <w:szCs w:val="21"/>
        </w:rPr>
        <w:t xml:space="preserve"> 本附加险合同保险费缴付方式由投保人和保险人在投保时约定，并在保险单中载明。</w:t>
      </w:r>
    </w:p>
    <w:p>
      <w:pPr>
        <w:numPr>
          <w:ilvl w:val="255"/>
          <w:numId w:val="0"/>
        </w:numPr>
        <w:adjustRightInd w:val="0"/>
        <w:snapToGrid w:val="0"/>
        <w:spacing w:line="360" w:lineRule="auto"/>
        <w:ind w:firstLine="420" w:firstLineChars="200"/>
        <w:rPr>
          <w:rFonts w:hAnsi="宋体" w:cs="宋体"/>
          <w:b/>
          <w:sz w:val="21"/>
          <w:szCs w:val="21"/>
        </w:rPr>
      </w:pPr>
      <w:r>
        <w:rPr>
          <w:rFonts w:hint="eastAsia" w:hAnsi="宋体" w:cs="宋体"/>
          <w:sz w:val="21"/>
          <w:szCs w:val="21"/>
        </w:rPr>
        <w:t>若投保人选择一次性缴付保险费，投保人应当在本附加险合同成立时一次性缴清保险费。</w:t>
      </w:r>
      <w:r>
        <w:rPr>
          <w:rFonts w:hint="eastAsia" w:hAnsi="宋体" w:cs="宋体"/>
          <w:b/>
          <w:bCs/>
          <w:sz w:val="21"/>
          <w:szCs w:val="21"/>
        </w:rPr>
        <w:t>投保人未按约定缴纳全部保险费</w:t>
      </w:r>
      <w:r>
        <w:rPr>
          <w:rFonts w:hint="eastAsia" w:hAnsi="宋体" w:cs="宋体"/>
          <w:b/>
          <w:sz w:val="21"/>
          <w:szCs w:val="21"/>
        </w:rPr>
        <w:t>，本附加险合同不生效。对本附加险合同生效前发生的保险事故，保险人不承担保险责任。</w:t>
      </w:r>
    </w:p>
    <w:p>
      <w:pPr>
        <w:pStyle w:val="20"/>
        <w:spacing w:line="360" w:lineRule="auto"/>
        <w:ind w:left="0" w:leftChars="0"/>
        <w:rPr>
          <w:rFonts w:hAnsi="宋体" w:cs="宋体"/>
          <w:szCs w:val="21"/>
        </w:rPr>
      </w:pPr>
      <w:r>
        <w:rPr>
          <w:rFonts w:hint="eastAsia" w:hAnsi="宋体" w:cs="宋体"/>
          <w:szCs w:val="21"/>
        </w:rPr>
        <w:t>若投保人选择分期缴付保险费，需投保人申请并经保险人同意，并在保险单中载明保险分期缴付的周期。</w:t>
      </w:r>
    </w:p>
    <w:p>
      <w:pPr>
        <w:numPr>
          <w:ilvl w:val="255"/>
          <w:numId w:val="0"/>
        </w:numPr>
        <w:adjustRightInd w:val="0"/>
        <w:snapToGrid w:val="0"/>
        <w:spacing w:line="360" w:lineRule="auto"/>
        <w:ind w:firstLine="422" w:firstLineChars="200"/>
        <w:rPr>
          <w:rFonts w:hAnsi="宋体" w:cs="宋体"/>
          <w:b/>
          <w:bCs/>
          <w:sz w:val="21"/>
          <w:szCs w:val="21"/>
        </w:rPr>
      </w:pPr>
      <w:r>
        <w:rPr>
          <w:rFonts w:hint="eastAsia" w:hAnsi="宋体" w:cs="宋体"/>
          <w:b/>
          <w:bCs/>
          <w:sz w:val="21"/>
          <w:szCs w:val="21"/>
        </w:rPr>
        <w:t>若投保人未缴付首期保险费，本附加险合同不生效，对本附加险合同生效前发生的保险事故，保险人不承担保险责任。</w:t>
      </w:r>
    </w:p>
    <w:p>
      <w:pPr>
        <w:pStyle w:val="20"/>
        <w:spacing w:line="360" w:lineRule="auto"/>
        <w:ind w:left="0" w:leftChars="0" w:firstLine="422"/>
        <w:rPr>
          <w:rFonts w:ascii="宋体" w:hAnsi="宋体" w:cs="宋体"/>
          <w:b/>
          <w:bCs/>
          <w:szCs w:val="21"/>
        </w:rPr>
      </w:pPr>
      <w:r>
        <w:rPr>
          <w:rFonts w:hint="eastAsia" w:ascii="宋体" w:hAnsi="宋体" w:cs="宋体"/>
          <w:b/>
          <w:bCs/>
          <w:szCs w:val="21"/>
        </w:rPr>
        <w:t>若投保人未按照本附加险合同约定的付款时间足额缴付当期保险费，允许在宽限期内补缴保险费；如果被保险人在宽限期内发生保险事故，保险人仍按照合同约定赔偿保险金。除本附加险合同另有约定外，如被保险人在正常缴费对应的保险期间内或宽限期内发生保险事故，保险人依照本附加险合同约定给付保险金的，需扣减保险期间所有未缴期间的保险费，投保人已缴纳的保险费与保险人扣减的保险费之和应等于本附加险合同约定的保险费总额。</w:t>
      </w:r>
    </w:p>
    <w:p>
      <w:pPr>
        <w:pStyle w:val="20"/>
        <w:spacing w:line="360" w:lineRule="auto"/>
        <w:ind w:left="0" w:leftChars="0" w:firstLine="422"/>
        <w:rPr>
          <w:rFonts w:ascii="宋体" w:hAnsi="宋体" w:cs="宋体"/>
          <w:b/>
          <w:bCs/>
          <w:szCs w:val="21"/>
        </w:rPr>
      </w:pPr>
      <w:r>
        <w:rPr>
          <w:rFonts w:hint="eastAsia" w:ascii="宋体" w:hAnsi="宋体" w:cs="宋体"/>
          <w:b/>
          <w:bCs/>
          <w:szCs w:val="21"/>
        </w:rPr>
        <w:t>如投保人未按照本附加险合同约定的付款时间足额缴付当期保险费，且在本附加险合同约定的宽限期内仍未足额补缴当期保险费的，本附加险合同效力中止，保险人对本附加险合同效力中止期间发生的保险事故不承担给付保险金责任。</w:t>
      </w:r>
    </w:p>
    <w:p>
      <w:pPr>
        <w:pStyle w:val="20"/>
        <w:spacing w:line="360" w:lineRule="auto"/>
        <w:ind w:left="0" w:leftChars="0" w:firstLine="422"/>
        <w:rPr>
          <w:rFonts w:hint="eastAsia" w:ascii="宋体" w:hAnsi="宋体" w:cs="宋体"/>
          <w:b/>
          <w:bCs/>
          <w:szCs w:val="21"/>
        </w:rPr>
      </w:pPr>
      <w:r>
        <w:rPr>
          <w:rFonts w:hint="eastAsia" w:ascii="宋体" w:hAnsi="宋体" w:cs="宋体"/>
          <w:b/>
          <w:bCs/>
          <w:szCs w:val="21"/>
        </w:rPr>
        <w:t>宽限期由投保人与保险人协商确定，并在保险单中载明。</w:t>
      </w:r>
    </w:p>
    <w:p>
      <w:pPr>
        <w:spacing w:after="156" w:afterLines="50"/>
        <w:ind w:right="-47"/>
        <w:jc w:val="center"/>
        <w:rPr>
          <w:rFonts w:hAnsi="宋体" w:cs="宋体"/>
          <w:b/>
          <w:kern w:val="2"/>
          <w:sz w:val="21"/>
          <w:szCs w:val="21"/>
        </w:rPr>
      </w:pPr>
      <w:r>
        <w:rPr>
          <w:rFonts w:hint="eastAsia" w:hAnsi="宋体" w:cs="宋体"/>
          <w:b/>
          <w:kern w:val="2"/>
          <w:sz w:val="21"/>
          <w:szCs w:val="21"/>
          <w:lang w:bidi="ar"/>
        </w:rPr>
        <w:t>保险期间</w:t>
      </w:r>
    </w:p>
    <w:p>
      <w:pPr>
        <w:widowControl/>
        <w:spacing w:after="156" w:afterLines="50"/>
        <w:ind w:right="-47" w:firstLine="422" w:firstLineChars="200"/>
        <w:jc w:val="left"/>
        <w:rPr>
          <w:rFonts w:hAnsi="宋体" w:cs="宋体"/>
          <w:kern w:val="2"/>
          <w:sz w:val="21"/>
          <w:szCs w:val="21"/>
        </w:rPr>
      </w:pPr>
      <w:r>
        <w:rPr>
          <w:rFonts w:hint="eastAsia" w:hAnsi="宋体" w:cs="宋体"/>
          <w:b/>
          <w:kern w:val="2"/>
          <w:sz w:val="21"/>
          <w:szCs w:val="21"/>
          <w:lang w:bidi="ar"/>
        </w:rPr>
        <w:t xml:space="preserve">第七条  </w:t>
      </w:r>
      <w:bookmarkStart w:id="9" w:name="OLE_LINK1"/>
      <w:r>
        <w:rPr>
          <w:rFonts w:hint="eastAsia" w:ascii="Times New Roman"/>
          <w:kern w:val="2"/>
          <w:sz w:val="21"/>
          <w:szCs w:val="21"/>
        </w:rPr>
        <w:t>本附加险合同的保险期间与主险合同一致，最长不超过一</w:t>
      </w:r>
      <w:r>
        <w:rPr>
          <w:rFonts w:hint="eastAsia" w:hAnsi="宋体" w:cs="宋体"/>
          <w:kern w:val="2"/>
          <w:sz w:val="21"/>
          <w:szCs w:val="21"/>
        </w:rPr>
        <w:t>年。</w:t>
      </w:r>
      <w:bookmarkEnd w:id="9"/>
    </w:p>
    <w:p>
      <w:pPr>
        <w:widowControl/>
        <w:spacing w:after="156" w:afterLines="50"/>
        <w:ind w:right="-47"/>
        <w:jc w:val="center"/>
        <w:rPr>
          <w:rFonts w:hAnsi="宋体" w:cs="宋体"/>
          <w:b/>
          <w:kern w:val="2"/>
          <w:sz w:val="21"/>
          <w:szCs w:val="21"/>
          <w:lang w:bidi="ar"/>
        </w:rPr>
      </w:pPr>
      <w:r>
        <w:rPr>
          <w:rFonts w:hint="eastAsia" w:hAnsi="宋体" w:cs="宋体"/>
          <w:b/>
          <w:kern w:val="2"/>
          <w:sz w:val="21"/>
          <w:szCs w:val="21"/>
          <w:lang w:bidi="ar"/>
        </w:rPr>
        <w:t>不保证续保</w:t>
      </w:r>
    </w:p>
    <w:p>
      <w:pPr>
        <w:widowControl/>
        <w:spacing w:after="156" w:afterLines="50"/>
        <w:ind w:right="-47" w:firstLine="422" w:firstLineChars="200"/>
        <w:jc w:val="left"/>
        <w:rPr>
          <w:rFonts w:hAnsi="宋体" w:cs="宋体"/>
          <w:kern w:val="2"/>
          <w:sz w:val="21"/>
          <w:szCs w:val="21"/>
        </w:rPr>
      </w:pPr>
      <w:r>
        <w:rPr>
          <w:rFonts w:hint="eastAsia" w:hAnsi="宋体" w:cs="宋体"/>
          <w:b/>
          <w:kern w:val="2"/>
          <w:sz w:val="21"/>
          <w:szCs w:val="21"/>
          <w:lang w:bidi="ar"/>
        </w:rPr>
        <w:t xml:space="preserve">第八条  </w:t>
      </w:r>
      <w:r>
        <w:rPr>
          <w:rFonts w:hint="eastAsia" w:hAnsi="宋体" w:cs="宋体"/>
          <w:b/>
          <w:bCs/>
          <w:kern w:val="2"/>
          <w:sz w:val="21"/>
          <w:szCs w:val="21"/>
        </w:rPr>
        <w:t>本附加险合同为不保证续保合同，保险期间不超过一年。保险期间届满，投保人可以重新向保险公司申请投保本附加险合同，并经保险人同意，交纳保险费，获得新的附加险合同。</w:t>
      </w:r>
    </w:p>
    <w:p>
      <w:pPr>
        <w:widowControl/>
        <w:numPr>
          <w:ilvl w:val="255"/>
          <w:numId w:val="0"/>
        </w:numPr>
        <w:spacing w:after="156" w:afterLines="50"/>
        <w:ind w:right="-47"/>
        <w:jc w:val="left"/>
        <w:rPr>
          <w:rFonts w:hAnsi="宋体" w:cs="宋体"/>
          <w:b/>
          <w:bCs/>
          <w:kern w:val="2"/>
          <w:sz w:val="21"/>
          <w:szCs w:val="21"/>
        </w:rPr>
      </w:pPr>
      <w:r>
        <w:rPr>
          <w:rFonts w:hint="eastAsia" w:hAnsi="宋体" w:cs="宋体"/>
          <w:b/>
          <w:bCs/>
          <w:kern w:val="2"/>
          <w:sz w:val="21"/>
          <w:szCs w:val="21"/>
        </w:rPr>
        <w:t xml:space="preserve">    若本附加险合同</w:t>
      </w:r>
      <w:r>
        <w:rPr>
          <w:rFonts w:hint="eastAsia" w:hAnsi="宋体" w:cs="宋体" w:eastAsiaTheme="minorEastAsia"/>
          <w:b/>
          <w:bCs/>
          <w:kern w:val="2"/>
          <w:sz w:val="21"/>
          <w:szCs w:val="21"/>
        </w:rPr>
        <w:t>所涉及</w:t>
      </w:r>
      <w:r>
        <w:rPr>
          <w:rFonts w:hint="eastAsia" w:hAnsi="宋体" w:cs="宋体"/>
          <w:b/>
          <w:bCs/>
          <w:kern w:val="2"/>
          <w:sz w:val="21"/>
          <w:szCs w:val="21"/>
        </w:rPr>
        <w:t>的任意一项保险责任已经发生赔付，重新投保时，保险人对该项责任不再提供保障。</w:t>
      </w:r>
    </w:p>
    <w:p>
      <w:pPr>
        <w:autoSpaceDE w:val="0"/>
        <w:autoSpaceDN w:val="0"/>
        <w:spacing w:after="156" w:afterLines="50"/>
        <w:jc w:val="center"/>
        <w:textAlignment w:val="bottom"/>
        <w:rPr>
          <w:rFonts w:hAnsi="宋体" w:cs="宋体"/>
          <w:b/>
          <w:kern w:val="2"/>
          <w:sz w:val="21"/>
          <w:szCs w:val="21"/>
        </w:rPr>
      </w:pPr>
      <w:r>
        <w:rPr>
          <w:rFonts w:hint="eastAsia" w:hAnsi="宋体" w:cs="宋体"/>
          <w:b/>
          <w:kern w:val="2"/>
          <w:sz w:val="21"/>
          <w:szCs w:val="21"/>
          <w:lang w:bidi="ar"/>
        </w:rPr>
        <w:t>保险金的申请与给付</w:t>
      </w:r>
    </w:p>
    <w:p>
      <w:pPr>
        <w:spacing w:after="156" w:afterLines="50"/>
        <w:ind w:firstLine="422" w:firstLineChars="200"/>
        <w:rPr>
          <w:rFonts w:ascii="Times New Roman"/>
          <w:b/>
          <w:kern w:val="2"/>
          <w:sz w:val="21"/>
          <w:szCs w:val="21"/>
        </w:rPr>
      </w:pPr>
      <w:r>
        <w:rPr>
          <w:rFonts w:hint="eastAsia" w:hAnsi="宋体" w:cs="宋体"/>
          <w:b/>
          <w:kern w:val="2"/>
          <w:sz w:val="21"/>
          <w:szCs w:val="21"/>
          <w:lang w:bidi="ar"/>
        </w:rPr>
        <w:t xml:space="preserve">第九条  </w:t>
      </w:r>
      <w:r>
        <w:rPr>
          <w:rFonts w:ascii="Times New Roman"/>
          <w:kern w:val="2"/>
          <w:sz w:val="21"/>
          <w:szCs w:val="21"/>
        </w:rPr>
        <w:t>保险金申请人向保险人申请给付保险金时，应提交作为索赔依据的证明和材料。保险金申请人因特殊原因不能提供以下材料的，应提供其他合法有效的材料。</w:t>
      </w:r>
      <w:r>
        <w:rPr>
          <w:rFonts w:ascii="Times New Roman"/>
          <w:b/>
          <w:kern w:val="2"/>
          <w:sz w:val="21"/>
          <w:szCs w:val="21"/>
        </w:rPr>
        <w:t>保险金申请人未能提供有关材料，导致保险人无法核实该申请的真实性的，保险人对无法核实部分不承担给付保险金的责任。</w:t>
      </w:r>
    </w:p>
    <w:p>
      <w:pPr>
        <w:spacing w:after="156" w:afterLines="50"/>
        <w:ind w:firstLine="420" w:firstLineChars="200"/>
        <w:rPr>
          <w:rFonts w:hAnsi="宋体" w:cs="宋体"/>
          <w:bCs/>
          <w:kern w:val="2"/>
          <w:sz w:val="21"/>
          <w:szCs w:val="21"/>
        </w:rPr>
      </w:pPr>
      <w:r>
        <w:rPr>
          <w:rFonts w:hint="eastAsia" w:hAnsi="宋体" w:cs="宋体"/>
          <w:bCs/>
          <w:kern w:val="2"/>
          <w:sz w:val="21"/>
          <w:szCs w:val="21"/>
        </w:rPr>
        <w:t>（一）保险金给付申请书；</w:t>
      </w:r>
    </w:p>
    <w:p>
      <w:pPr>
        <w:spacing w:after="156" w:afterLines="50"/>
        <w:ind w:firstLine="420" w:firstLineChars="200"/>
        <w:rPr>
          <w:rFonts w:hAnsi="宋体" w:cs="宋体"/>
          <w:bCs/>
          <w:kern w:val="2"/>
          <w:sz w:val="21"/>
          <w:szCs w:val="21"/>
        </w:rPr>
      </w:pPr>
      <w:r>
        <w:rPr>
          <w:rFonts w:hint="eastAsia" w:hAnsi="宋体" w:cs="宋体"/>
          <w:bCs/>
          <w:kern w:val="2"/>
          <w:sz w:val="21"/>
          <w:szCs w:val="21"/>
        </w:rPr>
        <w:t>（二）保险合同凭证；</w:t>
      </w:r>
    </w:p>
    <w:p>
      <w:pPr>
        <w:spacing w:after="156" w:afterLines="50"/>
        <w:ind w:firstLine="420" w:firstLineChars="200"/>
        <w:rPr>
          <w:rFonts w:hAnsi="宋体" w:cs="宋体"/>
          <w:bCs/>
          <w:kern w:val="2"/>
          <w:sz w:val="21"/>
          <w:szCs w:val="21"/>
        </w:rPr>
      </w:pPr>
      <w:r>
        <w:rPr>
          <w:rFonts w:hint="eastAsia" w:hAnsi="宋体" w:cs="宋体"/>
          <w:bCs/>
          <w:kern w:val="2"/>
          <w:sz w:val="21"/>
          <w:szCs w:val="21"/>
        </w:rPr>
        <w:t>（三）保险金申请人的有效身份证件；</w:t>
      </w:r>
    </w:p>
    <w:p>
      <w:pPr>
        <w:spacing w:after="156" w:afterLines="50"/>
        <w:ind w:firstLine="420" w:firstLineChars="200"/>
        <w:rPr>
          <w:rFonts w:hAnsi="宋体" w:cs="宋体"/>
          <w:bCs/>
          <w:kern w:val="2"/>
          <w:sz w:val="21"/>
          <w:szCs w:val="21"/>
        </w:rPr>
      </w:pPr>
      <w:r>
        <w:rPr>
          <w:rFonts w:hint="eastAsia" w:hAnsi="宋体" w:cs="宋体"/>
          <w:bCs/>
          <w:kern w:val="2"/>
          <w:sz w:val="21"/>
          <w:szCs w:val="21"/>
        </w:rPr>
        <w:t>（四）合同约定的医院出具的完整病历资料（包括门急诊病历、住院病历、出院小结以及相关的检查报告）；</w:t>
      </w:r>
    </w:p>
    <w:p>
      <w:pPr>
        <w:spacing w:after="156" w:afterLines="50"/>
        <w:ind w:firstLine="420" w:firstLineChars="200"/>
        <w:rPr>
          <w:rFonts w:hAnsi="宋体" w:cs="宋体"/>
          <w:bCs/>
          <w:kern w:val="2"/>
          <w:sz w:val="21"/>
          <w:szCs w:val="21"/>
        </w:rPr>
      </w:pPr>
      <w:r>
        <w:rPr>
          <w:rFonts w:hint="eastAsia" w:hAnsi="宋体" w:cs="宋体"/>
          <w:bCs/>
          <w:kern w:val="2"/>
          <w:sz w:val="21"/>
          <w:szCs w:val="21"/>
        </w:rPr>
        <w:t>（五）合同约定的医院出具的附有病历、病理检验、血液检验、影像学报告及其他科学方法检验报告的疾病诊断证明书；</w:t>
      </w:r>
    </w:p>
    <w:p>
      <w:pPr>
        <w:spacing w:after="156" w:afterLines="50"/>
        <w:ind w:firstLine="420" w:firstLineChars="200"/>
        <w:rPr>
          <w:rFonts w:hAnsi="宋体" w:cs="宋体"/>
          <w:bCs/>
          <w:kern w:val="2"/>
          <w:sz w:val="21"/>
          <w:szCs w:val="21"/>
        </w:rPr>
      </w:pPr>
      <w:r>
        <w:rPr>
          <w:rFonts w:hint="eastAsia" w:hAnsi="宋体" w:cs="宋体"/>
          <w:bCs/>
          <w:kern w:val="2"/>
          <w:sz w:val="21"/>
          <w:szCs w:val="21"/>
        </w:rPr>
        <w:t>（六）医疗费用原始收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医疗费用明细清单；</w:t>
      </w:r>
    </w:p>
    <w:p>
      <w:pPr>
        <w:spacing w:after="156" w:afterLines="50"/>
        <w:ind w:firstLine="420" w:firstLineChars="200"/>
        <w:rPr>
          <w:rFonts w:hAnsi="宋体" w:cs="宋体"/>
          <w:bCs/>
          <w:kern w:val="2"/>
          <w:sz w:val="21"/>
          <w:szCs w:val="21"/>
        </w:rPr>
      </w:pPr>
      <w:r>
        <w:rPr>
          <w:rFonts w:hint="eastAsia" w:hAnsi="宋体" w:cs="宋体"/>
          <w:bCs/>
          <w:kern w:val="2"/>
          <w:sz w:val="21"/>
          <w:szCs w:val="21"/>
        </w:rPr>
        <w:t>（七）被保险人罹患本附加险合同约定的特定疾病，还应提供由医院或指定医疗机构具有相应资质的医生出具的对被保险人的疾病诊断证明书以及由医院或指定医疗机构出具的与该疾病诊断证明书相关的病理显微镜检查、血液检验及其他科学方法检验报告；</w:t>
      </w:r>
    </w:p>
    <w:p>
      <w:pPr>
        <w:spacing w:after="156" w:afterLines="50"/>
        <w:ind w:firstLine="420" w:firstLineChars="200"/>
        <w:rPr>
          <w:rFonts w:hAnsi="宋体" w:cs="宋体"/>
          <w:bCs/>
          <w:kern w:val="2"/>
          <w:sz w:val="21"/>
          <w:szCs w:val="21"/>
        </w:rPr>
      </w:pPr>
      <w:r>
        <w:rPr>
          <w:rFonts w:hint="eastAsia" w:hAnsi="宋体" w:cs="宋体"/>
          <w:bCs/>
          <w:kern w:val="2"/>
          <w:sz w:val="21"/>
          <w:szCs w:val="21"/>
        </w:rPr>
        <w:t>（八）首次申请理赔时，应提供合同约定的医院或指定医疗机构出具的被保险人在本附加险合同保险期间内历次的医疗诊断证明、病历及医疗、医药费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结算明细表与处方正本；</w:t>
      </w:r>
    </w:p>
    <w:p>
      <w:pPr>
        <w:spacing w:after="156" w:afterLines="50"/>
        <w:ind w:firstLine="420" w:firstLineChars="200"/>
        <w:rPr>
          <w:rFonts w:hAnsi="宋体" w:cs="宋体"/>
          <w:bCs/>
          <w:kern w:val="2"/>
          <w:sz w:val="21"/>
          <w:szCs w:val="21"/>
        </w:rPr>
      </w:pPr>
      <w:r>
        <w:rPr>
          <w:rFonts w:hint="eastAsia" w:hAnsi="宋体" w:cs="宋体"/>
          <w:bCs/>
          <w:kern w:val="2"/>
          <w:sz w:val="21"/>
          <w:szCs w:val="21"/>
        </w:rPr>
        <w:t>（九）保险金申请人所能提供的与确认保险事故的性质、原因、损失程度等有关的其他证明和资料；</w:t>
      </w:r>
    </w:p>
    <w:p>
      <w:pPr>
        <w:adjustRightInd w:val="0"/>
        <w:snapToGrid w:val="0"/>
        <w:spacing w:after="156" w:afterLines="50"/>
        <w:ind w:firstLine="420" w:firstLineChars="200"/>
        <w:rPr>
          <w:rFonts w:hAnsi="宋体" w:cs="宋体"/>
          <w:kern w:val="2"/>
          <w:sz w:val="21"/>
          <w:szCs w:val="21"/>
          <w:lang w:bidi="ar"/>
        </w:rPr>
      </w:pPr>
      <w:r>
        <w:rPr>
          <w:rFonts w:hint="eastAsia" w:hAnsi="宋体" w:cs="宋体"/>
          <w:bCs/>
          <w:kern w:val="2"/>
          <w:sz w:val="21"/>
          <w:szCs w:val="21"/>
        </w:rPr>
        <w:t>（十）受益人为无民事行为能力人或者限制民事行为能力人的，由其监护人代为申领保险金，并需要提供监护人的身份证明等资料。</w:t>
      </w:r>
    </w:p>
    <w:p>
      <w:pPr>
        <w:autoSpaceDE w:val="0"/>
        <w:autoSpaceDN w:val="0"/>
        <w:adjustRightInd w:val="0"/>
        <w:snapToGrid w:val="0"/>
        <w:spacing w:after="156" w:afterLines="50"/>
        <w:jc w:val="center"/>
        <w:textAlignment w:val="bottom"/>
        <w:rPr>
          <w:rFonts w:hAnsi="宋体" w:cs="宋体"/>
          <w:b/>
          <w:kern w:val="2"/>
          <w:sz w:val="21"/>
          <w:szCs w:val="21"/>
        </w:rPr>
      </w:pPr>
      <w:r>
        <w:rPr>
          <w:rFonts w:hint="eastAsia" w:hAnsi="宋体" w:cs="宋体"/>
          <w:b/>
          <w:kern w:val="2"/>
          <w:sz w:val="21"/>
          <w:szCs w:val="21"/>
          <w:lang w:bidi="ar"/>
        </w:rPr>
        <w:t>释义</w:t>
      </w:r>
    </w:p>
    <w:p>
      <w:pPr>
        <w:adjustRightInd w:val="0"/>
        <w:snapToGrid w:val="0"/>
        <w:spacing w:after="156" w:afterLines="50" w:line="360" w:lineRule="auto"/>
        <w:ind w:firstLine="422" w:firstLineChars="200"/>
        <w:rPr>
          <w:b/>
          <w:sz w:val="21"/>
          <w:szCs w:val="21"/>
        </w:rPr>
      </w:pPr>
      <w:r>
        <w:rPr>
          <w:b/>
          <w:sz w:val="21"/>
          <w:szCs w:val="21"/>
        </w:rPr>
        <w:t>1</w:t>
      </w:r>
      <w:r>
        <w:rPr>
          <w:rFonts w:hint="eastAsia"/>
          <w:b/>
          <w:sz w:val="21"/>
          <w:szCs w:val="21"/>
        </w:rPr>
        <w:t>.等待期：指自保险合同生效之日起计算的一段时间，具体天数由保险人和投保人在投保时约定并在保险合同上载明，最长不超过180天。在等待期内确诊的疾病，保险人不承担给付保险金的责任。</w:t>
      </w:r>
    </w:p>
    <w:p>
      <w:pPr>
        <w:adjustRightInd w:val="0"/>
        <w:snapToGrid w:val="0"/>
        <w:spacing w:after="156" w:afterLines="50" w:line="360" w:lineRule="auto"/>
        <w:ind w:firstLine="422" w:firstLineChars="200"/>
        <w:rPr>
          <w:rFonts w:hAnsi="宋体" w:cs="宋体"/>
          <w:bCs/>
          <w:kern w:val="2"/>
          <w:sz w:val="21"/>
          <w:szCs w:val="21"/>
        </w:rPr>
      </w:pPr>
      <w:r>
        <w:rPr>
          <w:rFonts w:hint="eastAsia"/>
          <w:b/>
          <w:sz w:val="21"/>
          <w:szCs w:val="21"/>
        </w:rPr>
        <w:t>2.</w:t>
      </w:r>
      <w:r>
        <w:rPr>
          <w:rFonts w:hint="eastAsia" w:hAnsi="宋体" w:cs="Arial"/>
          <w:b/>
          <w:kern w:val="2"/>
          <w:sz w:val="21"/>
          <w:szCs w:val="21"/>
        </w:rPr>
        <w:t>医院</w:t>
      </w:r>
      <w:r>
        <w:rPr>
          <w:rFonts w:hint="eastAsia" w:hAnsi="宋体" w:cs="宋体"/>
          <w:b/>
          <w:kern w:val="2"/>
          <w:sz w:val="21"/>
          <w:szCs w:val="21"/>
        </w:rPr>
        <w:t>：</w:t>
      </w:r>
      <w:r>
        <w:rPr>
          <w:rFonts w:hint="eastAsia" w:hAnsi="宋体" w:cs="宋体"/>
          <w:bCs/>
          <w:kern w:val="2"/>
          <w:sz w:val="21"/>
          <w:szCs w:val="21"/>
        </w:rPr>
        <w:t>是指经中华人民共和国卫生部门审核认定的二级或二级以上的公立医院，</w:t>
      </w:r>
      <w:r>
        <w:rPr>
          <w:rFonts w:hint="eastAsia" w:hAnsi="宋体" w:cs="宋体"/>
          <w:b/>
          <w:kern w:val="2"/>
          <w:sz w:val="21"/>
          <w:szCs w:val="21"/>
        </w:rPr>
        <w:t>且仅限于上述医院的普通部，不包括如下机构或医疗服务</w:t>
      </w:r>
      <w:r>
        <w:rPr>
          <w:rFonts w:hint="eastAsia" w:hAnsi="宋体" w:cs="宋体"/>
          <w:bCs/>
          <w:kern w:val="2"/>
          <w:sz w:val="21"/>
          <w:szCs w:val="21"/>
        </w:rPr>
        <w:t>：</w:t>
      </w:r>
    </w:p>
    <w:p>
      <w:pPr>
        <w:adjustRightInd w:val="0"/>
        <w:snapToGrid w:val="0"/>
        <w:spacing w:after="156" w:afterLines="50"/>
        <w:ind w:firstLine="422" w:firstLineChars="200"/>
        <w:rPr>
          <w:rFonts w:hAnsi="宋体" w:cs="宋体"/>
          <w:b/>
          <w:kern w:val="2"/>
          <w:sz w:val="21"/>
          <w:szCs w:val="21"/>
        </w:rPr>
      </w:pPr>
      <w:r>
        <w:rPr>
          <w:rFonts w:hint="eastAsia" w:hAnsi="宋体" w:cs="宋体"/>
          <w:b/>
          <w:kern w:val="2"/>
          <w:sz w:val="21"/>
          <w:szCs w:val="21"/>
        </w:rPr>
        <w:t>（1）</w:t>
      </w:r>
      <w:r>
        <w:rPr>
          <w:rFonts w:hAnsi="宋体" w:cs="宋体"/>
          <w:b/>
          <w:kern w:val="2"/>
          <w:sz w:val="21"/>
          <w:szCs w:val="21"/>
        </w:rPr>
        <w:t>特需医疗、外宾医疗、干部病房、联合病房、国际医疗中心、VIP部、联合医院</w:t>
      </w:r>
      <w:r>
        <w:rPr>
          <w:rFonts w:hint="eastAsia" w:hAnsi="宋体" w:cs="宋体"/>
          <w:b/>
          <w:kern w:val="2"/>
          <w:sz w:val="21"/>
          <w:szCs w:val="21"/>
        </w:rPr>
        <w:t>、A级病房</w:t>
      </w:r>
      <w:r>
        <w:rPr>
          <w:rFonts w:hAnsi="宋体" w:cs="宋体"/>
          <w:b/>
          <w:kern w:val="2"/>
          <w:sz w:val="21"/>
          <w:szCs w:val="21"/>
        </w:rPr>
        <w:t>；</w:t>
      </w:r>
    </w:p>
    <w:p>
      <w:pPr>
        <w:adjustRightInd w:val="0"/>
        <w:snapToGrid w:val="0"/>
        <w:spacing w:after="156" w:afterLines="50"/>
        <w:ind w:firstLine="422" w:firstLineChars="200"/>
        <w:rPr>
          <w:rFonts w:hAnsi="宋体" w:cs="宋体"/>
          <w:b/>
          <w:kern w:val="2"/>
          <w:sz w:val="21"/>
          <w:szCs w:val="21"/>
        </w:rPr>
      </w:pPr>
      <w:r>
        <w:rPr>
          <w:rFonts w:hint="eastAsia" w:hAnsi="宋体" w:cs="宋体"/>
          <w:b/>
          <w:kern w:val="2"/>
          <w:sz w:val="21"/>
          <w:szCs w:val="21"/>
        </w:rPr>
        <w:t>（2）</w:t>
      </w:r>
      <w:r>
        <w:rPr>
          <w:rFonts w:hAnsi="宋体" w:cs="宋体"/>
          <w:b/>
          <w:kern w:val="2"/>
          <w:sz w:val="21"/>
          <w:szCs w:val="21"/>
        </w:rPr>
        <w:t>诊所、康复中心、家庭病床、护理机构；</w:t>
      </w:r>
    </w:p>
    <w:p>
      <w:pPr>
        <w:adjustRightInd w:val="0"/>
        <w:snapToGrid w:val="0"/>
        <w:spacing w:after="156" w:afterLines="50"/>
        <w:ind w:firstLine="422" w:firstLineChars="200"/>
        <w:rPr>
          <w:rFonts w:hAnsi="宋体" w:cs="宋体"/>
          <w:b/>
          <w:kern w:val="2"/>
          <w:sz w:val="21"/>
          <w:szCs w:val="21"/>
        </w:rPr>
      </w:pPr>
      <w:r>
        <w:rPr>
          <w:rFonts w:hint="eastAsia" w:hAnsi="宋体" w:cs="宋体"/>
          <w:b/>
          <w:kern w:val="2"/>
          <w:sz w:val="21"/>
          <w:szCs w:val="21"/>
        </w:rPr>
        <w:t>（3）</w:t>
      </w:r>
      <w:r>
        <w:rPr>
          <w:rFonts w:hAnsi="宋体" w:cs="宋体"/>
          <w:b/>
          <w:kern w:val="2"/>
          <w:sz w:val="21"/>
          <w:szCs w:val="21"/>
        </w:rPr>
        <w:t>休养、戒酒、戒毒中心。</w:t>
      </w:r>
    </w:p>
    <w:p>
      <w:pPr>
        <w:adjustRightInd w:val="0"/>
        <w:snapToGrid w:val="0"/>
        <w:spacing w:after="156" w:afterLines="50"/>
        <w:ind w:firstLine="420" w:firstLineChars="200"/>
        <w:rPr>
          <w:rFonts w:hAnsi="宋体" w:cs="宋体"/>
          <w:bCs/>
          <w:kern w:val="2"/>
          <w:sz w:val="21"/>
          <w:szCs w:val="21"/>
        </w:rPr>
      </w:pPr>
      <w:r>
        <w:rPr>
          <w:rFonts w:hint="eastAsia" w:hAnsi="宋体" w:cs="宋体"/>
          <w:bCs/>
          <w:kern w:val="2"/>
          <w:sz w:val="21"/>
          <w:szCs w:val="21"/>
        </w:rPr>
        <w:t>该医院必须具有系统的、充分的诊断设备，全套外科手术设备及提供二十四小时的医疗与护理服务的能力和资质。</w:t>
      </w:r>
    </w:p>
    <w:p>
      <w:pPr>
        <w:adjustRightInd w:val="0"/>
        <w:snapToGrid w:val="0"/>
        <w:spacing w:after="156" w:afterLines="50"/>
        <w:ind w:firstLine="420" w:firstLineChars="200"/>
        <w:rPr>
          <w:rFonts w:hAnsi="宋体" w:cs="宋体"/>
          <w:bCs/>
          <w:kern w:val="2"/>
          <w:sz w:val="21"/>
          <w:szCs w:val="21"/>
        </w:rPr>
      </w:pPr>
      <w:r>
        <w:rPr>
          <w:rFonts w:hint="eastAsia" w:hAnsi="宋体" w:cs="宋体"/>
          <w:bCs/>
          <w:kern w:val="2"/>
          <w:sz w:val="21"/>
          <w:szCs w:val="21"/>
        </w:rPr>
        <w:t>其中，</w:t>
      </w:r>
      <w:r>
        <w:rPr>
          <w:rFonts w:hint="eastAsia"/>
          <w:b/>
          <w:kern w:val="2"/>
          <w:sz w:val="21"/>
          <w:szCs w:val="21"/>
          <w:lang w:bidi="ar"/>
        </w:rPr>
        <w:t>重症监护病房住院津贴保险金、</w:t>
      </w:r>
      <w:r>
        <w:rPr>
          <w:rFonts w:hint="eastAsia" w:hAnsi="宋体" w:cs="宋体"/>
          <w:b/>
          <w:bCs/>
          <w:kern w:val="2"/>
          <w:sz w:val="21"/>
          <w:szCs w:val="21"/>
        </w:rPr>
        <w:t>急性肺损伤导致的体外膜肺氧合（ECMO）治疗保险金、</w:t>
      </w:r>
      <w:r>
        <w:rPr>
          <w:rFonts w:hint="eastAsia" w:hAnsi="宋体" w:cs="宋体"/>
          <w:b/>
          <w:kern w:val="2"/>
          <w:sz w:val="21"/>
          <w:szCs w:val="21"/>
        </w:rPr>
        <w:t>特定重大器官移植手术保险金、严重慢性肾衰竭导致的日常生活能力丧失保险金的保险责任限三级公立医院。</w:t>
      </w:r>
    </w:p>
    <w:p>
      <w:pPr>
        <w:spacing w:after="156" w:afterLines="50" w:line="240" w:lineRule="auto"/>
        <w:ind w:firstLine="474" w:firstLineChars="225"/>
        <w:rPr>
          <w:rFonts w:hAnsi="宋体" w:cs="宋体"/>
          <w:b/>
          <w:kern w:val="2"/>
          <w:sz w:val="21"/>
          <w:szCs w:val="21"/>
        </w:rPr>
      </w:pPr>
      <w:r>
        <w:rPr>
          <w:rFonts w:hAnsi="宋体" w:cs="宋体"/>
          <w:b/>
          <w:kern w:val="2"/>
          <w:sz w:val="21"/>
          <w:szCs w:val="21"/>
        </w:rPr>
        <w:t>3</w:t>
      </w:r>
      <w:r>
        <w:rPr>
          <w:rFonts w:hint="eastAsia" w:hAnsi="宋体" w:cs="宋体"/>
          <w:b/>
          <w:kern w:val="2"/>
          <w:sz w:val="21"/>
          <w:szCs w:val="21"/>
        </w:rPr>
        <w:t>.重症监护病房：</w:t>
      </w:r>
      <w:r>
        <w:rPr>
          <w:rFonts w:hAnsi="宋体"/>
          <w:kern w:val="2"/>
          <w:sz w:val="21"/>
          <w:szCs w:val="21"/>
        </w:rPr>
        <w:t>指经</w:t>
      </w:r>
      <w:r>
        <w:rPr>
          <w:rFonts w:hint="eastAsia" w:hAnsi="宋体"/>
          <w:kern w:val="2"/>
          <w:sz w:val="21"/>
          <w:szCs w:val="21"/>
        </w:rPr>
        <w:t>国家</w:t>
      </w:r>
      <w:r>
        <w:rPr>
          <w:rFonts w:hAnsi="宋体"/>
          <w:kern w:val="2"/>
          <w:sz w:val="21"/>
          <w:szCs w:val="21"/>
        </w:rPr>
        <w:t>医疗卫生行政主管机关批准，在医院内正式</w:t>
      </w:r>
      <w:r>
        <w:rPr>
          <w:rFonts w:hint="eastAsia" w:hAnsi="宋体"/>
          <w:kern w:val="2"/>
          <w:sz w:val="21"/>
          <w:szCs w:val="21"/>
        </w:rPr>
        <w:t>设立的集中监护和救治危重患者的专业病房</w:t>
      </w:r>
      <w:r>
        <w:rPr>
          <w:rFonts w:hAnsi="宋体"/>
          <w:kern w:val="2"/>
          <w:sz w:val="21"/>
          <w:szCs w:val="21"/>
        </w:rPr>
        <w:t>。</w:t>
      </w:r>
      <w:r>
        <w:rPr>
          <w:rFonts w:hint="eastAsia" w:hAnsi="宋体"/>
          <w:kern w:val="2"/>
          <w:sz w:val="21"/>
          <w:szCs w:val="21"/>
        </w:rPr>
        <w:t>包括冠心病重症监护治疗病房（</w:t>
      </w:r>
      <w:r>
        <w:rPr>
          <w:rFonts w:hAnsi="宋体"/>
          <w:kern w:val="2"/>
          <w:sz w:val="21"/>
          <w:szCs w:val="21"/>
        </w:rPr>
        <w:t>CCU）、心肺重症监护治疗病房（CPICU）、心脏外科重症监护治疗病房（CSICU）、</w:t>
      </w:r>
      <w:r>
        <w:rPr>
          <w:rFonts w:hAnsi="宋体"/>
          <w:bCs/>
          <w:kern w:val="2"/>
          <w:sz w:val="21"/>
        </w:rPr>
        <w:t>神经</w:t>
      </w:r>
      <w:r>
        <w:rPr>
          <w:rFonts w:hAnsi="宋体"/>
          <w:kern w:val="2"/>
          <w:sz w:val="21"/>
          <w:szCs w:val="21"/>
        </w:rPr>
        <w:t>外科重症监护治疗病房（NSICU），婴幼儿重症监护治疗病房（IICU）等专门性的重症监护病房</w:t>
      </w:r>
      <w:r>
        <w:rPr>
          <w:rFonts w:hint="eastAsia" w:hAnsi="宋体"/>
          <w:kern w:val="2"/>
          <w:sz w:val="21"/>
          <w:szCs w:val="21"/>
        </w:rPr>
        <w:t>。</w:t>
      </w:r>
      <w:r>
        <w:rPr>
          <w:rFonts w:hAnsi="宋体"/>
          <w:kern w:val="2"/>
          <w:sz w:val="21"/>
          <w:szCs w:val="21"/>
        </w:rPr>
        <w:t>该病房为危重患者提供24小时持续</w:t>
      </w:r>
      <w:r>
        <w:rPr>
          <w:rFonts w:hint="eastAsia" w:hAnsi="宋体"/>
          <w:kern w:val="2"/>
          <w:sz w:val="21"/>
          <w:szCs w:val="21"/>
        </w:rPr>
        <w:t>深度监护</w:t>
      </w:r>
      <w:r>
        <w:rPr>
          <w:rFonts w:hAnsi="宋体"/>
          <w:kern w:val="2"/>
          <w:sz w:val="21"/>
          <w:szCs w:val="21"/>
        </w:rPr>
        <w:t>及治疗</w:t>
      </w:r>
      <w:r>
        <w:rPr>
          <w:rFonts w:hint="eastAsia" w:hAnsi="宋体"/>
          <w:kern w:val="2"/>
          <w:sz w:val="21"/>
          <w:szCs w:val="21"/>
        </w:rPr>
        <w:t>并按日收费</w:t>
      </w:r>
      <w:r>
        <w:rPr>
          <w:rFonts w:hAnsi="宋体"/>
          <w:kern w:val="2"/>
          <w:sz w:val="21"/>
          <w:szCs w:val="21"/>
        </w:rPr>
        <w:t>，配备有重症监护专科医生、护士以及相应的监护、复苏抢救设备，例如：心脏除颤机，人工呼吸机，紧急药物，各项生命体征（如心率、血压等）持续测试的仪器等。</w:t>
      </w:r>
    </w:p>
    <w:p>
      <w:pPr>
        <w:spacing w:after="156" w:afterLines="50"/>
        <w:ind w:firstLine="474" w:firstLineChars="225"/>
        <w:rPr>
          <w:rFonts w:hAnsi="宋体"/>
          <w:bCs/>
          <w:kern w:val="2"/>
          <w:sz w:val="21"/>
        </w:rPr>
      </w:pPr>
      <w:r>
        <w:rPr>
          <w:rFonts w:hAnsi="宋体"/>
          <w:b/>
          <w:kern w:val="2"/>
          <w:sz w:val="21"/>
        </w:rPr>
        <w:t>4.急性肺损伤：</w:t>
      </w:r>
      <w:r>
        <w:rPr>
          <w:rFonts w:hint="eastAsia" w:hAnsi="宋体"/>
          <w:bCs/>
          <w:kern w:val="2"/>
          <w:sz w:val="21"/>
        </w:rPr>
        <w:t>一种表现为无心脏衰竭的肺水肿，为创伤、脓毒血症等临床多种疾病的并发症，造成多器官衰竭，死亡率高。</w:t>
      </w:r>
      <w:bookmarkStart w:id="10" w:name="_Hlk57919034"/>
      <w:r>
        <w:rPr>
          <w:rFonts w:hint="eastAsia" w:hAnsi="宋体"/>
          <w:bCs/>
          <w:kern w:val="2"/>
          <w:sz w:val="21"/>
        </w:rPr>
        <w:t>急性肺损伤</w:t>
      </w:r>
      <w:bookmarkEnd w:id="10"/>
      <w:r>
        <w:rPr>
          <w:rFonts w:hint="eastAsia" w:hAnsi="宋体"/>
          <w:bCs/>
          <w:kern w:val="2"/>
          <w:sz w:val="21"/>
        </w:rPr>
        <w:t>必须由呼吸系统专科医师诊断，并有下列所有临床证据支持。</w:t>
      </w:r>
    </w:p>
    <w:p>
      <w:pPr>
        <w:numPr>
          <w:ilvl w:val="255"/>
          <w:numId w:val="0"/>
        </w:num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（1）急性发作（原发疾病起病后6至72小时）；</w:t>
      </w:r>
    </w:p>
    <w:p>
      <w:pPr>
        <w:numPr>
          <w:ilvl w:val="255"/>
          <w:numId w:val="0"/>
        </w:num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（2）急性发作的临床症状体征，包括呼吸急促、呼吸困难、心动过速、大汗、面色苍白及辅助呼吸肌活动加强（点头呼吸、提肩呼吸）；</w:t>
      </w:r>
    </w:p>
    <w:p>
      <w:pPr>
        <w:numPr>
          <w:ilvl w:val="255"/>
          <w:numId w:val="0"/>
        </w:num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（3）双肺浸润影；</w:t>
      </w:r>
    </w:p>
    <w:p>
      <w:pPr>
        <w:numPr>
          <w:ilvl w:val="255"/>
          <w:numId w:val="0"/>
        </w:num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（4）PaO2/FiO2（动脉血压分压/吸入气氧分压）低于200mmHg；</w:t>
      </w:r>
    </w:p>
    <w:p>
      <w:pPr>
        <w:numPr>
          <w:ilvl w:val="255"/>
          <w:numId w:val="0"/>
        </w:num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（5）肺动脉嵌入压低于18mmHg；</w:t>
      </w:r>
    </w:p>
    <w:p>
      <w:p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（6）临床无左房高压表现；</w:t>
      </w:r>
    </w:p>
    <w:p>
      <w:pPr>
        <w:adjustRightInd w:val="0"/>
        <w:snapToGrid w:val="0"/>
        <w:spacing w:line="360" w:lineRule="auto"/>
        <w:ind w:firstLine="420" w:firstLineChars="200"/>
        <w:rPr>
          <w:rFonts w:hAnsi="宋体" w:cs="宋体"/>
          <w:bCs/>
          <w:kern w:val="2"/>
          <w:sz w:val="21"/>
          <w:szCs w:val="21"/>
        </w:rPr>
      </w:pPr>
      <w:r>
        <w:rPr>
          <w:rFonts w:hint="eastAsia" w:hAnsi="宋体" w:cs="宋体"/>
          <w:bCs/>
          <w:kern w:val="2"/>
          <w:sz w:val="21"/>
          <w:szCs w:val="21"/>
        </w:rPr>
        <w:t>（7）实际接受了体外膜肺氧合（ECMO）急救治疗。</w:t>
      </w:r>
    </w:p>
    <w:p>
      <w:pPr>
        <w:adjustRightInd w:val="0"/>
        <w:snapToGrid w:val="0"/>
        <w:spacing w:line="360" w:lineRule="auto"/>
        <w:ind w:firstLine="422" w:firstLineChars="200"/>
        <w:rPr>
          <w:rFonts w:hAnsi="宋体" w:cs="宋体"/>
          <w:sz w:val="21"/>
          <w:szCs w:val="21"/>
        </w:rPr>
      </w:pPr>
      <w:r>
        <w:rPr>
          <w:rFonts w:hAnsi="宋体" w:cs="宋体"/>
          <w:b/>
          <w:bCs/>
          <w:kern w:val="2"/>
          <w:sz w:val="21"/>
          <w:szCs w:val="21"/>
        </w:rPr>
        <w:t>5.</w:t>
      </w:r>
      <w:r>
        <w:rPr>
          <w:rFonts w:hint="eastAsia" w:hAnsi="宋体" w:cs="宋体"/>
          <w:b/>
          <w:bCs/>
          <w:kern w:val="2"/>
          <w:sz w:val="21"/>
          <w:szCs w:val="21"/>
        </w:rPr>
        <w:t>体外膜肺氧合（</w:t>
      </w:r>
      <w:r>
        <w:rPr>
          <w:rFonts w:hAnsi="宋体" w:cs="宋体"/>
          <w:b/>
          <w:bCs/>
          <w:kern w:val="2"/>
          <w:sz w:val="21"/>
          <w:szCs w:val="21"/>
        </w:rPr>
        <w:t>ECMO）急救治疗</w:t>
      </w:r>
      <w:r>
        <w:rPr>
          <w:rFonts w:hint="eastAsia" w:hAnsi="宋体" w:cs="宋体"/>
          <w:b/>
          <w:bCs/>
          <w:kern w:val="2"/>
          <w:sz w:val="21"/>
          <w:szCs w:val="21"/>
        </w:rPr>
        <w:t>：</w:t>
      </w:r>
      <w:r>
        <w:rPr>
          <w:rFonts w:hAnsi="宋体" w:cs="宋体"/>
          <w:sz w:val="21"/>
          <w:szCs w:val="21"/>
        </w:rPr>
        <w:t>ECMO(Extracorporeal Membrane Oxygenation)，体外膜肺氧合，简称膜肺，是体外生命支持的一种方式，通过将体内血液引出经过体外</w:t>
      </w:r>
      <w:r>
        <w:rPr>
          <w:rFonts w:hint="eastAsia" w:hAnsi="宋体" w:cs="宋体"/>
          <w:sz w:val="21"/>
          <w:szCs w:val="21"/>
        </w:rPr>
        <w:t>的膜肺和血泵再输回体内，对急性呼吸或循环衰竭的患者进行全部或部分有效支持，是目前针对严重心肺功能衰竭最核心的支持手段。</w:t>
      </w:r>
    </w:p>
    <w:p>
      <w:pPr>
        <w:spacing w:line="360" w:lineRule="auto"/>
        <w:ind w:firstLine="422" w:firstLineChars="200"/>
        <w:rPr>
          <w:rFonts w:hAnsi="宋体"/>
          <w:kern w:val="2"/>
          <w:sz w:val="21"/>
          <w:szCs w:val="21"/>
        </w:rPr>
      </w:pPr>
      <w:r>
        <w:rPr>
          <w:rFonts w:hAnsi="宋体" w:cs="宋体"/>
          <w:b/>
          <w:bCs/>
          <w:kern w:val="2"/>
          <w:sz w:val="21"/>
          <w:szCs w:val="21"/>
        </w:rPr>
        <w:t>6</w:t>
      </w:r>
      <w:r>
        <w:rPr>
          <w:rFonts w:hint="eastAsia" w:hAnsi="宋体" w:cs="宋体"/>
          <w:b/>
          <w:bCs/>
          <w:kern w:val="2"/>
          <w:sz w:val="21"/>
          <w:szCs w:val="21"/>
        </w:rPr>
        <w:t>.特定重大器官移植手术：</w:t>
      </w:r>
      <w:r>
        <w:rPr>
          <w:rFonts w:hint="eastAsia" w:hAnsi="宋体" w:cs="宋体"/>
          <w:kern w:val="2"/>
          <w:sz w:val="21"/>
          <w:szCs w:val="21"/>
        </w:rPr>
        <w:t>特定重大器官移植手术，指因相应器官功能衰竭，已经实施了肾脏、肝脏、心脏、肺脏或胰腺的异体移植手术。</w:t>
      </w:r>
    </w:p>
    <w:p>
      <w:pPr>
        <w:spacing w:line="360" w:lineRule="auto"/>
        <w:ind w:firstLine="422" w:firstLineChars="200"/>
        <w:rPr>
          <w:rFonts w:hAnsi="宋体"/>
          <w:kern w:val="2"/>
          <w:sz w:val="21"/>
          <w:szCs w:val="21"/>
        </w:rPr>
      </w:pPr>
      <w:r>
        <w:rPr>
          <w:rFonts w:hAnsi="宋体" w:cs="宋体"/>
          <w:b/>
          <w:bCs/>
          <w:kern w:val="2"/>
          <w:sz w:val="21"/>
          <w:szCs w:val="21"/>
        </w:rPr>
        <w:t>7</w:t>
      </w:r>
      <w:r>
        <w:rPr>
          <w:rFonts w:hint="eastAsia" w:hAnsi="宋体" w:cs="宋体"/>
          <w:b/>
          <w:bCs/>
          <w:kern w:val="2"/>
          <w:sz w:val="21"/>
          <w:szCs w:val="21"/>
        </w:rPr>
        <w:t>.身体全残：</w:t>
      </w:r>
      <w:r>
        <w:rPr>
          <w:rFonts w:hint="eastAsia" w:hAnsi="宋体" w:cs="宋体"/>
          <w:kern w:val="2"/>
          <w:sz w:val="21"/>
          <w:szCs w:val="21"/>
        </w:rPr>
        <w:t>身体全残指下列情形之一：（1）双目永久完全</w:t>
      </w:r>
      <w:r>
        <w:rPr>
          <w:rFonts w:hint="eastAsia" w:hAnsi="宋体" w:cs="宋体"/>
          <w:b/>
          <w:bCs/>
          <w:kern w:val="2"/>
          <w:sz w:val="21"/>
          <w:szCs w:val="21"/>
        </w:rPr>
        <w:t>失明（见释义</w:t>
      </w:r>
      <w:r>
        <w:rPr>
          <w:rFonts w:hAnsi="宋体" w:cs="宋体"/>
          <w:b/>
          <w:kern w:val="2"/>
          <w:sz w:val="21"/>
          <w:szCs w:val="21"/>
        </w:rPr>
        <w:t>10</w:t>
      </w:r>
      <w:r>
        <w:rPr>
          <w:rFonts w:hint="eastAsia" w:hAnsi="宋体" w:cs="宋体"/>
          <w:b/>
          <w:kern w:val="2"/>
          <w:sz w:val="21"/>
          <w:szCs w:val="21"/>
        </w:rPr>
        <w:t>）</w:t>
      </w:r>
      <w:r>
        <w:rPr>
          <w:rFonts w:hint="eastAsia" w:hAnsi="宋体" w:cs="宋体"/>
          <w:kern w:val="2"/>
          <w:sz w:val="21"/>
          <w:szCs w:val="21"/>
        </w:rPr>
        <w:t>；（2）两上肢腕关节以上或两下肢踝关节以上缺失；（3）一上肢腕关节以上及一下肢踝关节以上缺失；（4）一目永久完全失明及一上肢腕关节以上缺失；（5）一目永久完全失明及一下肢踝关节以上缺失；（6）四肢</w:t>
      </w:r>
      <w:r>
        <w:rPr>
          <w:rFonts w:hint="eastAsia" w:hAnsi="宋体" w:cs="宋体"/>
          <w:b/>
          <w:bCs/>
          <w:kern w:val="2"/>
          <w:sz w:val="21"/>
          <w:szCs w:val="21"/>
        </w:rPr>
        <w:t>关节机能永久完全丧失（见释义</w:t>
      </w:r>
      <w:r>
        <w:rPr>
          <w:rFonts w:hint="eastAsia" w:hAnsi="宋体" w:cs="宋体"/>
          <w:b/>
          <w:kern w:val="2"/>
          <w:sz w:val="21"/>
          <w:szCs w:val="21"/>
        </w:rPr>
        <w:t>1</w:t>
      </w:r>
      <w:r>
        <w:rPr>
          <w:rFonts w:hAnsi="宋体" w:cs="宋体"/>
          <w:b/>
          <w:kern w:val="2"/>
          <w:sz w:val="21"/>
          <w:szCs w:val="21"/>
        </w:rPr>
        <w:t>1</w:t>
      </w:r>
      <w:r>
        <w:rPr>
          <w:rFonts w:hint="eastAsia" w:hAnsi="宋体" w:cs="宋体"/>
          <w:b/>
          <w:kern w:val="2"/>
          <w:sz w:val="21"/>
          <w:szCs w:val="21"/>
        </w:rPr>
        <w:t>）</w:t>
      </w:r>
      <w:r>
        <w:rPr>
          <w:rFonts w:hint="eastAsia" w:hAnsi="宋体" w:cs="宋体"/>
          <w:kern w:val="2"/>
          <w:sz w:val="21"/>
          <w:szCs w:val="21"/>
        </w:rPr>
        <w:t>；（7）</w:t>
      </w:r>
      <w:r>
        <w:rPr>
          <w:rFonts w:hint="eastAsia" w:hAnsi="宋体" w:cs="宋体"/>
          <w:b/>
          <w:bCs/>
          <w:kern w:val="2"/>
          <w:sz w:val="21"/>
          <w:szCs w:val="21"/>
        </w:rPr>
        <w:t>咀嚼、吞咽机能永久完全丧失（见释义</w:t>
      </w:r>
      <w:r>
        <w:rPr>
          <w:rFonts w:hint="eastAsia" w:hAnsi="宋体" w:cs="宋体"/>
          <w:b/>
          <w:kern w:val="2"/>
          <w:sz w:val="21"/>
          <w:szCs w:val="21"/>
        </w:rPr>
        <w:t>1</w:t>
      </w:r>
      <w:r>
        <w:rPr>
          <w:rFonts w:hAnsi="宋体" w:cs="宋体"/>
          <w:b/>
          <w:kern w:val="2"/>
          <w:sz w:val="21"/>
          <w:szCs w:val="21"/>
        </w:rPr>
        <w:t>2</w:t>
      </w:r>
      <w:r>
        <w:rPr>
          <w:rFonts w:hint="eastAsia" w:hAnsi="宋体" w:cs="宋体"/>
          <w:b/>
          <w:kern w:val="2"/>
          <w:sz w:val="21"/>
          <w:szCs w:val="21"/>
        </w:rPr>
        <w:t>）</w:t>
      </w:r>
      <w:r>
        <w:rPr>
          <w:rFonts w:hint="eastAsia" w:hAnsi="宋体" w:cs="宋体"/>
          <w:kern w:val="2"/>
          <w:sz w:val="21"/>
          <w:szCs w:val="21"/>
        </w:rPr>
        <w:t>；（8）中枢神经系统机能或胸、腹部脏器机能极度障碍，导致终身不能从事任何工作，</w:t>
      </w:r>
      <w:r>
        <w:rPr>
          <w:rFonts w:hint="eastAsia" w:hAnsi="宋体" w:cs="宋体"/>
          <w:b/>
          <w:bCs/>
          <w:kern w:val="2"/>
          <w:sz w:val="21"/>
          <w:szCs w:val="21"/>
        </w:rPr>
        <w:t>为维持生命必要的日常生活活动，全需他人扶助（见释义</w:t>
      </w:r>
      <w:r>
        <w:rPr>
          <w:rFonts w:hint="eastAsia" w:hAnsi="宋体" w:cs="宋体"/>
          <w:b/>
          <w:kern w:val="2"/>
          <w:sz w:val="21"/>
          <w:szCs w:val="21"/>
        </w:rPr>
        <w:t>1</w:t>
      </w:r>
      <w:r>
        <w:rPr>
          <w:rFonts w:hAnsi="宋体" w:cs="宋体"/>
          <w:b/>
          <w:kern w:val="2"/>
          <w:sz w:val="21"/>
          <w:szCs w:val="21"/>
        </w:rPr>
        <w:t>3</w:t>
      </w:r>
      <w:r>
        <w:rPr>
          <w:rFonts w:hint="eastAsia" w:hAnsi="宋体" w:cs="宋体"/>
          <w:b/>
          <w:kern w:val="2"/>
          <w:sz w:val="21"/>
          <w:szCs w:val="21"/>
        </w:rPr>
        <w:t>）</w:t>
      </w:r>
      <w:r>
        <w:rPr>
          <w:rFonts w:hint="eastAsia" w:hAnsi="宋体" w:cs="宋体"/>
          <w:b/>
          <w:bCs/>
          <w:kern w:val="2"/>
          <w:sz w:val="21"/>
          <w:szCs w:val="21"/>
        </w:rPr>
        <w:t>的</w:t>
      </w:r>
      <w:r>
        <w:rPr>
          <w:rFonts w:hint="eastAsia" w:hAnsi="宋体" w:cs="宋体"/>
          <w:kern w:val="2"/>
          <w:sz w:val="21"/>
          <w:szCs w:val="21"/>
        </w:rPr>
        <w:t>。</w:t>
      </w:r>
    </w:p>
    <w:p>
      <w:pPr>
        <w:spacing w:line="360" w:lineRule="auto"/>
        <w:ind w:firstLine="422" w:firstLineChars="200"/>
        <w:rPr>
          <w:rFonts w:hAnsi="宋体"/>
          <w:kern w:val="2"/>
          <w:sz w:val="21"/>
          <w:szCs w:val="21"/>
        </w:rPr>
      </w:pPr>
      <w:r>
        <w:rPr>
          <w:rFonts w:hAnsi="宋体" w:cs="宋体"/>
          <w:b/>
          <w:bCs/>
          <w:kern w:val="2"/>
          <w:sz w:val="21"/>
          <w:szCs w:val="21"/>
        </w:rPr>
        <w:t>8</w:t>
      </w:r>
      <w:r>
        <w:rPr>
          <w:rFonts w:hint="eastAsia" w:hAnsi="宋体" w:cs="宋体"/>
          <w:b/>
          <w:bCs/>
          <w:kern w:val="2"/>
          <w:sz w:val="21"/>
          <w:szCs w:val="21"/>
        </w:rPr>
        <w:t>.严重慢性肾衰竭：</w:t>
      </w:r>
      <w:r>
        <w:rPr>
          <w:rFonts w:hint="eastAsia" w:hAnsi="宋体" w:cs="宋体"/>
          <w:kern w:val="2"/>
          <w:sz w:val="21"/>
          <w:szCs w:val="21"/>
        </w:rPr>
        <w:t>指双肾功能慢性不可逆性衰竭，依据肾脏病预后质量倡议（K/DOQI）制定的指南，分期达到慢性肾脏病 5 期，且经诊断后已经进行了至少 90 天的规律性透析治疗。规律性透析是指每周进行血液透析或每天进行腹膜透析。</w:t>
      </w:r>
    </w:p>
    <w:p>
      <w:pPr>
        <w:pStyle w:val="7"/>
        <w:widowControl/>
        <w:adjustRightInd w:val="0"/>
        <w:snapToGrid w:val="0"/>
        <w:spacing w:after="156" w:afterLines="50"/>
        <w:ind w:firstLine="422" w:firstLineChars="200"/>
        <w:rPr>
          <w:b/>
          <w:kern w:val="2"/>
          <w:sz w:val="21"/>
          <w:szCs w:val="21"/>
        </w:rPr>
      </w:pPr>
      <w:r>
        <w:rPr>
          <w:b/>
          <w:kern w:val="2"/>
          <w:sz w:val="21"/>
          <w:szCs w:val="21"/>
        </w:rPr>
        <w:t>9</w:t>
      </w:r>
      <w:r>
        <w:rPr>
          <w:rFonts w:hint="eastAsia"/>
          <w:b/>
          <w:kern w:val="2"/>
          <w:sz w:val="21"/>
          <w:szCs w:val="21"/>
        </w:rPr>
        <w:t>.六项基本日常生活活动：</w:t>
      </w:r>
    </w:p>
    <w:p>
      <w:pPr>
        <w:pStyle w:val="7"/>
        <w:widowControl/>
        <w:adjustRightInd w:val="0"/>
        <w:snapToGrid w:val="0"/>
        <w:spacing w:after="156" w:afterLines="50"/>
        <w:ind w:firstLine="420" w:firstLineChars="200"/>
        <w:rPr>
          <w:bCs/>
          <w:kern w:val="2"/>
          <w:sz w:val="21"/>
          <w:szCs w:val="21"/>
        </w:rPr>
      </w:pPr>
      <w:r>
        <w:rPr>
          <w:rFonts w:hint="eastAsia"/>
          <w:bCs/>
          <w:kern w:val="2"/>
          <w:sz w:val="21"/>
          <w:szCs w:val="21"/>
        </w:rPr>
        <w:t>六项基本日常生活活动是指：</w:t>
      </w:r>
    </w:p>
    <w:p>
      <w:pPr>
        <w:pStyle w:val="7"/>
        <w:widowControl/>
        <w:adjustRightInd w:val="0"/>
        <w:snapToGrid w:val="0"/>
        <w:spacing w:after="156" w:afterLines="50"/>
        <w:ind w:firstLine="420" w:firstLineChars="200"/>
        <w:rPr>
          <w:bCs/>
          <w:kern w:val="2"/>
          <w:sz w:val="21"/>
          <w:szCs w:val="21"/>
        </w:rPr>
      </w:pPr>
      <w:r>
        <w:rPr>
          <w:rFonts w:hint="eastAsia"/>
          <w:bCs/>
          <w:kern w:val="2"/>
          <w:sz w:val="21"/>
          <w:szCs w:val="21"/>
        </w:rPr>
        <w:t>（1）穿衣：自己能够穿衣及脱衣；</w:t>
      </w:r>
    </w:p>
    <w:p>
      <w:pPr>
        <w:pStyle w:val="7"/>
        <w:widowControl/>
        <w:adjustRightInd w:val="0"/>
        <w:snapToGrid w:val="0"/>
        <w:spacing w:after="156" w:afterLines="50"/>
        <w:ind w:firstLine="420" w:firstLineChars="200"/>
        <w:rPr>
          <w:bCs/>
          <w:kern w:val="2"/>
          <w:sz w:val="21"/>
          <w:szCs w:val="21"/>
        </w:rPr>
      </w:pPr>
      <w:r>
        <w:rPr>
          <w:rFonts w:hint="eastAsia"/>
          <w:bCs/>
          <w:kern w:val="2"/>
          <w:sz w:val="21"/>
          <w:szCs w:val="21"/>
        </w:rPr>
        <w:t>（2）移动：自己从一个房间到另一个房间；</w:t>
      </w:r>
    </w:p>
    <w:p>
      <w:pPr>
        <w:pStyle w:val="7"/>
        <w:widowControl/>
        <w:adjustRightInd w:val="0"/>
        <w:snapToGrid w:val="0"/>
        <w:spacing w:after="156" w:afterLines="50"/>
        <w:ind w:firstLine="420" w:firstLineChars="200"/>
        <w:rPr>
          <w:bCs/>
          <w:kern w:val="2"/>
          <w:sz w:val="21"/>
          <w:szCs w:val="21"/>
        </w:rPr>
      </w:pPr>
      <w:r>
        <w:rPr>
          <w:rFonts w:hint="eastAsia"/>
          <w:bCs/>
          <w:kern w:val="2"/>
          <w:sz w:val="21"/>
          <w:szCs w:val="21"/>
        </w:rPr>
        <w:t>（3）行动：自己上下床或上下轮椅；</w:t>
      </w:r>
    </w:p>
    <w:p>
      <w:pPr>
        <w:pStyle w:val="7"/>
        <w:widowControl/>
        <w:adjustRightInd w:val="0"/>
        <w:snapToGrid w:val="0"/>
        <w:spacing w:after="156" w:afterLines="50"/>
        <w:ind w:firstLine="420" w:firstLineChars="200"/>
        <w:rPr>
          <w:bCs/>
          <w:kern w:val="2"/>
          <w:sz w:val="21"/>
          <w:szCs w:val="21"/>
        </w:rPr>
      </w:pPr>
      <w:r>
        <w:rPr>
          <w:rFonts w:hint="eastAsia"/>
          <w:bCs/>
          <w:kern w:val="2"/>
          <w:sz w:val="21"/>
          <w:szCs w:val="21"/>
        </w:rPr>
        <w:t>（4）如厕：自己控制进行大小便；</w:t>
      </w:r>
    </w:p>
    <w:p>
      <w:pPr>
        <w:pStyle w:val="7"/>
        <w:widowControl/>
        <w:adjustRightInd w:val="0"/>
        <w:snapToGrid w:val="0"/>
        <w:spacing w:after="156" w:afterLines="50"/>
        <w:ind w:firstLine="420" w:firstLineChars="200"/>
        <w:rPr>
          <w:bCs/>
          <w:kern w:val="2"/>
          <w:sz w:val="21"/>
          <w:szCs w:val="21"/>
        </w:rPr>
      </w:pPr>
      <w:r>
        <w:rPr>
          <w:rFonts w:hint="eastAsia"/>
          <w:bCs/>
          <w:kern w:val="2"/>
          <w:sz w:val="21"/>
          <w:szCs w:val="21"/>
        </w:rPr>
        <w:t>（5）进食：自己从已准备好的碗或碟中取食物放入口中；</w:t>
      </w:r>
    </w:p>
    <w:p>
      <w:pPr>
        <w:pStyle w:val="7"/>
        <w:widowControl/>
        <w:adjustRightInd w:val="0"/>
        <w:snapToGrid w:val="0"/>
        <w:spacing w:after="156" w:afterLines="50"/>
        <w:ind w:firstLine="420" w:firstLineChars="200"/>
        <w:rPr>
          <w:bCs/>
          <w:kern w:val="2"/>
          <w:sz w:val="21"/>
          <w:szCs w:val="21"/>
        </w:rPr>
      </w:pPr>
      <w:r>
        <w:rPr>
          <w:rFonts w:hint="eastAsia"/>
          <w:bCs/>
          <w:kern w:val="2"/>
          <w:sz w:val="21"/>
          <w:szCs w:val="21"/>
        </w:rPr>
        <w:t>（6）洗澡：自己进行淋浴或盆浴。</w:t>
      </w:r>
    </w:p>
    <w:p>
      <w:pPr>
        <w:pStyle w:val="7"/>
        <w:widowControl/>
        <w:adjustRightInd w:val="0"/>
        <w:snapToGrid w:val="0"/>
        <w:spacing w:after="156" w:afterLines="50"/>
        <w:ind w:firstLine="422" w:firstLineChars="200"/>
        <w:rPr>
          <w:b/>
          <w:kern w:val="2"/>
          <w:sz w:val="21"/>
          <w:szCs w:val="21"/>
        </w:rPr>
      </w:pPr>
      <w:r>
        <w:rPr>
          <w:rFonts w:hint="eastAsia"/>
          <w:b/>
          <w:kern w:val="2"/>
          <w:sz w:val="21"/>
          <w:szCs w:val="21"/>
        </w:rPr>
        <w:t>六项基本日常生活活动能力的鉴定不适用于0-3周岁幼儿。</w:t>
      </w:r>
    </w:p>
    <w:p>
      <w:pPr>
        <w:adjustRightInd w:val="0"/>
        <w:snapToGrid w:val="0"/>
        <w:spacing w:line="360" w:lineRule="auto"/>
        <w:ind w:firstLine="422" w:firstLineChars="200"/>
        <w:rPr>
          <w:rFonts w:hAnsi="宋体" w:cs="宋体"/>
          <w:kern w:val="2"/>
          <w:sz w:val="21"/>
          <w:szCs w:val="21"/>
        </w:rPr>
      </w:pPr>
      <w:r>
        <w:rPr>
          <w:rFonts w:hAnsi="宋体" w:cs="宋体"/>
          <w:b/>
          <w:kern w:val="2"/>
          <w:sz w:val="21"/>
          <w:szCs w:val="21"/>
        </w:rPr>
        <w:t>10</w:t>
      </w:r>
      <w:r>
        <w:rPr>
          <w:rFonts w:hint="eastAsia" w:hAnsi="宋体" w:cs="宋体"/>
          <w:b/>
          <w:kern w:val="2"/>
          <w:sz w:val="21"/>
          <w:szCs w:val="21"/>
        </w:rPr>
        <w:t>.失明：</w:t>
      </w:r>
      <w:r>
        <w:rPr>
          <w:rFonts w:hint="eastAsia" w:hAnsi="宋体" w:cs="宋体"/>
          <w:kern w:val="2"/>
          <w:sz w:val="21"/>
          <w:szCs w:val="21"/>
        </w:rPr>
        <w:t>包括眼球缺失或摘除或不能辨别明暗或仅能辨别眼前手动者，最佳矫正视力低于国际标准视力表0.02，或视野半径小于5 度，且病程持续超过180 天（</w:t>
      </w:r>
      <w:r>
        <w:rPr>
          <w:rFonts w:hint="eastAsia" w:hAnsi="宋体" w:cs="宋体"/>
          <w:b/>
          <w:bCs/>
          <w:kern w:val="2"/>
          <w:sz w:val="21"/>
          <w:szCs w:val="21"/>
        </w:rPr>
        <w:t>眼球缺失或摘除不在此限</w:t>
      </w:r>
      <w:r>
        <w:rPr>
          <w:rFonts w:hint="eastAsia" w:hAnsi="宋体" w:cs="宋体"/>
          <w:kern w:val="2"/>
          <w:sz w:val="21"/>
          <w:szCs w:val="21"/>
        </w:rPr>
        <w:t>），并由保险人认可的鉴定机构出具鉴定书。</w:t>
      </w:r>
    </w:p>
    <w:p>
      <w:pPr>
        <w:adjustRightInd w:val="0"/>
        <w:snapToGrid w:val="0"/>
        <w:spacing w:line="360" w:lineRule="auto"/>
        <w:ind w:firstLine="422" w:firstLineChars="200"/>
        <w:rPr>
          <w:rFonts w:hAnsi="宋体" w:cs="宋体"/>
          <w:kern w:val="2"/>
          <w:sz w:val="21"/>
          <w:szCs w:val="21"/>
        </w:rPr>
      </w:pPr>
      <w:r>
        <w:rPr>
          <w:rFonts w:hint="eastAsia" w:hAnsi="宋体" w:cs="宋体"/>
          <w:b/>
          <w:kern w:val="2"/>
          <w:sz w:val="21"/>
          <w:szCs w:val="21"/>
        </w:rPr>
        <w:t>1</w:t>
      </w:r>
      <w:r>
        <w:rPr>
          <w:rFonts w:hAnsi="宋体" w:cs="宋体"/>
          <w:b/>
          <w:kern w:val="2"/>
          <w:sz w:val="21"/>
          <w:szCs w:val="21"/>
        </w:rPr>
        <w:t>1</w:t>
      </w:r>
      <w:r>
        <w:rPr>
          <w:rFonts w:hint="eastAsia" w:hAnsi="宋体" w:cs="宋体"/>
          <w:b/>
          <w:kern w:val="2"/>
          <w:sz w:val="21"/>
          <w:szCs w:val="21"/>
        </w:rPr>
        <w:t>.关节机能</w:t>
      </w:r>
      <w:r>
        <w:rPr>
          <w:rFonts w:hint="eastAsia" w:hAnsi="宋体" w:cs="宋体"/>
          <w:b/>
          <w:bCs/>
          <w:kern w:val="2"/>
          <w:sz w:val="21"/>
          <w:szCs w:val="21"/>
        </w:rPr>
        <w:t>永久完全</w:t>
      </w:r>
      <w:r>
        <w:rPr>
          <w:rFonts w:hint="eastAsia" w:hAnsi="宋体" w:cs="宋体"/>
          <w:b/>
          <w:kern w:val="2"/>
          <w:sz w:val="21"/>
          <w:szCs w:val="21"/>
        </w:rPr>
        <w:t>丧失：</w:t>
      </w:r>
      <w:r>
        <w:rPr>
          <w:rFonts w:hint="eastAsia" w:hAnsi="宋体" w:cs="宋体"/>
          <w:kern w:val="2"/>
          <w:sz w:val="21"/>
          <w:szCs w:val="21"/>
        </w:rPr>
        <w:t>指关节永久完全僵硬或麻痹或关节不能随意识活动。</w:t>
      </w:r>
    </w:p>
    <w:p>
      <w:pPr>
        <w:adjustRightInd w:val="0"/>
        <w:snapToGrid w:val="0"/>
        <w:spacing w:line="360" w:lineRule="auto"/>
        <w:ind w:firstLine="422" w:firstLineChars="200"/>
        <w:rPr>
          <w:rFonts w:hAnsi="宋体" w:cs="宋体"/>
          <w:kern w:val="2"/>
          <w:sz w:val="21"/>
          <w:szCs w:val="21"/>
        </w:rPr>
      </w:pPr>
      <w:r>
        <w:rPr>
          <w:rFonts w:hint="eastAsia" w:hAnsi="宋体" w:cs="宋体"/>
          <w:b/>
          <w:kern w:val="2"/>
          <w:sz w:val="21"/>
          <w:szCs w:val="21"/>
        </w:rPr>
        <w:t>1</w:t>
      </w:r>
      <w:r>
        <w:rPr>
          <w:rFonts w:hAnsi="宋体" w:cs="宋体"/>
          <w:b/>
          <w:kern w:val="2"/>
          <w:sz w:val="21"/>
          <w:szCs w:val="21"/>
        </w:rPr>
        <w:t>2</w:t>
      </w:r>
      <w:r>
        <w:rPr>
          <w:rFonts w:hint="eastAsia" w:hAnsi="宋体" w:cs="宋体"/>
          <w:b/>
          <w:kern w:val="2"/>
          <w:sz w:val="21"/>
          <w:szCs w:val="21"/>
        </w:rPr>
        <w:t>.咀嚼、吞咽机能</w:t>
      </w:r>
      <w:r>
        <w:rPr>
          <w:rFonts w:hint="eastAsia" w:hAnsi="宋体" w:cs="宋体"/>
          <w:b/>
          <w:bCs/>
          <w:kern w:val="2"/>
          <w:sz w:val="21"/>
          <w:szCs w:val="21"/>
        </w:rPr>
        <w:t>永久完全</w:t>
      </w:r>
      <w:r>
        <w:rPr>
          <w:rFonts w:hint="eastAsia" w:hAnsi="宋体" w:cs="宋体"/>
          <w:b/>
          <w:kern w:val="2"/>
          <w:sz w:val="21"/>
          <w:szCs w:val="21"/>
        </w:rPr>
        <w:t>丧失：</w:t>
      </w:r>
      <w:r>
        <w:rPr>
          <w:rFonts w:hint="eastAsia" w:hAnsi="宋体" w:cs="宋体"/>
          <w:kern w:val="2"/>
          <w:sz w:val="21"/>
          <w:szCs w:val="21"/>
        </w:rPr>
        <w:t>指由于牙齿以外的原因引起器质障碍或机能障碍，以至永久完全不能作咀嚼、吞咽运动，除流质食物外永久完全不能摄取或吞咽的状态。</w:t>
      </w:r>
    </w:p>
    <w:p>
      <w:pPr>
        <w:spacing w:line="360" w:lineRule="auto"/>
        <w:ind w:firstLine="422" w:firstLineChars="200"/>
        <w:rPr>
          <w:rFonts w:hAnsi="宋体"/>
          <w:kern w:val="2"/>
          <w:sz w:val="21"/>
          <w:szCs w:val="21"/>
        </w:rPr>
      </w:pPr>
      <w:r>
        <w:rPr>
          <w:rFonts w:hint="eastAsia" w:hAnsi="宋体" w:cs="宋体"/>
          <w:b/>
          <w:kern w:val="2"/>
          <w:sz w:val="21"/>
          <w:szCs w:val="21"/>
        </w:rPr>
        <w:t>1</w:t>
      </w:r>
      <w:r>
        <w:rPr>
          <w:rFonts w:hAnsi="宋体" w:cs="宋体"/>
          <w:b/>
          <w:kern w:val="2"/>
          <w:sz w:val="21"/>
          <w:szCs w:val="21"/>
        </w:rPr>
        <w:t>3</w:t>
      </w:r>
      <w:r>
        <w:rPr>
          <w:rFonts w:hint="eastAsia" w:hAnsi="宋体" w:cs="宋体"/>
          <w:b/>
          <w:kern w:val="2"/>
          <w:sz w:val="21"/>
          <w:szCs w:val="21"/>
        </w:rPr>
        <w:t>.为维持生命必要的日常生活活动，全需他人扶助：</w:t>
      </w:r>
      <w:r>
        <w:rPr>
          <w:rFonts w:hint="eastAsia" w:hAnsi="宋体" w:cs="宋体"/>
          <w:kern w:val="2"/>
          <w:sz w:val="21"/>
          <w:szCs w:val="21"/>
        </w:rPr>
        <w:t>指食物摄取、大小便始末、穿脱衣服、起居、步行、入浴等，都不能自理，需要他人帮助。</w:t>
      </w:r>
    </w:p>
    <w:p>
      <w:pPr>
        <w:pStyle w:val="7"/>
        <w:widowControl/>
        <w:adjustRightInd w:val="0"/>
        <w:snapToGrid w:val="0"/>
        <w:spacing w:after="156" w:afterLines="50"/>
        <w:ind w:firstLine="420" w:firstLineChars="200"/>
        <w:rPr>
          <w:sz w:val="21"/>
          <w:szCs w:val="21"/>
          <w:lang w:bidi="ar"/>
        </w:rPr>
      </w:pPr>
      <w:r>
        <w:rPr>
          <w:rFonts w:hint="eastAsia"/>
          <w:sz w:val="21"/>
          <w:szCs w:val="21"/>
          <w:lang w:bidi="ar"/>
        </w:rPr>
        <w:t>本附加险合同中未明确“释义”的词语，均以该词语在主险合同中的释义为准。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5C3B00"/>
    <w:rsid w:val="00186B29"/>
    <w:rsid w:val="001D3602"/>
    <w:rsid w:val="002240E4"/>
    <w:rsid w:val="002504D6"/>
    <w:rsid w:val="002771A1"/>
    <w:rsid w:val="0028122D"/>
    <w:rsid w:val="00292B37"/>
    <w:rsid w:val="002A2BCB"/>
    <w:rsid w:val="002A77F3"/>
    <w:rsid w:val="002A78FB"/>
    <w:rsid w:val="003101A9"/>
    <w:rsid w:val="003400CA"/>
    <w:rsid w:val="0038103D"/>
    <w:rsid w:val="003A4F40"/>
    <w:rsid w:val="003B110C"/>
    <w:rsid w:val="003B3F02"/>
    <w:rsid w:val="00451723"/>
    <w:rsid w:val="00487F95"/>
    <w:rsid w:val="00492464"/>
    <w:rsid w:val="0049735C"/>
    <w:rsid w:val="004D09E1"/>
    <w:rsid w:val="004F40AC"/>
    <w:rsid w:val="00583D73"/>
    <w:rsid w:val="00597A44"/>
    <w:rsid w:val="005C2EBB"/>
    <w:rsid w:val="005C3B00"/>
    <w:rsid w:val="006174C2"/>
    <w:rsid w:val="00660C0B"/>
    <w:rsid w:val="007300A5"/>
    <w:rsid w:val="0073662B"/>
    <w:rsid w:val="007704A8"/>
    <w:rsid w:val="007B07D7"/>
    <w:rsid w:val="007D5DD5"/>
    <w:rsid w:val="00812D1A"/>
    <w:rsid w:val="008551F3"/>
    <w:rsid w:val="008B7020"/>
    <w:rsid w:val="008C35D8"/>
    <w:rsid w:val="008C67E9"/>
    <w:rsid w:val="00906F43"/>
    <w:rsid w:val="00912327"/>
    <w:rsid w:val="009216FA"/>
    <w:rsid w:val="00955D74"/>
    <w:rsid w:val="00A2638E"/>
    <w:rsid w:val="00AF17BF"/>
    <w:rsid w:val="00B45D08"/>
    <w:rsid w:val="00B50FA3"/>
    <w:rsid w:val="00BC526B"/>
    <w:rsid w:val="00C12DA8"/>
    <w:rsid w:val="00C71DB6"/>
    <w:rsid w:val="00CB1D70"/>
    <w:rsid w:val="00CC4EF6"/>
    <w:rsid w:val="00D354C3"/>
    <w:rsid w:val="00D37AD3"/>
    <w:rsid w:val="00D71D3C"/>
    <w:rsid w:val="00D91A37"/>
    <w:rsid w:val="00DA2730"/>
    <w:rsid w:val="00DB7F65"/>
    <w:rsid w:val="00DD5068"/>
    <w:rsid w:val="00DE6DF0"/>
    <w:rsid w:val="00E00EA0"/>
    <w:rsid w:val="00E237A4"/>
    <w:rsid w:val="00EF4BA8"/>
    <w:rsid w:val="00F2782E"/>
    <w:rsid w:val="00F6129C"/>
    <w:rsid w:val="00F75439"/>
    <w:rsid w:val="00F962B6"/>
    <w:rsid w:val="00FE29AF"/>
    <w:rsid w:val="00FE617D"/>
    <w:rsid w:val="0126463D"/>
    <w:rsid w:val="01306C24"/>
    <w:rsid w:val="024671D8"/>
    <w:rsid w:val="05D2244B"/>
    <w:rsid w:val="07497E9B"/>
    <w:rsid w:val="08C011AA"/>
    <w:rsid w:val="0BC044AB"/>
    <w:rsid w:val="0E455C3D"/>
    <w:rsid w:val="10BB00DF"/>
    <w:rsid w:val="15FC43A7"/>
    <w:rsid w:val="184D7F83"/>
    <w:rsid w:val="18AF0849"/>
    <w:rsid w:val="1AFB4D97"/>
    <w:rsid w:val="1BE542AB"/>
    <w:rsid w:val="20257733"/>
    <w:rsid w:val="20E307DF"/>
    <w:rsid w:val="21256066"/>
    <w:rsid w:val="22256A52"/>
    <w:rsid w:val="242D181A"/>
    <w:rsid w:val="2436385B"/>
    <w:rsid w:val="24C57FA9"/>
    <w:rsid w:val="24ED1D91"/>
    <w:rsid w:val="25AD4409"/>
    <w:rsid w:val="289D1622"/>
    <w:rsid w:val="28F47824"/>
    <w:rsid w:val="29EE6CBC"/>
    <w:rsid w:val="2F506325"/>
    <w:rsid w:val="30F60109"/>
    <w:rsid w:val="323F7EBA"/>
    <w:rsid w:val="33300104"/>
    <w:rsid w:val="34130025"/>
    <w:rsid w:val="3531616E"/>
    <w:rsid w:val="36272B92"/>
    <w:rsid w:val="3740334E"/>
    <w:rsid w:val="3A92665F"/>
    <w:rsid w:val="3B4C2805"/>
    <w:rsid w:val="3BC27DC5"/>
    <w:rsid w:val="3BD14D7F"/>
    <w:rsid w:val="3BD7AAEF"/>
    <w:rsid w:val="3CD17C15"/>
    <w:rsid w:val="3EBB0C3C"/>
    <w:rsid w:val="3FBD4E2F"/>
    <w:rsid w:val="41BF0263"/>
    <w:rsid w:val="440F28F0"/>
    <w:rsid w:val="44F2199D"/>
    <w:rsid w:val="45D714B4"/>
    <w:rsid w:val="463E6B42"/>
    <w:rsid w:val="47AE01B4"/>
    <w:rsid w:val="48A83F63"/>
    <w:rsid w:val="49653CC0"/>
    <w:rsid w:val="4A0425C9"/>
    <w:rsid w:val="4B3F26B8"/>
    <w:rsid w:val="4D8B36B6"/>
    <w:rsid w:val="4DB55197"/>
    <w:rsid w:val="4DBF0D4C"/>
    <w:rsid w:val="4EC524D2"/>
    <w:rsid w:val="50C52978"/>
    <w:rsid w:val="52406DF8"/>
    <w:rsid w:val="54DA18B1"/>
    <w:rsid w:val="5657227E"/>
    <w:rsid w:val="5E2470B2"/>
    <w:rsid w:val="5F9920D6"/>
    <w:rsid w:val="5FFC6350"/>
    <w:rsid w:val="603319B7"/>
    <w:rsid w:val="612A3463"/>
    <w:rsid w:val="620849F6"/>
    <w:rsid w:val="63363778"/>
    <w:rsid w:val="645B1F08"/>
    <w:rsid w:val="67865847"/>
    <w:rsid w:val="679178EC"/>
    <w:rsid w:val="67D83F33"/>
    <w:rsid w:val="69554BC0"/>
    <w:rsid w:val="69A03577"/>
    <w:rsid w:val="69F454B2"/>
    <w:rsid w:val="6D631452"/>
    <w:rsid w:val="6D981078"/>
    <w:rsid w:val="6FF54FF3"/>
    <w:rsid w:val="71D05C07"/>
    <w:rsid w:val="72DB542B"/>
    <w:rsid w:val="74E77404"/>
    <w:rsid w:val="75684EEF"/>
    <w:rsid w:val="75BD7AFA"/>
    <w:rsid w:val="774A2CD7"/>
    <w:rsid w:val="79902EBD"/>
    <w:rsid w:val="7A6E3656"/>
    <w:rsid w:val="7B99088B"/>
    <w:rsid w:val="7C696BA9"/>
    <w:rsid w:val="7C883C01"/>
    <w:rsid w:val="7CB37B2B"/>
    <w:rsid w:val="7CFE1D21"/>
    <w:rsid w:val="7DA623B9"/>
    <w:rsid w:val="7DE93AA6"/>
    <w:rsid w:val="7EB74F2F"/>
    <w:rsid w:val="7FBB5E89"/>
    <w:rsid w:val="EFFF9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10">
    <w:name w:val="Default Paragraph Font"/>
    <w:unhideWhenUsed/>
    <w:uiPriority w:val="1"/>
  </w:style>
  <w:style w:type="table" w:default="1" w:styleId="9">
    <w:name w:val="Normal Table"/>
    <w:unhideWhenUsed/>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2"/>
    <w:basedOn w:val="1"/>
    <w:qFormat/>
    <w:uiPriority w:val="0"/>
    <w:pPr>
      <w:ind w:firstLine="420" w:firstLineChars="200"/>
      <w:jc w:val="left"/>
    </w:p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hAnsi="宋体" w:cs="宋体"/>
      <w:sz w:val="24"/>
    </w:rPr>
  </w:style>
  <w:style w:type="paragraph" w:styleId="8">
    <w:name w:val="annotation subject"/>
    <w:basedOn w:val="2"/>
    <w:next w:val="2"/>
    <w:link w:val="15"/>
    <w:qFormat/>
    <w:uiPriority w:val="0"/>
    <w:rPr>
      <w:b/>
      <w:bCs/>
    </w:rPr>
  </w:style>
  <w:style w:type="character" w:styleId="11">
    <w:name w:val="annotation reference"/>
    <w:basedOn w:val="10"/>
    <w:qFormat/>
    <w:uiPriority w:val="0"/>
    <w:rPr>
      <w:sz w:val="21"/>
      <w:szCs w:val="21"/>
    </w:rPr>
  </w:style>
  <w:style w:type="character" w:customStyle="1" w:styleId="12">
    <w:name w:val="页眉 字符"/>
    <w:basedOn w:val="10"/>
    <w:link w:val="6"/>
    <w:qFormat/>
    <w:uiPriority w:val="0"/>
    <w:rPr>
      <w:rFonts w:ascii="宋体" w:hAnsi="Times New Roman" w:eastAsia="宋体" w:cs="Times New Roman"/>
      <w:sz w:val="18"/>
      <w:szCs w:val="18"/>
    </w:rPr>
  </w:style>
  <w:style w:type="character" w:customStyle="1" w:styleId="13">
    <w:name w:val="批注框文本 字符"/>
    <w:basedOn w:val="10"/>
    <w:link w:val="4"/>
    <w:qFormat/>
    <w:uiPriority w:val="0"/>
    <w:rPr>
      <w:rFonts w:ascii="宋体" w:hAnsi="Times New Roman" w:eastAsia="宋体" w:cs="Times New Roman"/>
      <w:sz w:val="18"/>
      <w:szCs w:val="18"/>
    </w:rPr>
  </w:style>
  <w:style w:type="character" w:customStyle="1" w:styleId="14">
    <w:name w:val="批注文字 字符"/>
    <w:basedOn w:val="10"/>
    <w:link w:val="2"/>
    <w:qFormat/>
    <w:uiPriority w:val="0"/>
    <w:rPr>
      <w:rFonts w:ascii="宋体" w:hAnsi="Times New Roman" w:eastAsia="宋体" w:cs="Times New Roman"/>
      <w:sz w:val="34"/>
      <w:szCs w:val="22"/>
    </w:rPr>
  </w:style>
  <w:style w:type="character" w:customStyle="1" w:styleId="15">
    <w:name w:val="批注主题 字符"/>
    <w:basedOn w:val="14"/>
    <w:link w:val="8"/>
    <w:qFormat/>
    <w:uiPriority w:val="0"/>
    <w:rPr>
      <w:rFonts w:ascii="宋体" w:hAnsi="Times New Roman" w:eastAsia="宋体" w:cs="Times New Roman"/>
      <w:b/>
      <w:bCs/>
      <w:sz w:val="34"/>
      <w:szCs w:val="22"/>
    </w:rPr>
  </w:style>
  <w:style w:type="paragraph" w:customStyle="1" w:styleId="16">
    <w:name w:val="修订1"/>
    <w:hidden/>
    <w:semiHidden/>
    <w:qFormat/>
    <w:uiPriority w:val="99"/>
    <w:rPr>
      <w:rFonts w:ascii="宋体" w:hAnsi="Times New Roman" w:eastAsia="宋体" w:cs="Times New Roman"/>
      <w:sz w:val="34"/>
      <w:szCs w:val="22"/>
      <w:lang w:val="en-US" w:eastAsia="zh-CN" w:bidi="ar-SA"/>
    </w:rPr>
  </w:style>
  <w:style w:type="paragraph" w:customStyle="1" w:styleId="17">
    <w:name w:val="_Style 1"/>
    <w:basedOn w:val="1"/>
    <w:qFormat/>
    <w:uiPriority w:val="34"/>
    <w:pPr>
      <w:ind w:firstLine="420" w:firstLineChars="200"/>
    </w:pPr>
    <w:rPr>
      <w:rFonts w:ascii="Calibri" w:hAnsi="Calibri"/>
    </w:rPr>
  </w:style>
  <w:style w:type="paragraph" w:customStyle="1" w:styleId="18">
    <w:name w:val="条款正文"/>
    <w:basedOn w:val="1"/>
    <w:qFormat/>
    <w:uiPriority w:val="0"/>
    <w:pPr>
      <w:adjustRightInd w:val="0"/>
      <w:snapToGrid w:val="0"/>
      <w:ind w:left="840" w:leftChars="400" w:firstLine="420" w:firstLineChars="200"/>
    </w:pPr>
    <w:rPr>
      <w:rFonts w:ascii="Times New Roman"/>
      <w:szCs w:val="24"/>
    </w:rPr>
  </w:style>
  <w:style w:type="paragraph" w:customStyle="1" w:styleId="19">
    <w:name w:val="列出段落1"/>
    <w:basedOn w:val="1"/>
    <w:unhideWhenUsed/>
    <w:qFormat/>
    <w:uiPriority w:val="34"/>
    <w:pPr>
      <w:ind w:firstLine="420" w:firstLineChars="200"/>
    </w:pPr>
  </w:style>
  <w:style w:type="paragraph" w:customStyle="1" w:styleId="20">
    <w:name w:val="条款标题"/>
    <w:basedOn w:val="18"/>
    <w:qFormat/>
    <w:uiPriority w:val="0"/>
    <w:pPr>
      <w:spacing w:after="160" w:line="259" w:lineRule="auto"/>
    </w:pPr>
    <w:rPr>
      <w:kern w:val="2"/>
      <w:sz w:val="21"/>
    </w:rPr>
  </w:style>
  <w:style w:type="paragraph" w:customStyle="1" w:styleId="21">
    <w:name w:val="Revision"/>
    <w:hidden/>
    <w:semiHidden/>
    <w:qFormat/>
    <w:uiPriority w:val="99"/>
    <w:rPr>
      <w:rFonts w:ascii="宋体" w:hAnsi="Times New Roman" w:eastAsia="宋体" w:cs="Times New Roman"/>
      <w:sz w:val="3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5505</Words>
  <Characters>5665</Characters>
  <Lines>566</Lines>
  <Paragraphs>237</Paragraphs>
  <TotalTime>7</TotalTime>
  <ScaleCrop>false</ScaleCrop>
  <LinksUpToDate>false</LinksUpToDate>
  <CharactersWithSpaces>5694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Lenovo</dc:creator>
  <cp:lastModifiedBy>Zixuan Shen</cp:lastModifiedBy>
  <dcterms:modified xsi:type="dcterms:W3CDTF">2023-02-09T05:56:26Z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13BE4F46BF594A84ABB901F3F188496E</vt:lpwstr>
  </property>
</Properties>
</file>