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附加特定责任定额补偿保险A款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费率表（互联网专属）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1、保险金额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特定责任定额补偿保险金：100万元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其中，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（1）重症监护病房住院津贴保险金：最高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万元，ICU每日住院津贴金额为1000元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（2）急性肺损伤导致的体外膜肺氧合（</w:t>
      </w:r>
      <w:r>
        <w:rPr>
          <w:rFonts w:ascii="宋体" w:hAnsi="宋体" w:eastAsia="宋体" w:cs="宋体"/>
          <w:szCs w:val="21"/>
        </w:rPr>
        <w:t>ECMO）治疗保险金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万元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ind w:left="42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（3）住院治疗保险金：最高10</w:t>
      </w:r>
      <w:r>
        <w:rPr>
          <w:rFonts w:hint="eastAsia" w:ascii="宋体" w:hAnsi="宋体" w:eastAsia="宋体" w:cs="宋体"/>
          <w:szCs w:val="21"/>
          <w:lang w:eastAsia="zh-Hans"/>
        </w:rPr>
        <w:t>万</w:t>
      </w:r>
      <w:r>
        <w:rPr>
          <w:rFonts w:hint="eastAsia" w:ascii="宋体" w:hAnsi="宋体" w:eastAsia="宋体" w:cs="宋体"/>
          <w:szCs w:val="21"/>
        </w:rPr>
        <w:t>元，基本保险金额5万元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ind w:left="42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（4）特定重大器官移植手术保险金：</w:t>
      </w:r>
      <w:r>
        <w:rPr>
          <w:rFonts w:ascii="宋体" w:hAnsi="宋体" w:eastAsia="宋体" w:cs="宋体"/>
          <w:szCs w:val="21"/>
        </w:rPr>
        <w:t>50</w:t>
      </w:r>
      <w:r>
        <w:rPr>
          <w:rFonts w:hint="eastAsia" w:ascii="宋体" w:hAnsi="宋体" w:eastAsia="宋体" w:cs="宋体"/>
          <w:szCs w:val="21"/>
        </w:rPr>
        <w:t>万元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ind w:left="42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（5）全残保险金：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万元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ind w:left="42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（6）严重慢性肾衰竭导致的日常生活能力丧失保险金：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2、免赔天数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重症监护病房住院津贴保险金：</w:t>
      </w:r>
      <w:r>
        <w:rPr>
          <w:rFonts w:ascii="宋体" w:hAnsi="宋体" w:eastAsia="宋体" w:cs="宋体"/>
          <w:b w:val="0"/>
          <w:bCs w:val="0"/>
          <w:szCs w:val="21"/>
        </w:rPr>
        <w:t>ICU每次</w:t>
      </w:r>
      <w:r>
        <w:rPr>
          <w:rFonts w:hint="eastAsia" w:ascii="宋体" w:hAnsi="宋体" w:eastAsia="宋体" w:cs="宋体"/>
          <w:b w:val="0"/>
          <w:bCs w:val="0"/>
          <w:szCs w:val="21"/>
        </w:rPr>
        <w:t>住院免赔天数</w:t>
      </w:r>
      <w:r>
        <w:rPr>
          <w:rFonts w:hint="eastAsia" w:ascii="宋体" w:hAnsi="宋体" w:eastAsia="宋体" w:cs="宋体"/>
          <w:szCs w:val="21"/>
        </w:rPr>
        <w:t>10天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szCs w:val="21"/>
        </w:rPr>
        <w:t>赔付比例：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0%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Cs w:val="21"/>
        </w:rPr>
        <w:t>等待期：90天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二、年基准保险费（单位：元）</w:t>
      </w:r>
    </w:p>
    <w:tbl>
      <w:tblPr>
        <w:tblStyle w:val="8"/>
        <w:tblW w:w="653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7"/>
        <w:gridCol w:w="2327"/>
        <w:gridCol w:w="226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40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18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34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7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9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12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24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15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32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20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44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24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62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30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46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134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57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180</w:t>
            </w:r>
          </w:p>
        </w:tc>
      </w:tr>
      <w:tr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76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225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98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293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145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418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183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529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220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656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346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1005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440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1247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562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1546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715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1922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0日且健康出院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numPr>
          <w:ilvl w:val="255"/>
          <w:numId w:val="0"/>
        </w:numPr>
        <w:tabs>
          <w:tab w:val="left" w:pos="0"/>
        </w:tabs>
        <w:spacing w:line="312" w:lineRule="auto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三、费率调整系数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  <w:lang w:bidi="ar"/>
        </w:rPr>
        <w:t>1</w:t>
      </w:r>
      <w:r>
        <w:rPr>
          <w:rFonts w:hint="eastAsia" w:ascii="宋体" w:hAnsi="宋体" w:eastAsia="宋体" w:cs="宋体"/>
          <w:szCs w:val="21"/>
          <w:lang w:bidi="ar"/>
        </w:rPr>
        <w:t>、规模调整系数</w:t>
      </w:r>
      <w:r>
        <w:rPr>
          <w:rFonts w:hint="eastAsia" w:ascii="宋体" w:hAnsi="宋体" w:eastAsia="宋体" w:cs="宋体"/>
          <w:szCs w:val="21"/>
        </w:rPr>
        <w:t>（F1）</w:t>
      </w:r>
      <w:r>
        <w:rPr>
          <w:rFonts w:hint="eastAsia" w:ascii="宋体" w:hAnsi="宋体" w:eastAsia="宋体" w:cs="宋体"/>
          <w:szCs w:val="21"/>
          <w:lang w:bidi="ar"/>
        </w:rPr>
        <w:t>：按渠道年度投保人数规模，进行划分。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年度投保人数（</w:t>
            </w:r>
            <w:r>
              <w:rPr>
                <w:rFonts w:ascii="宋体" w:hAnsi="宋体" w:eastAsia="宋体" w:cs="宋体"/>
                <w:szCs w:val="21"/>
                <w:lang w:bidi="ar"/>
              </w:rPr>
              <w:t>N）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N&gt;200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00&lt;N≤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200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00&lt;N≤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100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5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  <w:lang w:bidi="ar"/>
        </w:rPr>
        <w:t>2</w:t>
      </w:r>
      <w:r>
        <w:rPr>
          <w:rFonts w:hint="eastAsia" w:ascii="宋体" w:hAnsi="宋体" w:eastAsia="宋体" w:cs="宋体"/>
          <w:szCs w:val="21"/>
          <w:lang w:bidi="ar"/>
        </w:rPr>
        <w:t>、历史赔付率调整系数</w:t>
      </w:r>
      <w:r>
        <w:rPr>
          <w:rFonts w:hint="eastAsia" w:ascii="宋体" w:hAnsi="宋体" w:eastAsia="宋体" w:cs="宋体"/>
          <w:szCs w:val="21"/>
        </w:rPr>
        <w:t>（F2）</w:t>
      </w:r>
      <w:r>
        <w:rPr>
          <w:rFonts w:hint="eastAsia" w:ascii="宋体" w:hAnsi="宋体" w:eastAsia="宋体" w:cs="宋体"/>
          <w:szCs w:val="21"/>
          <w:lang w:bidi="ar"/>
        </w:rPr>
        <w:t>：按渠道近三年赔付率情况，进行划分。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3</w:t>
            </w:r>
            <w:r>
              <w:rPr>
                <w:rFonts w:ascii="宋体" w:hAnsi="宋体" w:eastAsia="宋体" w:cs="宋体"/>
                <w:szCs w:val="21"/>
                <w:lang w:bidi="ar"/>
              </w:rPr>
              <w:t>,0.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6</w:t>
            </w:r>
            <w:r>
              <w:rPr>
                <w:rFonts w:ascii="宋体" w:hAnsi="宋体" w:eastAsia="宋体" w:cs="宋体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6</w:t>
            </w:r>
            <w:r>
              <w:rPr>
                <w:rFonts w:ascii="宋体" w:hAnsi="宋体" w:eastAsia="宋体" w:cs="宋体"/>
                <w:szCs w:val="21"/>
                <w:lang w:bidi="ar"/>
              </w:rPr>
              <w:t>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1.0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ascii="宋体" w:hAnsi="宋体" w:eastAsia="宋体" w:cs="宋体"/>
          <w:szCs w:val="21"/>
          <w:lang w:bidi="ar"/>
        </w:rPr>
        <w:t>3</w:t>
      </w:r>
      <w:r>
        <w:rPr>
          <w:rFonts w:hint="eastAsia" w:ascii="宋体" w:hAnsi="宋体" w:eastAsia="宋体" w:cs="宋体"/>
          <w:szCs w:val="21"/>
          <w:lang w:bidi="ar"/>
        </w:rPr>
        <w:t>、等待期调整系数</w:t>
      </w:r>
      <w:r>
        <w:rPr>
          <w:rFonts w:hint="eastAsia" w:ascii="宋体" w:hAnsi="宋体" w:eastAsia="宋体" w:cs="宋体"/>
          <w:szCs w:val="21"/>
        </w:rPr>
        <w:t>（F3）</w:t>
      </w:r>
      <w:r>
        <w:rPr>
          <w:rFonts w:hint="eastAsia" w:ascii="宋体" w:hAnsi="宋体" w:eastAsia="宋体" w:cs="宋体"/>
          <w:szCs w:val="21"/>
          <w:lang w:bidi="ar"/>
        </w:rPr>
        <w:t>：按保单约定的等待期天数，进行划分。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等待期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天（含）至</w:t>
            </w:r>
            <w:r>
              <w:rPr>
                <w:rFonts w:ascii="宋体" w:hAnsi="宋体" w:eastAsia="宋体"/>
              </w:rPr>
              <w:t>30</w:t>
            </w:r>
            <w:r>
              <w:rPr>
                <w:rFonts w:hint="eastAsia" w:ascii="宋体" w:hAnsi="宋体" w:eastAsia="宋体"/>
              </w:rPr>
              <w:t>天（不含）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(1.2,1.5]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  <w:r>
              <w:rPr>
                <w:rFonts w:hint="eastAsia" w:ascii="宋体" w:hAnsi="宋体" w:eastAsia="宋体"/>
              </w:rPr>
              <w:t>天（含）至</w:t>
            </w:r>
            <w:r>
              <w:rPr>
                <w:rFonts w:ascii="宋体" w:hAnsi="宋体" w:eastAsia="宋体"/>
              </w:rPr>
              <w:t>90</w:t>
            </w:r>
            <w:r>
              <w:rPr>
                <w:rFonts w:hint="eastAsia" w:ascii="宋体" w:hAnsi="宋体" w:eastAsia="宋体"/>
              </w:rPr>
              <w:t>天（不含）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90</w:t>
            </w:r>
            <w:r>
              <w:rPr>
                <w:rFonts w:hint="eastAsia" w:ascii="宋体" w:hAnsi="宋体" w:eastAsia="宋体"/>
              </w:rPr>
              <w:t>天（含）至</w:t>
            </w:r>
            <w:r>
              <w:rPr>
                <w:rFonts w:ascii="宋体" w:hAnsi="宋体" w:eastAsia="宋体"/>
              </w:rPr>
              <w:t>180</w:t>
            </w:r>
            <w:r>
              <w:rPr>
                <w:rFonts w:hint="eastAsia" w:ascii="宋体" w:hAnsi="宋体" w:eastAsia="宋体"/>
              </w:rPr>
              <w:t>天（含）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[0.8,1.0]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4、渠道调整系数</w:t>
      </w:r>
      <w:r>
        <w:rPr>
          <w:rFonts w:hint="eastAsia" w:ascii="宋体" w:hAnsi="宋体" w:eastAsia="宋体" w:cs="宋体"/>
          <w:szCs w:val="21"/>
        </w:rPr>
        <w:t>（F4）</w:t>
      </w:r>
      <w:r>
        <w:rPr>
          <w:rFonts w:hint="eastAsia" w:ascii="宋体" w:hAnsi="宋体" w:eastAsia="宋体" w:cs="宋体"/>
          <w:szCs w:val="21"/>
          <w:lang w:bidi="ar"/>
        </w:rPr>
        <w:t>：按销售渠道，进行划分。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5"/>
        <w:gridCol w:w="2890"/>
      </w:tblGrid>
      <w:tr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渠道类型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自营渠道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7,1.0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第三方渠道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1.0,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3</w:t>
            </w:r>
            <w:r>
              <w:rPr>
                <w:rFonts w:ascii="宋体" w:hAnsi="宋体" w:eastAsia="宋体" w:cs="宋体"/>
                <w:szCs w:val="21"/>
                <w:lang w:bidi="ar"/>
              </w:rPr>
              <w:t>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5、缴费方式调整系数</w:t>
      </w:r>
      <w:r>
        <w:rPr>
          <w:rFonts w:hint="eastAsia" w:ascii="宋体" w:hAnsi="宋体" w:eastAsia="宋体" w:cs="宋体"/>
          <w:szCs w:val="21"/>
        </w:rPr>
        <w:t>（F5）</w:t>
      </w:r>
      <w:r>
        <w:rPr>
          <w:rFonts w:hint="eastAsia" w:ascii="宋体" w:hAnsi="宋体" w:eastAsia="宋体" w:cs="宋体"/>
          <w:szCs w:val="21"/>
          <w:lang w:bidi="ar"/>
        </w:rPr>
        <w:t>：按保单约定的缴费方式，进行划分。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6"/>
        <w:gridCol w:w="2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缴费方式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一次性缴清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[0.9,1.0]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按季缴费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[1.0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按月缴费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[1.0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3</w:t>
            </w:r>
            <w:r>
              <w:rPr>
                <w:rFonts w:ascii="宋体" w:hAnsi="宋体" w:eastAsia="宋体" w:cs="宋体"/>
                <w:szCs w:val="21"/>
                <w:lang w:bidi="ar"/>
              </w:rPr>
              <w:t>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6、</w:t>
      </w:r>
      <w:r>
        <w:rPr>
          <w:rFonts w:ascii="宋体" w:hAnsi="宋体" w:eastAsia="宋体" w:cs="宋体"/>
          <w:szCs w:val="21"/>
          <w:lang w:bidi="ar"/>
        </w:rPr>
        <w:t>投保人数调整系数</w:t>
      </w:r>
      <w:r>
        <w:rPr>
          <w:rFonts w:hint="eastAsia" w:ascii="宋体" w:hAnsi="宋体" w:eastAsia="宋体" w:cs="宋体"/>
          <w:szCs w:val="21"/>
        </w:rPr>
        <w:t>（F6）</w:t>
      </w:r>
      <w:r>
        <w:rPr>
          <w:rFonts w:hint="eastAsia" w:ascii="宋体" w:hAnsi="宋体" w:eastAsia="宋体" w:cs="宋体"/>
          <w:szCs w:val="21"/>
          <w:lang w:bidi="ar"/>
        </w:rPr>
        <w:t>：根据家庭投保人数，进行划分。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投保人数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个人投保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家庭投保2人及以上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 w:cs="Times New Roman"/>
                <w:kern w:val="0"/>
              </w:rPr>
              <w:t>[0.</w:t>
            </w:r>
            <w:r>
              <w:rPr>
                <w:rFonts w:hint="eastAsia" w:ascii="宋体" w:hAnsi="宋体" w:eastAsia="宋体" w:cs="Times New Roman"/>
                <w:kern w:val="0"/>
              </w:rPr>
              <w:t>6</w:t>
            </w:r>
            <w:r>
              <w:rPr>
                <w:rFonts w:ascii="宋体" w:hAnsi="宋体" w:eastAsia="宋体" w:cs="Times New Roman"/>
                <w:kern w:val="0"/>
              </w:rPr>
              <w:t>,1.</w:t>
            </w:r>
            <w:r>
              <w:rPr>
                <w:rFonts w:hint="eastAsia" w:ascii="宋体" w:hAnsi="宋体" w:eastAsia="宋体" w:cs="Times New Roman"/>
                <w:kern w:val="0"/>
              </w:rPr>
              <w:t>0</w:t>
            </w:r>
            <w:r>
              <w:rPr>
                <w:rFonts w:ascii="宋体" w:hAnsi="宋体" w:eastAsia="宋体" w:cs="Times New Roman"/>
                <w:kern w:val="0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产品不做区分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.0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、被保险人健康状况调整系数（F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 w:eastAsia="宋体" w:cs="宋体"/>
          <w:szCs w:val="21"/>
        </w:rPr>
        <w:t>）：按被保险人的健康状况，进行划分。</w:t>
      </w:r>
    </w:p>
    <w:tbl>
      <w:tblPr>
        <w:tblStyle w:val="9"/>
        <w:tblW w:w="0" w:type="auto"/>
        <w:tblInd w:w="1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5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被保险人健康状况</w:t>
            </w:r>
          </w:p>
        </w:tc>
        <w:tc>
          <w:tcPr>
            <w:tcW w:w="183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5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健康意识较好，开展的体育文化活动非常丰富，生活规律。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[0.5,0.9)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5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健康意识一般，开展体育文化活动较少，生活比较规律。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[0.9,1.3)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5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健康意识较差，基本不开展体育文化活动，生活不规律。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[1.3,2.0]</w:t>
            </w:r>
          </w:p>
        </w:tc>
      </w:tr>
    </w:tbl>
    <w:p>
      <w:pPr>
        <w:spacing w:line="288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四、保险费计算</w:t>
      </w:r>
    </w:p>
    <w:p>
      <w:pPr>
        <w:numPr>
          <w:ilvl w:val="255"/>
          <w:numId w:val="0"/>
        </w:numPr>
        <w:spacing w:line="288" w:lineRule="auto"/>
        <w:ind w:firstLine="420" w:firstLineChars="200"/>
        <w:jc w:val="left"/>
        <w:rPr>
          <w:rFonts w:ascii="Calibri" w:hAnsi="宋体" w:eastAsia="宋体" w:cs="Times New Roman"/>
        </w:rPr>
      </w:pPr>
      <w:r>
        <w:rPr>
          <w:rFonts w:hint="eastAsia" w:ascii="宋体" w:hAnsi="宋体" w:eastAsia="宋体" w:cs="宋体"/>
          <w:bCs/>
          <w:szCs w:val="21"/>
        </w:rPr>
        <w:t>1、</w:t>
      </w:r>
      <w:r>
        <w:rPr>
          <w:rFonts w:hint="eastAsia" w:ascii="Calibri" w:hAnsi="宋体" w:eastAsia="宋体" w:cs="Times New Roman"/>
        </w:rPr>
        <w:t>投保人选择一次性缴清保险费</w:t>
      </w:r>
    </w:p>
    <w:p>
      <w:pPr>
        <w:numPr>
          <w:ilvl w:val="255"/>
          <w:numId w:val="0"/>
        </w:numPr>
        <w:spacing w:line="288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bCs/>
          <w:szCs w:val="21"/>
        </w:rPr>
        <w:t>年保险费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szCs w:val="21"/>
        </w:rPr>
        <w:t>年基准保险费×</w:t>
      </w:r>
      <w:r>
        <w:rPr>
          <w:rFonts w:hint="eastAsia" w:ascii="Calibri" w:hAnsi="宋体" w:eastAsia="宋体" w:cs="Times New Roman"/>
        </w:rPr>
        <w:t>F</w:t>
      </w:r>
      <w:r>
        <w:rPr>
          <w:rFonts w:ascii="Calibri" w:hAnsi="宋体" w:eastAsia="宋体" w:cs="Times New Roman"/>
        </w:rPr>
        <w:t>1</w:t>
      </w:r>
      <w:r>
        <w:rPr>
          <w:rFonts w:hint="eastAsia" w:ascii="Calibri" w:hAnsi="宋体" w:eastAsia="宋体" w:cs="Times New Roman"/>
        </w:rPr>
        <w:t>×F</w:t>
      </w:r>
      <w:r>
        <w:rPr>
          <w:rFonts w:ascii="Calibri" w:hAnsi="宋体" w:eastAsia="宋体" w:cs="Times New Roman"/>
        </w:rPr>
        <w:t>2</w:t>
      </w:r>
      <w:r>
        <w:rPr>
          <w:rFonts w:hint="eastAsia" w:ascii="Calibri" w:hAnsi="宋体" w:eastAsia="宋体" w:cs="Times New Roman"/>
        </w:rPr>
        <w:t>×</w:t>
      </w:r>
      <w:r>
        <w:rPr>
          <w:rFonts w:hint="eastAsia" w:ascii="Calibri" w:hAnsi="宋体" w:eastAsia="宋体" w:cs="Arial"/>
          <w:bCs/>
          <w:color w:val="000000"/>
          <w:szCs w:val="21"/>
        </w:rPr>
        <w:t>F</w:t>
      </w:r>
      <w:r>
        <w:rPr>
          <w:rFonts w:ascii="Calibri" w:hAnsi="宋体" w:eastAsia="宋体" w:cs="Arial"/>
          <w:bCs/>
          <w:color w:val="000000"/>
          <w:szCs w:val="21"/>
        </w:rPr>
        <w:t>3</w:t>
      </w:r>
      <w:r>
        <w:rPr>
          <w:rFonts w:hint="eastAsia" w:ascii="Calibri" w:hAnsi="宋体" w:eastAsia="宋体" w:cs="Times New Roman"/>
        </w:rPr>
        <w:t>×F</w:t>
      </w:r>
      <w:r>
        <w:rPr>
          <w:rFonts w:ascii="Calibri" w:hAnsi="宋体" w:eastAsia="宋体" w:cs="Times New Roman"/>
        </w:rPr>
        <w:t>4</w:t>
      </w:r>
      <w:r>
        <w:rPr>
          <w:rFonts w:hint="eastAsia" w:ascii="Calibri" w:hAnsi="宋体" w:eastAsia="宋体" w:cs="Times New Roman"/>
        </w:rPr>
        <w:t>×F</w:t>
      </w:r>
      <w:r>
        <w:rPr>
          <w:rFonts w:ascii="Calibri" w:hAnsi="宋体" w:eastAsia="宋体" w:cs="Times New Roman"/>
        </w:rPr>
        <w:t>5</w:t>
      </w:r>
      <w:r>
        <w:rPr>
          <w:rFonts w:hint="eastAsia" w:ascii="Calibri" w:hAnsi="宋体" w:eastAsia="宋体" w:cs="Times New Roman"/>
        </w:rPr>
        <w:t>×</w:t>
      </w:r>
      <w:r>
        <w:rPr>
          <w:rFonts w:hint="eastAsia" w:ascii="Calibri" w:hAnsi="宋体" w:eastAsia="宋体" w:cs="Arial"/>
          <w:bCs/>
          <w:color w:val="000000"/>
          <w:szCs w:val="21"/>
        </w:rPr>
        <w:t>F</w:t>
      </w:r>
      <w:r>
        <w:rPr>
          <w:rFonts w:ascii="Calibri" w:hAnsi="宋体" w:eastAsia="宋体" w:cs="Arial"/>
          <w:bCs/>
          <w:color w:val="000000"/>
          <w:szCs w:val="21"/>
        </w:rPr>
        <w:t>6</w:t>
      </w:r>
      <w:r>
        <w:rPr>
          <w:rFonts w:hint="eastAsia" w:ascii="Calibri" w:hAnsi="宋体" w:eastAsia="宋体" w:cs="Times New Roman"/>
        </w:rPr>
        <w:t>×F</w:t>
      </w:r>
      <w:r>
        <w:rPr>
          <w:rFonts w:ascii="Calibri" w:hAnsi="宋体" w:eastAsia="宋体" w:cs="Times New Roman"/>
        </w:rPr>
        <w:t>7</w:t>
      </w:r>
    </w:p>
    <w:p>
      <w:pPr>
        <w:numPr>
          <w:ilvl w:val="255"/>
          <w:numId w:val="0"/>
        </w:numPr>
        <w:spacing w:line="288" w:lineRule="auto"/>
        <w:ind w:firstLine="420" w:firstLineChars="200"/>
        <w:jc w:val="left"/>
        <w:rPr>
          <w:rFonts w:ascii="Calibri" w:hAnsi="宋体" w:eastAsia="宋体" w:cs="Times New Roman"/>
        </w:rPr>
      </w:pPr>
      <w:r>
        <w:rPr>
          <w:rFonts w:hint="eastAsia" w:ascii="宋体" w:hAnsi="宋体" w:eastAsia="宋体" w:cs="宋体"/>
          <w:szCs w:val="21"/>
          <w:lang w:bidi="ar"/>
        </w:rPr>
        <w:t>2、</w:t>
      </w:r>
      <w:r>
        <w:rPr>
          <w:rFonts w:hint="eastAsia" w:ascii="Calibri" w:hAnsi="宋体" w:eastAsia="宋体" w:cs="Times New Roman"/>
        </w:rPr>
        <w:t>投保人选择分期缴付保险费，保险人根据保险费分期缴费期数，计收每期保险费：</w:t>
      </w:r>
    </w:p>
    <w:p>
      <w:pPr>
        <w:numPr>
          <w:ilvl w:val="255"/>
          <w:numId w:val="0"/>
        </w:numPr>
        <w:spacing w:line="288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bCs/>
          <w:szCs w:val="21"/>
        </w:rPr>
        <w:t>年保险费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szCs w:val="21"/>
        </w:rPr>
        <w:t>年基准保险费×</w:t>
      </w:r>
      <w:r>
        <w:rPr>
          <w:rFonts w:hint="eastAsia" w:ascii="Calibri" w:hAnsi="宋体" w:eastAsia="宋体" w:cs="Times New Roman"/>
        </w:rPr>
        <w:t>F</w:t>
      </w:r>
      <w:r>
        <w:rPr>
          <w:rFonts w:ascii="Calibri" w:hAnsi="宋体" w:eastAsia="宋体" w:cs="Times New Roman"/>
        </w:rPr>
        <w:t>1</w:t>
      </w:r>
      <w:r>
        <w:rPr>
          <w:rFonts w:hint="eastAsia" w:ascii="Calibri" w:hAnsi="宋体" w:eastAsia="宋体" w:cs="Times New Roman"/>
        </w:rPr>
        <w:t>×F</w:t>
      </w:r>
      <w:r>
        <w:rPr>
          <w:rFonts w:ascii="Calibri" w:hAnsi="宋体" w:eastAsia="宋体" w:cs="Times New Roman"/>
        </w:rPr>
        <w:t>2</w:t>
      </w:r>
      <w:r>
        <w:rPr>
          <w:rFonts w:hint="eastAsia" w:ascii="Calibri" w:hAnsi="宋体" w:eastAsia="宋体" w:cs="Times New Roman"/>
        </w:rPr>
        <w:t>×</w:t>
      </w:r>
      <w:r>
        <w:rPr>
          <w:rFonts w:hint="eastAsia" w:ascii="Calibri" w:hAnsi="宋体" w:eastAsia="宋体" w:cs="Arial"/>
          <w:bCs/>
          <w:color w:val="000000"/>
          <w:szCs w:val="21"/>
        </w:rPr>
        <w:t>F</w:t>
      </w:r>
      <w:r>
        <w:rPr>
          <w:rFonts w:ascii="Calibri" w:hAnsi="宋体" w:eastAsia="宋体" w:cs="Arial"/>
          <w:bCs/>
          <w:color w:val="000000"/>
          <w:szCs w:val="21"/>
        </w:rPr>
        <w:t>3</w:t>
      </w:r>
      <w:r>
        <w:rPr>
          <w:rFonts w:hint="eastAsia" w:ascii="Calibri" w:hAnsi="宋体" w:eastAsia="宋体" w:cs="Times New Roman"/>
        </w:rPr>
        <w:t>×F</w:t>
      </w:r>
      <w:r>
        <w:rPr>
          <w:rFonts w:ascii="Calibri" w:hAnsi="宋体" w:eastAsia="宋体" w:cs="Times New Roman"/>
        </w:rPr>
        <w:t>4</w:t>
      </w:r>
      <w:r>
        <w:rPr>
          <w:rFonts w:hint="eastAsia" w:ascii="Calibri" w:hAnsi="宋体" w:eastAsia="宋体" w:cs="Times New Roman"/>
        </w:rPr>
        <w:t>×F</w:t>
      </w:r>
      <w:r>
        <w:rPr>
          <w:rFonts w:ascii="Calibri" w:hAnsi="宋体" w:eastAsia="宋体" w:cs="Times New Roman"/>
        </w:rPr>
        <w:t>5</w:t>
      </w:r>
      <w:r>
        <w:rPr>
          <w:rFonts w:hint="eastAsia" w:ascii="Calibri" w:hAnsi="宋体" w:eastAsia="宋体" w:cs="Times New Roman"/>
        </w:rPr>
        <w:t>×</w:t>
      </w:r>
      <w:r>
        <w:rPr>
          <w:rFonts w:hint="eastAsia" w:ascii="Calibri" w:hAnsi="宋体" w:eastAsia="宋体" w:cs="Arial"/>
          <w:bCs/>
          <w:color w:val="000000"/>
          <w:szCs w:val="21"/>
        </w:rPr>
        <w:t>F</w:t>
      </w:r>
      <w:r>
        <w:rPr>
          <w:rFonts w:ascii="Calibri" w:hAnsi="宋体" w:eastAsia="宋体" w:cs="Arial"/>
          <w:bCs/>
          <w:color w:val="000000"/>
          <w:szCs w:val="21"/>
        </w:rPr>
        <w:t>6</w:t>
      </w:r>
      <w:r>
        <w:rPr>
          <w:rFonts w:hint="eastAsia" w:ascii="Calibri" w:hAnsi="宋体" w:eastAsia="宋体" w:cs="Times New Roman"/>
        </w:rPr>
        <w:t>×F</w:t>
      </w:r>
      <w:r>
        <w:rPr>
          <w:rFonts w:ascii="Calibri" w:hAnsi="宋体" w:eastAsia="宋体" w:cs="Times New Roman"/>
        </w:rPr>
        <w:t>7</w:t>
      </w:r>
    </w:p>
    <w:p>
      <w:pPr>
        <w:spacing w:line="360" w:lineRule="auto"/>
        <w:ind w:firstLine="420" w:firstLineChars="200"/>
        <w:jc w:val="left"/>
        <w:rPr>
          <w:rFonts w:ascii="Calibri" w:hAnsi="宋体" w:eastAsia="宋体" w:cs="Times New Roman"/>
        </w:rPr>
      </w:pPr>
      <w:r>
        <w:rPr>
          <w:rFonts w:hint="eastAsia" w:ascii="Calibri" w:hAnsi="宋体" w:eastAsia="宋体" w:cs="Times New Roman"/>
        </w:rPr>
        <w:t>每期保险费（按四舍五入计算）=总年保险费÷分期缴费期数</w:t>
      </w:r>
    </w:p>
    <w:p>
      <w:pPr>
        <w:numPr>
          <w:ilvl w:val="255"/>
          <w:numId w:val="0"/>
        </w:numPr>
        <w:spacing w:line="288" w:lineRule="auto"/>
        <w:ind w:firstLine="420" w:firstLineChars="200"/>
        <w:jc w:val="left"/>
        <w:rPr>
          <w:rFonts w:ascii="Calibri" w:hAnsi="宋体" w:eastAsia="宋体" w:cs="Times New Roman"/>
        </w:rPr>
      </w:pPr>
      <w:r>
        <w:rPr>
          <w:rFonts w:ascii="Calibri" w:hAnsi="宋体" w:eastAsia="宋体" w:cs="Times New Roman"/>
        </w:rPr>
        <w:t>注</w:t>
      </w:r>
      <w:r>
        <w:rPr>
          <w:rFonts w:hint="eastAsia" w:ascii="Calibri" w:hAnsi="宋体" w:eastAsia="宋体" w:cs="Times New Roman"/>
        </w:rPr>
        <w:t>：本产品涉及分期缴费，每期缴费金额一致。</w:t>
      </w:r>
    </w:p>
    <w:p>
      <w:pPr>
        <w:spacing w:line="360" w:lineRule="auto"/>
        <w:ind w:firstLine="422" w:firstLineChars="200"/>
        <w:rPr>
          <w:rFonts w:ascii="宋体" w:hAnsi="宋体" w:eastAsia="宋体" w:cs="Times New Roman"/>
          <w:b/>
          <w:kern w:val="0"/>
        </w:rPr>
      </w:pPr>
      <w:r>
        <w:rPr>
          <w:rFonts w:hint="eastAsia" w:ascii="宋体" w:hAnsi="宋体" w:eastAsia="宋体" w:cs="Times New Roman"/>
          <w:b/>
          <w:kern w:val="0"/>
        </w:rPr>
        <w:t>五、</w:t>
      </w:r>
      <w:r>
        <w:rPr>
          <w:rFonts w:hint="eastAsia" w:ascii="宋体" w:hAnsi="宋体" w:eastAsia="宋体" w:cs="Arial"/>
          <w:b/>
          <w:bCs/>
          <w:szCs w:val="21"/>
        </w:rPr>
        <w:t>短期</w:t>
      </w:r>
      <w:r>
        <w:rPr>
          <w:rFonts w:hint="eastAsia" w:ascii="宋体" w:hAnsi="宋体" w:eastAsia="宋体" w:cs="Times New Roman"/>
          <w:b/>
          <w:kern w:val="0"/>
        </w:rPr>
        <w:t>费率表</w:t>
      </w:r>
    </w:p>
    <w:p>
      <w:pPr>
        <w:snapToGrid w:val="0"/>
        <w:spacing w:line="288" w:lineRule="auto"/>
        <w:ind w:firstLine="482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100%</w:t>
            </w:r>
          </w:p>
        </w:tc>
      </w:tr>
    </w:tbl>
    <w:p>
      <w:pPr>
        <w:jc w:val="center"/>
        <w:rPr>
          <w:rFonts w:ascii="宋体" w:hAnsi="宋体" w:eastAsia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F627F0"/>
    <w:rsid w:val="00030B53"/>
    <w:rsid w:val="000B798A"/>
    <w:rsid w:val="000E0AF6"/>
    <w:rsid w:val="002810B6"/>
    <w:rsid w:val="002A79C0"/>
    <w:rsid w:val="00306A51"/>
    <w:rsid w:val="003A70B8"/>
    <w:rsid w:val="003F4393"/>
    <w:rsid w:val="00433817"/>
    <w:rsid w:val="00434F32"/>
    <w:rsid w:val="00472837"/>
    <w:rsid w:val="0053181F"/>
    <w:rsid w:val="00550C45"/>
    <w:rsid w:val="00644A52"/>
    <w:rsid w:val="006B0AD6"/>
    <w:rsid w:val="006D73A4"/>
    <w:rsid w:val="006E3F0C"/>
    <w:rsid w:val="00702F75"/>
    <w:rsid w:val="007214BA"/>
    <w:rsid w:val="007F7310"/>
    <w:rsid w:val="008C6687"/>
    <w:rsid w:val="00903E96"/>
    <w:rsid w:val="00907BDA"/>
    <w:rsid w:val="00985FED"/>
    <w:rsid w:val="00A94FE0"/>
    <w:rsid w:val="00AA7B60"/>
    <w:rsid w:val="00AC07AE"/>
    <w:rsid w:val="00AE1212"/>
    <w:rsid w:val="00AE7EFF"/>
    <w:rsid w:val="00C41D67"/>
    <w:rsid w:val="00C54D8E"/>
    <w:rsid w:val="00CA0682"/>
    <w:rsid w:val="00CE5E16"/>
    <w:rsid w:val="00D36DA6"/>
    <w:rsid w:val="00E5053A"/>
    <w:rsid w:val="00E8781E"/>
    <w:rsid w:val="00E94537"/>
    <w:rsid w:val="00ED4E98"/>
    <w:rsid w:val="00F627F0"/>
    <w:rsid w:val="048E122E"/>
    <w:rsid w:val="06F803AC"/>
    <w:rsid w:val="09271535"/>
    <w:rsid w:val="0B925EE5"/>
    <w:rsid w:val="0C15593E"/>
    <w:rsid w:val="0C1E36B4"/>
    <w:rsid w:val="0F205F31"/>
    <w:rsid w:val="0F3C1976"/>
    <w:rsid w:val="100B0CCB"/>
    <w:rsid w:val="17780F8F"/>
    <w:rsid w:val="17CA1CD8"/>
    <w:rsid w:val="1BEE5EF7"/>
    <w:rsid w:val="1F14355E"/>
    <w:rsid w:val="23F71A68"/>
    <w:rsid w:val="2A462A38"/>
    <w:rsid w:val="2F91117B"/>
    <w:rsid w:val="31490108"/>
    <w:rsid w:val="344743D2"/>
    <w:rsid w:val="34A53453"/>
    <w:rsid w:val="354C2856"/>
    <w:rsid w:val="3A07209F"/>
    <w:rsid w:val="3A2712DD"/>
    <w:rsid w:val="3BAA6DE9"/>
    <w:rsid w:val="3F7D78FA"/>
    <w:rsid w:val="3FE76071"/>
    <w:rsid w:val="42E303AB"/>
    <w:rsid w:val="4A381310"/>
    <w:rsid w:val="4BF210B1"/>
    <w:rsid w:val="50642972"/>
    <w:rsid w:val="51494826"/>
    <w:rsid w:val="521F5665"/>
    <w:rsid w:val="56813AAD"/>
    <w:rsid w:val="5AA525D3"/>
    <w:rsid w:val="5C365FE0"/>
    <w:rsid w:val="60A14540"/>
    <w:rsid w:val="60D82FC1"/>
    <w:rsid w:val="687162A7"/>
    <w:rsid w:val="68744B22"/>
    <w:rsid w:val="726605D6"/>
    <w:rsid w:val="76B973FB"/>
    <w:rsid w:val="783516E6"/>
    <w:rsid w:val="7DAE6C2E"/>
    <w:rsid w:val="7E7E0F92"/>
    <w:rsid w:val="7EE4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ody Text Indent"/>
    <w:basedOn w:val="1"/>
    <w:unhideWhenUsed/>
    <w:qFormat/>
    <w:uiPriority w:val="99"/>
    <w:pPr>
      <w:ind w:firstLine="360"/>
    </w:pPr>
    <w:rPr>
      <w:szCs w:val="20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5">
    <w:name w:val="批注文字 字符"/>
    <w:basedOn w:val="10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1214</Words>
  <Characters>1699</Characters>
  <Lines>222</Lines>
  <Paragraphs>93</Paragraphs>
  <TotalTime>65</TotalTime>
  <ScaleCrop>false</ScaleCrop>
  <LinksUpToDate>false</LinksUpToDate>
  <CharactersWithSpaces>1699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2020-02-18T19:53:00Z</dcterms:created>
  <dc:creator>林男 曹</dc:creator>
  <cp:lastModifiedBy>Zixuan Shen</cp:lastModifiedBy>
  <dcterms:modified xsi:type="dcterms:W3CDTF">2023-02-08T13:02:48Z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8539EB7E9A424E6AA53DBF999FC56D65</vt:lpwstr>
  </property>
</Properties>
</file>