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5014" w14:textId="77777777" w:rsidR="004C0D5B" w:rsidRDefault="00000000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sz w:val="28"/>
          <w:szCs w:val="28"/>
        </w:rPr>
        <w:t>保险股份有限公司</w:t>
      </w:r>
    </w:p>
    <w:p w14:paraId="4BE31097" w14:textId="77777777" w:rsidR="004C0D5B" w:rsidRDefault="00000000">
      <w:pPr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附加食物中毒医疗保险费率表（互联网专属）</w:t>
      </w:r>
    </w:p>
    <w:p w14:paraId="61005E79" w14:textId="77777777" w:rsidR="004C0D5B" w:rsidRDefault="004C0D5B">
      <w:pPr>
        <w:widowControl/>
        <w:spacing w:after="156"/>
        <w:rPr>
          <w:rFonts w:ascii="宋体" w:eastAsia="宋体" w:hAnsi="宋体" w:cs="宋体"/>
          <w:b/>
          <w:szCs w:val="21"/>
        </w:rPr>
      </w:pPr>
    </w:p>
    <w:p w14:paraId="66353E31" w14:textId="77777777" w:rsidR="004C0D5B" w:rsidRDefault="00000000">
      <w:pPr>
        <w:widowControl/>
        <w:spacing w:after="156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一、年基准费率</w:t>
      </w:r>
    </w:p>
    <w:p w14:paraId="239FCFC5" w14:textId="77777777" w:rsidR="004C0D5B" w:rsidRDefault="00000000">
      <w:pPr>
        <w:widowControl/>
        <w:numPr>
          <w:ilvl w:val="255"/>
          <w:numId w:val="0"/>
        </w:numPr>
        <w:spacing w:after="156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0.02%</w:t>
      </w:r>
    </w:p>
    <w:p w14:paraId="44F2769B" w14:textId="77777777" w:rsidR="004C0D5B" w:rsidRDefault="00000000">
      <w:pPr>
        <w:widowControl/>
        <w:spacing w:after="156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二、费率调整系数</w:t>
      </w:r>
    </w:p>
    <w:p w14:paraId="24BD016F" w14:textId="77777777" w:rsidR="004C0D5B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1、旅行方式调整系数（F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5798" w:type="dxa"/>
        <w:jc w:val="center"/>
        <w:tblLayout w:type="fixed"/>
        <w:tblLook w:val="04A0" w:firstRow="1" w:lastRow="0" w:firstColumn="1" w:lastColumn="0" w:noHBand="0" w:noVBand="1"/>
      </w:tblPr>
      <w:tblGrid>
        <w:gridCol w:w="2908"/>
        <w:gridCol w:w="2890"/>
      </w:tblGrid>
      <w:tr w:rsidR="004C0D5B" w14:paraId="292D8FB6" w14:textId="77777777">
        <w:trPr>
          <w:trHeight w:val="285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CD319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旅行方式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B1C67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调整系数</w:t>
            </w:r>
          </w:p>
        </w:tc>
      </w:tr>
      <w:tr w:rsidR="004C0D5B" w14:paraId="1E0413CB" w14:textId="77777777">
        <w:trPr>
          <w:trHeight w:val="285"/>
          <w:jc w:val="center"/>
        </w:trPr>
        <w:tc>
          <w:tcPr>
            <w:tcW w:w="2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F0013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自由行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E2B345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[0.7,1.3]</w:t>
            </w:r>
          </w:p>
        </w:tc>
      </w:tr>
      <w:tr w:rsidR="004C0D5B" w14:paraId="76789165" w14:textId="77777777">
        <w:trPr>
          <w:trHeight w:val="285"/>
          <w:jc w:val="center"/>
        </w:trPr>
        <w:tc>
          <w:tcPr>
            <w:tcW w:w="2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80F4A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跟团游</w:t>
            </w:r>
            <w:proofErr w:type="gramEnd"/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F5ABC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[0.5,1.2]</w:t>
            </w:r>
          </w:p>
        </w:tc>
      </w:tr>
    </w:tbl>
    <w:p w14:paraId="0A6ECB40" w14:textId="77777777" w:rsidR="004C0D5B" w:rsidRDefault="004C0D5B">
      <w:pPr>
        <w:widowControl/>
        <w:spacing w:after="156"/>
        <w:rPr>
          <w:rFonts w:ascii="宋体" w:eastAsia="宋体" w:hAnsi="宋体" w:cs="宋体"/>
          <w:szCs w:val="21"/>
        </w:rPr>
      </w:pPr>
    </w:p>
    <w:p w14:paraId="57781DF5" w14:textId="77777777" w:rsidR="004C0D5B" w:rsidRDefault="00000000">
      <w:pPr>
        <w:widowControl/>
        <w:spacing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2.人数规模调整系数（F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072" w:type="dxa"/>
        <w:jc w:val="center"/>
        <w:tblLayout w:type="fixed"/>
        <w:tblLook w:val="04A0" w:firstRow="1" w:lastRow="0" w:firstColumn="1" w:lastColumn="0" w:noHBand="0" w:noVBand="1"/>
      </w:tblPr>
      <w:tblGrid>
        <w:gridCol w:w="3036"/>
        <w:gridCol w:w="3036"/>
      </w:tblGrid>
      <w:tr w:rsidR="004C0D5B" w14:paraId="09E952FC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1353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4C3064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53F7C51D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3B2D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81EF1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[0.5,0.8)</w:t>
            </w:r>
          </w:p>
        </w:tc>
      </w:tr>
      <w:tr w:rsidR="004C0D5B" w14:paraId="1BD12CDC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C0E6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622FD0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[0.8,1.0)</w:t>
            </w:r>
          </w:p>
        </w:tc>
      </w:tr>
      <w:tr w:rsidR="004C0D5B" w14:paraId="3199B4F8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B5C9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F4ACE5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[1.0,1.2]</w:t>
            </w:r>
          </w:p>
        </w:tc>
      </w:tr>
      <w:tr w:rsidR="004C0D5B" w14:paraId="49B6048C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5785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A89D2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(1.2,1.5]</w:t>
            </w:r>
          </w:p>
        </w:tc>
      </w:tr>
    </w:tbl>
    <w:p w14:paraId="66D93EBB" w14:textId="77777777" w:rsidR="004C0D5B" w:rsidRDefault="004C0D5B">
      <w:pPr>
        <w:widowControl/>
        <w:spacing w:after="156"/>
        <w:rPr>
          <w:rFonts w:ascii="宋体" w:eastAsia="宋体" w:hAnsi="宋体" w:cs="宋体"/>
          <w:szCs w:val="21"/>
        </w:rPr>
      </w:pPr>
    </w:p>
    <w:p w14:paraId="37487DE6" w14:textId="77777777" w:rsidR="004C0D5B" w:rsidRDefault="00000000">
      <w:pPr>
        <w:widowControl/>
        <w:spacing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3.历史/预期赔付率调整系数（F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079" w:type="dxa"/>
        <w:tblInd w:w="1206" w:type="dxa"/>
        <w:tblLayout w:type="fixed"/>
        <w:tblLook w:val="04A0" w:firstRow="1" w:lastRow="0" w:firstColumn="1" w:lastColumn="0" w:noHBand="0" w:noVBand="1"/>
      </w:tblPr>
      <w:tblGrid>
        <w:gridCol w:w="3064"/>
        <w:gridCol w:w="3015"/>
      </w:tblGrid>
      <w:tr w:rsidR="004C0D5B" w14:paraId="4A48C9D5" w14:textId="77777777">
        <w:trPr>
          <w:trHeight w:val="47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C4F5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历史/预期赔付率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1AD421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5FD9DA85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3D408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0%（含）-20%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A2713" w14:textId="77777777" w:rsidR="004C0D5B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[0.5,0.7)</w:t>
            </w:r>
          </w:p>
        </w:tc>
      </w:tr>
      <w:tr w:rsidR="004C0D5B" w14:paraId="08738799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F942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8723C2" w14:textId="77777777" w:rsidR="004C0D5B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[0.7,0.85)</w:t>
            </w:r>
          </w:p>
        </w:tc>
      </w:tr>
      <w:tr w:rsidR="004C0D5B" w14:paraId="7B7DC928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59BF3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DC88ED" w14:textId="77777777" w:rsidR="004C0D5B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[0.85,1.0)</w:t>
            </w:r>
          </w:p>
        </w:tc>
      </w:tr>
      <w:tr w:rsidR="004C0D5B" w14:paraId="74E9F1E0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AF44D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9AEFB0" w14:textId="77777777" w:rsidR="004C0D5B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[1.0,1.2)</w:t>
            </w:r>
          </w:p>
        </w:tc>
      </w:tr>
      <w:tr w:rsidR="004C0D5B" w14:paraId="34BE5A91" w14:textId="77777777">
        <w:trPr>
          <w:trHeight w:val="47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0E64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C20173" w14:textId="164A20DC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[1.2,1.8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4C0D5B" w14:paraId="64FA5799" w14:textId="77777777">
        <w:trPr>
          <w:trHeight w:val="48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53296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926A07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1.0</w:t>
            </w:r>
          </w:p>
        </w:tc>
      </w:tr>
    </w:tbl>
    <w:p w14:paraId="72FF663D" w14:textId="77777777" w:rsidR="004C0D5B" w:rsidRDefault="004C0D5B">
      <w:pPr>
        <w:jc w:val="left"/>
        <w:rPr>
          <w:rFonts w:ascii="宋体" w:eastAsia="宋体" w:hAnsi="宋体" w:cs="宋体"/>
          <w:szCs w:val="21"/>
        </w:rPr>
      </w:pPr>
    </w:p>
    <w:p w14:paraId="4B02344F" w14:textId="77777777" w:rsidR="004C0D5B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4.销售渠道调整系数（F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4C0D5B" w14:paraId="273E6E95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A82C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4961EB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450EB424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077F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直销渠道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D63E9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[0.7,1.0]</w:t>
            </w:r>
          </w:p>
        </w:tc>
      </w:tr>
      <w:tr w:rsidR="004C0D5B" w14:paraId="45ED1127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A264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FC3F4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[0.6,1.5]</w:t>
            </w:r>
          </w:p>
        </w:tc>
      </w:tr>
    </w:tbl>
    <w:p w14:paraId="32B7D0C6" w14:textId="77777777" w:rsidR="004C0D5B" w:rsidRDefault="004C0D5B">
      <w:pPr>
        <w:jc w:val="left"/>
        <w:rPr>
          <w:rFonts w:ascii="宋体" w:eastAsia="宋体" w:hAnsi="宋体" w:cs="宋体"/>
          <w:szCs w:val="21"/>
        </w:rPr>
      </w:pPr>
    </w:p>
    <w:p w14:paraId="50D0F9F8" w14:textId="77777777" w:rsidR="004C0D5B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5.保险金额调整系数（F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4C0D5B" w14:paraId="290B555F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8837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保险金额（元）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00A01C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5313C97A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6F973" w14:textId="34DB535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[0,10000]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2C85BE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5]</w:t>
            </w:r>
          </w:p>
        </w:tc>
      </w:tr>
      <w:tr w:rsidR="004C0D5B" w14:paraId="1EA6C699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261C" w14:textId="5D190C04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（10000,50000]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33E360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[1.0,1.2)</w:t>
            </w:r>
          </w:p>
        </w:tc>
      </w:tr>
      <w:tr w:rsidR="004C0D5B" w14:paraId="1EC9A959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DA48F" w14:textId="24EEE65F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（50000,100000]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3EFF02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[0.8,1.0)</w:t>
            </w:r>
          </w:p>
        </w:tc>
      </w:tr>
      <w:tr w:rsidR="004C0D5B" w14:paraId="79EBBC3D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288F5" w14:textId="7C089A15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（100000,200000]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FCFFBC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[0.6,0.8)</w:t>
            </w:r>
          </w:p>
        </w:tc>
      </w:tr>
      <w:tr w:rsidR="004C0D5B" w14:paraId="055778A5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748E" w14:textId="710C1415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（200000,400000]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016A4A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[0.3,0.6)</w:t>
            </w:r>
          </w:p>
        </w:tc>
      </w:tr>
      <w:tr w:rsidR="004C0D5B" w14:paraId="018AC13C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0AAA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&gt;400000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1E27D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[0.2,0.3)</w:t>
            </w:r>
          </w:p>
        </w:tc>
      </w:tr>
    </w:tbl>
    <w:p w14:paraId="4323DCE2" w14:textId="77777777" w:rsidR="004C0D5B" w:rsidRDefault="004C0D5B">
      <w:pPr>
        <w:spacing w:line="312" w:lineRule="auto"/>
        <w:rPr>
          <w:rFonts w:ascii="宋体" w:eastAsia="宋体" w:hAnsi="宋体" w:cs="宋体"/>
          <w:szCs w:val="21"/>
        </w:rPr>
      </w:pPr>
    </w:p>
    <w:p w14:paraId="51DDABE2" w14:textId="77777777" w:rsidR="004C0D5B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6．被保险人旅游目的地卫生医疗状况调整系数（F</w:t>
      </w:r>
      <w:r>
        <w:rPr>
          <w:rFonts w:ascii="宋体" w:eastAsia="宋体" w:hAnsi="宋体" w:cs="宋体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4C0D5B" w14:paraId="48E73612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7E3FA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旅游目的地卫生医疗状况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1D6B8" w14:textId="77777777" w:rsidR="004C0D5B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21DCD1BB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239A9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3B0286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4C0D5B" w14:paraId="08FE279D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C0EF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046E0A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4C0D5B" w14:paraId="035FA519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6B6F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203A0C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074D4F2E" w14:textId="77777777" w:rsidR="004C0D5B" w:rsidRDefault="004C0D5B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</w:p>
    <w:p w14:paraId="3BE359CC" w14:textId="77777777" w:rsidR="004C0D5B" w:rsidRDefault="00000000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7.赔付比例调整系数（F7）：</w:t>
      </w:r>
    </w:p>
    <w:tbl>
      <w:tblPr>
        <w:tblW w:w="5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2575"/>
      </w:tblGrid>
      <w:tr w:rsidR="004C0D5B" w14:paraId="500C4B14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1BF8C8E5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赔付比例</w:t>
            </w:r>
          </w:p>
        </w:tc>
        <w:tc>
          <w:tcPr>
            <w:tcW w:w="2575" w:type="dxa"/>
            <w:vAlign w:val="center"/>
          </w:tcPr>
          <w:p w14:paraId="323FAE3E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42DABE0E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02A90DD8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≤50%</w:t>
            </w:r>
          </w:p>
        </w:tc>
        <w:tc>
          <w:tcPr>
            <w:tcW w:w="2575" w:type="dxa"/>
            <w:vAlign w:val="center"/>
          </w:tcPr>
          <w:p w14:paraId="2A84C733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[0.5,0.6]</w:t>
            </w:r>
          </w:p>
        </w:tc>
      </w:tr>
      <w:tr w:rsidR="004C0D5B" w14:paraId="3EAC4841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5CB9F75A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(50%,60%]</w:t>
            </w:r>
          </w:p>
        </w:tc>
        <w:tc>
          <w:tcPr>
            <w:tcW w:w="2575" w:type="dxa"/>
            <w:vAlign w:val="center"/>
          </w:tcPr>
          <w:p w14:paraId="6553107C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0.7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4C0D5B" w14:paraId="3607F788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25CABF8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(60%,70%]</w:t>
            </w:r>
          </w:p>
        </w:tc>
        <w:tc>
          <w:tcPr>
            <w:tcW w:w="2575" w:type="dxa"/>
            <w:vAlign w:val="center"/>
          </w:tcPr>
          <w:p w14:paraId="683E386F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4C0D5B" w14:paraId="6D671020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6AAFE3E3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(70%,80%]</w:t>
            </w:r>
          </w:p>
        </w:tc>
        <w:tc>
          <w:tcPr>
            <w:tcW w:w="2575" w:type="dxa"/>
            <w:vAlign w:val="center"/>
          </w:tcPr>
          <w:p w14:paraId="78C6603E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0.9]</w:t>
            </w:r>
          </w:p>
        </w:tc>
      </w:tr>
      <w:tr w:rsidR="004C0D5B" w14:paraId="6F10091E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25E28128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(80%,90%]</w:t>
            </w:r>
          </w:p>
        </w:tc>
        <w:tc>
          <w:tcPr>
            <w:tcW w:w="2575" w:type="dxa"/>
            <w:vAlign w:val="center"/>
          </w:tcPr>
          <w:p w14:paraId="7D8193CD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1.0]</w:t>
            </w:r>
          </w:p>
        </w:tc>
      </w:tr>
      <w:tr w:rsidR="004C0D5B" w14:paraId="4DA96899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553AC898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(90%,100%]</w:t>
            </w:r>
          </w:p>
        </w:tc>
        <w:tc>
          <w:tcPr>
            <w:tcW w:w="2575" w:type="dxa"/>
            <w:vAlign w:val="center"/>
          </w:tcPr>
          <w:p w14:paraId="4B2E636F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1.0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1.05]</w:t>
            </w:r>
          </w:p>
        </w:tc>
      </w:tr>
    </w:tbl>
    <w:p w14:paraId="771E9629" w14:textId="77777777" w:rsidR="004C0D5B" w:rsidRDefault="004C0D5B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</w:p>
    <w:p w14:paraId="6B73A844" w14:textId="77777777" w:rsidR="004C0D5B" w:rsidRDefault="00000000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8.免赔额调整系数（F8）：</w:t>
      </w:r>
    </w:p>
    <w:tbl>
      <w:tblPr>
        <w:tblW w:w="5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2575"/>
      </w:tblGrid>
      <w:tr w:rsidR="004C0D5B" w14:paraId="440A70F3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4F0B1ED4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免赔额（元）</w:t>
            </w:r>
          </w:p>
        </w:tc>
        <w:tc>
          <w:tcPr>
            <w:tcW w:w="2575" w:type="dxa"/>
            <w:vAlign w:val="center"/>
          </w:tcPr>
          <w:p w14:paraId="78AA9B08" w14:textId="77777777" w:rsidR="004C0D5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5664BB7E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5F9BFB9C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&lt;50</w:t>
            </w:r>
          </w:p>
        </w:tc>
        <w:tc>
          <w:tcPr>
            <w:tcW w:w="2575" w:type="dxa"/>
            <w:vAlign w:val="center"/>
          </w:tcPr>
          <w:p w14:paraId="7E1067A2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(1.0,1.05]</w:t>
            </w:r>
          </w:p>
        </w:tc>
      </w:tr>
      <w:tr w:rsidR="004C0D5B" w14:paraId="289F8951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179C489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50（含）-100</w:t>
            </w:r>
          </w:p>
        </w:tc>
        <w:tc>
          <w:tcPr>
            <w:tcW w:w="2575" w:type="dxa"/>
            <w:vAlign w:val="center"/>
          </w:tcPr>
          <w:p w14:paraId="6775ADF5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4C0D5B" w14:paraId="7236A1FA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0B639ED4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100（含）-200</w:t>
            </w:r>
          </w:p>
        </w:tc>
        <w:tc>
          <w:tcPr>
            <w:tcW w:w="2575" w:type="dxa"/>
            <w:vAlign w:val="center"/>
          </w:tcPr>
          <w:p w14:paraId="07D0D98D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85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0.9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4C0D5B" w14:paraId="34A9FF15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34F0F705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200（含）-300</w:t>
            </w:r>
          </w:p>
        </w:tc>
        <w:tc>
          <w:tcPr>
            <w:tcW w:w="2575" w:type="dxa"/>
            <w:vAlign w:val="center"/>
          </w:tcPr>
          <w:p w14:paraId="1B4156C2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0.85]</w:t>
            </w:r>
          </w:p>
        </w:tc>
      </w:tr>
      <w:tr w:rsidR="004C0D5B" w14:paraId="0C519230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8ABA1B7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300（含）-500</w:t>
            </w:r>
          </w:p>
        </w:tc>
        <w:tc>
          <w:tcPr>
            <w:tcW w:w="2575" w:type="dxa"/>
            <w:vAlign w:val="center"/>
          </w:tcPr>
          <w:p w14:paraId="6B67E88E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0.8]</w:t>
            </w:r>
          </w:p>
        </w:tc>
      </w:tr>
      <w:tr w:rsidR="004C0D5B" w14:paraId="1F694AED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306205FE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≥500</w:t>
            </w:r>
          </w:p>
        </w:tc>
        <w:tc>
          <w:tcPr>
            <w:tcW w:w="2575" w:type="dxa"/>
            <w:vAlign w:val="center"/>
          </w:tcPr>
          <w:p w14:paraId="3B8CB0D9" w14:textId="77777777" w:rsidR="004C0D5B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[0.6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0.7]</w:t>
            </w:r>
          </w:p>
        </w:tc>
      </w:tr>
    </w:tbl>
    <w:p w14:paraId="256C34A0" w14:textId="77777777" w:rsidR="004C0D5B" w:rsidRDefault="004C0D5B">
      <w:pPr>
        <w:jc w:val="left"/>
        <w:rPr>
          <w:rFonts w:ascii="宋体" w:eastAsia="宋体" w:hAnsi="宋体" w:cs="宋体"/>
          <w:szCs w:val="21"/>
        </w:rPr>
      </w:pPr>
    </w:p>
    <w:p w14:paraId="432B9F63" w14:textId="77777777" w:rsidR="004C0D5B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9.社保情况调整系数（F9）：</w:t>
      </w:r>
    </w:p>
    <w:tbl>
      <w:tblPr>
        <w:tblStyle w:val="ab"/>
        <w:tblW w:w="5235" w:type="dxa"/>
        <w:tblInd w:w="1644" w:type="dxa"/>
        <w:tblLayout w:type="fixed"/>
        <w:tblLook w:val="04A0" w:firstRow="1" w:lastRow="0" w:firstColumn="1" w:lastColumn="0" w:noHBand="0" w:noVBand="1"/>
      </w:tblPr>
      <w:tblGrid>
        <w:gridCol w:w="2670"/>
        <w:gridCol w:w="2565"/>
      </w:tblGrid>
      <w:tr w:rsidR="004C0D5B" w14:paraId="488F08FE" w14:textId="77777777">
        <w:trPr>
          <w:trHeight w:val="361"/>
        </w:trPr>
        <w:tc>
          <w:tcPr>
            <w:tcW w:w="2670" w:type="dxa"/>
          </w:tcPr>
          <w:p w14:paraId="7B8E7AD1" w14:textId="77777777" w:rsidR="004C0D5B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社保情况</w:t>
            </w:r>
          </w:p>
        </w:tc>
        <w:tc>
          <w:tcPr>
            <w:tcW w:w="2565" w:type="dxa"/>
          </w:tcPr>
          <w:p w14:paraId="240AACAC" w14:textId="77777777" w:rsidR="004C0D5B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7899CCE8" w14:textId="77777777">
        <w:trPr>
          <w:trHeight w:val="361"/>
        </w:trPr>
        <w:tc>
          <w:tcPr>
            <w:tcW w:w="2670" w:type="dxa"/>
          </w:tcPr>
          <w:p w14:paraId="3258CF31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未参加社保</w:t>
            </w:r>
          </w:p>
        </w:tc>
        <w:tc>
          <w:tcPr>
            <w:tcW w:w="2565" w:type="dxa"/>
          </w:tcPr>
          <w:p w14:paraId="14115941" w14:textId="776B5E9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</w:tr>
      <w:tr w:rsidR="004C0D5B" w14:paraId="5908745F" w14:textId="77777777">
        <w:trPr>
          <w:trHeight w:val="372"/>
        </w:trPr>
        <w:tc>
          <w:tcPr>
            <w:tcW w:w="2670" w:type="dxa"/>
          </w:tcPr>
          <w:p w14:paraId="3F56C642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参加社保</w:t>
            </w:r>
          </w:p>
        </w:tc>
        <w:tc>
          <w:tcPr>
            <w:tcW w:w="2565" w:type="dxa"/>
          </w:tcPr>
          <w:p w14:paraId="7F00B40E" w14:textId="67F8BA75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0.7</w:t>
            </w:r>
          </w:p>
        </w:tc>
      </w:tr>
    </w:tbl>
    <w:p w14:paraId="346540F2" w14:textId="77777777" w:rsidR="004C0D5B" w:rsidRDefault="004C0D5B">
      <w:pPr>
        <w:jc w:val="left"/>
        <w:rPr>
          <w:rFonts w:ascii="宋体" w:eastAsia="宋体" w:hAnsi="宋体" w:cs="宋体"/>
          <w:szCs w:val="21"/>
        </w:rPr>
      </w:pPr>
    </w:p>
    <w:p w14:paraId="2B7954FD" w14:textId="77777777" w:rsidR="004C0D5B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0.旅行区域调整系数（F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0）：</w:t>
      </w:r>
    </w:p>
    <w:tbl>
      <w:tblPr>
        <w:tblStyle w:val="ab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4C0D5B" w14:paraId="50FD30A5" w14:textId="77777777">
        <w:trPr>
          <w:trHeight w:val="361"/>
        </w:trPr>
        <w:tc>
          <w:tcPr>
            <w:tcW w:w="3975" w:type="dxa"/>
          </w:tcPr>
          <w:p w14:paraId="68BE35EA" w14:textId="77777777" w:rsidR="004C0D5B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旅行预期</w:t>
            </w:r>
          </w:p>
        </w:tc>
        <w:tc>
          <w:tcPr>
            <w:tcW w:w="2025" w:type="dxa"/>
          </w:tcPr>
          <w:p w14:paraId="64274133" w14:textId="77777777" w:rsidR="004C0D5B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47A32E06" w14:textId="77777777">
        <w:trPr>
          <w:trHeight w:val="361"/>
        </w:trPr>
        <w:tc>
          <w:tcPr>
            <w:tcW w:w="3975" w:type="dxa"/>
          </w:tcPr>
          <w:p w14:paraId="1C401218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境内</w:t>
            </w:r>
          </w:p>
        </w:tc>
        <w:tc>
          <w:tcPr>
            <w:tcW w:w="2025" w:type="dxa"/>
          </w:tcPr>
          <w:p w14:paraId="6102E8A0" w14:textId="4C16002E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0.4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1.3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4C0D5B" w14:paraId="65A2404A" w14:textId="77777777">
        <w:trPr>
          <w:trHeight w:val="372"/>
        </w:trPr>
        <w:tc>
          <w:tcPr>
            <w:tcW w:w="3975" w:type="dxa"/>
          </w:tcPr>
          <w:p w14:paraId="5A29653C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港澳台地区</w:t>
            </w:r>
          </w:p>
        </w:tc>
        <w:tc>
          <w:tcPr>
            <w:tcW w:w="2025" w:type="dxa"/>
          </w:tcPr>
          <w:p w14:paraId="011D8C76" w14:textId="0311D136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0.5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1.4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4C0D5B" w14:paraId="6D0D24CD" w14:textId="77777777">
        <w:trPr>
          <w:trHeight w:val="372"/>
        </w:trPr>
        <w:tc>
          <w:tcPr>
            <w:tcW w:w="3975" w:type="dxa"/>
          </w:tcPr>
          <w:p w14:paraId="1C894448" w14:textId="5D93B8B1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境外（除境内、港澳台地区外的亚洲地区）</w:t>
            </w:r>
          </w:p>
        </w:tc>
        <w:tc>
          <w:tcPr>
            <w:tcW w:w="2025" w:type="dxa"/>
          </w:tcPr>
          <w:p w14:paraId="590D4496" w14:textId="0721415D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0.6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1.5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4C0D5B" w14:paraId="654C9A0D" w14:textId="77777777">
        <w:trPr>
          <w:trHeight w:val="372"/>
        </w:trPr>
        <w:tc>
          <w:tcPr>
            <w:tcW w:w="3975" w:type="dxa"/>
          </w:tcPr>
          <w:p w14:paraId="2C49C569" w14:textId="21D535D9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境外（亚洲以外的国家和地区）</w:t>
            </w:r>
          </w:p>
        </w:tc>
        <w:tc>
          <w:tcPr>
            <w:tcW w:w="2025" w:type="dxa"/>
          </w:tcPr>
          <w:p w14:paraId="25270737" w14:textId="0B7F8DFE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0.7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1.6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4C0D5B" w14:paraId="3915D1FB" w14:textId="77777777">
        <w:trPr>
          <w:trHeight w:val="372"/>
        </w:trPr>
        <w:tc>
          <w:tcPr>
            <w:tcW w:w="3975" w:type="dxa"/>
          </w:tcPr>
          <w:p w14:paraId="46BED318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全球境外地区（含港澳台地区）</w:t>
            </w:r>
          </w:p>
        </w:tc>
        <w:tc>
          <w:tcPr>
            <w:tcW w:w="2025" w:type="dxa"/>
          </w:tcPr>
          <w:p w14:paraId="21B5088D" w14:textId="3776F9AE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0.6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1.6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</w:tbl>
    <w:p w14:paraId="15254BF9" w14:textId="77777777" w:rsidR="004C0D5B" w:rsidRDefault="004C0D5B">
      <w:pPr>
        <w:jc w:val="left"/>
        <w:rPr>
          <w:rFonts w:ascii="宋体" w:eastAsia="宋体" w:hAnsi="宋体" w:cs="宋体"/>
          <w:szCs w:val="21"/>
        </w:rPr>
      </w:pPr>
    </w:p>
    <w:p w14:paraId="52E0555D" w14:textId="77777777" w:rsidR="004C0D5B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1.渠道销售费用水平调整系数（F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1）：</w:t>
      </w:r>
    </w:p>
    <w:tbl>
      <w:tblPr>
        <w:tblStyle w:val="ab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4C0D5B" w14:paraId="332B5427" w14:textId="77777777">
        <w:trPr>
          <w:trHeight w:val="361"/>
        </w:trPr>
        <w:tc>
          <w:tcPr>
            <w:tcW w:w="3975" w:type="dxa"/>
          </w:tcPr>
          <w:p w14:paraId="0337BCB0" w14:textId="77777777" w:rsidR="004C0D5B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渠道销售费用水平</w:t>
            </w:r>
          </w:p>
        </w:tc>
        <w:tc>
          <w:tcPr>
            <w:tcW w:w="2025" w:type="dxa"/>
          </w:tcPr>
          <w:p w14:paraId="0C4E4EA2" w14:textId="77777777" w:rsidR="004C0D5B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4C0D5B" w14:paraId="2ADFF2C4" w14:textId="77777777">
        <w:trPr>
          <w:trHeight w:val="361"/>
        </w:trPr>
        <w:tc>
          <w:tcPr>
            <w:tcW w:w="3975" w:type="dxa"/>
          </w:tcPr>
          <w:p w14:paraId="20482896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低</w:t>
            </w:r>
          </w:p>
        </w:tc>
        <w:tc>
          <w:tcPr>
            <w:tcW w:w="2025" w:type="dxa"/>
          </w:tcPr>
          <w:p w14:paraId="0B49D794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[0.6,0.8]</w:t>
            </w:r>
          </w:p>
        </w:tc>
      </w:tr>
      <w:tr w:rsidR="004C0D5B" w14:paraId="1781F747" w14:textId="77777777">
        <w:trPr>
          <w:trHeight w:val="372"/>
        </w:trPr>
        <w:tc>
          <w:tcPr>
            <w:tcW w:w="3975" w:type="dxa"/>
          </w:tcPr>
          <w:p w14:paraId="6C71088D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中等</w:t>
            </w:r>
          </w:p>
        </w:tc>
        <w:tc>
          <w:tcPr>
            <w:tcW w:w="2025" w:type="dxa"/>
          </w:tcPr>
          <w:p w14:paraId="47620C62" w14:textId="6A5548B9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szCs w:val="21"/>
              </w:rPr>
              <w:t>0.8,1.0]</w:t>
            </w:r>
          </w:p>
        </w:tc>
      </w:tr>
      <w:tr w:rsidR="004C0D5B" w14:paraId="400C8F24" w14:textId="77777777">
        <w:trPr>
          <w:trHeight w:val="372"/>
        </w:trPr>
        <w:tc>
          <w:tcPr>
            <w:tcW w:w="3975" w:type="dxa"/>
          </w:tcPr>
          <w:p w14:paraId="6FF812F1" w14:textId="77777777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较高</w:t>
            </w:r>
          </w:p>
        </w:tc>
        <w:tc>
          <w:tcPr>
            <w:tcW w:w="2025" w:type="dxa"/>
          </w:tcPr>
          <w:p w14:paraId="1AFB9194" w14:textId="2BFD530A" w:rsidR="004C0D5B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szCs w:val="21"/>
              </w:rPr>
              <w:t>1.0,1.3]</w:t>
            </w:r>
          </w:p>
        </w:tc>
      </w:tr>
    </w:tbl>
    <w:p w14:paraId="3CDC30A5" w14:textId="77777777" w:rsidR="004C0D5B" w:rsidRDefault="00000000" w:rsidP="00320D82">
      <w:pPr>
        <w:spacing w:line="360" w:lineRule="auto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12、</w:t>
      </w:r>
      <w:r>
        <w:rPr>
          <w:rFonts w:ascii="宋体" w:eastAsia="宋体" w:hAnsi="宋体" w:cs="Times New Roman" w:hint="eastAsia"/>
          <w:kern w:val="0"/>
        </w:rPr>
        <w:t>缴费</w:t>
      </w:r>
      <w:r>
        <w:rPr>
          <w:rFonts w:ascii="宋体" w:eastAsia="宋体" w:hAnsi="宋体" w:cs="Arial" w:hint="eastAsia"/>
          <w:bCs/>
          <w:color w:val="000000"/>
          <w:szCs w:val="21"/>
        </w:rPr>
        <w:t>方式调整系数：按保单约定的缴费方式，进行划分</w:t>
      </w:r>
      <w:r>
        <w:rPr>
          <w:rFonts w:ascii="宋体" w:eastAsia="宋体" w:hAnsi="宋体" w:cs="宋体" w:hint="eastAsia"/>
          <w:szCs w:val="21"/>
        </w:rPr>
        <w:t>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2）：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4C0D5B" w14:paraId="7E1979BD" w14:textId="77777777">
        <w:tc>
          <w:tcPr>
            <w:tcW w:w="2850" w:type="dxa"/>
          </w:tcPr>
          <w:p w14:paraId="6642F83D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缴费方式</w:t>
            </w:r>
          </w:p>
        </w:tc>
        <w:tc>
          <w:tcPr>
            <w:tcW w:w="2850" w:type="dxa"/>
          </w:tcPr>
          <w:p w14:paraId="323A353F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4C0D5B" w14:paraId="0C9ED550" w14:textId="77777777">
        <w:tc>
          <w:tcPr>
            <w:tcW w:w="2850" w:type="dxa"/>
          </w:tcPr>
          <w:p w14:paraId="32604F48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按月缴费</w:t>
            </w:r>
          </w:p>
        </w:tc>
        <w:tc>
          <w:tcPr>
            <w:tcW w:w="2850" w:type="dxa"/>
          </w:tcPr>
          <w:p w14:paraId="33CE4E4E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[1.0,1.10]</w:t>
            </w:r>
          </w:p>
        </w:tc>
      </w:tr>
      <w:tr w:rsidR="004C0D5B" w14:paraId="37485714" w14:textId="77777777">
        <w:tc>
          <w:tcPr>
            <w:tcW w:w="2850" w:type="dxa"/>
          </w:tcPr>
          <w:p w14:paraId="446A22C6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按季缴费</w:t>
            </w:r>
          </w:p>
        </w:tc>
        <w:tc>
          <w:tcPr>
            <w:tcW w:w="2850" w:type="dxa"/>
          </w:tcPr>
          <w:p w14:paraId="36C4CF10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[1.0,1.05]</w:t>
            </w:r>
          </w:p>
        </w:tc>
      </w:tr>
      <w:tr w:rsidR="004C0D5B" w14:paraId="1A1BA652" w14:textId="77777777">
        <w:tc>
          <w:tcPr>
            <w:tcW w:w="2850" w:type="dxa"/>
          </w:tcPr>
          <w:p w14:paraId="6D4171EE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一次性缴清</w:t>
            </w:r>
          </w:p>
        </w:tc>
        <w:tc>
          <w:tcPr>
            <w:tcW w:w="2850" w:type="dxa"/>
          </w:tcPr>
          <w:p w14:paraId="02BCA53C" w14:textId="77777777" w:rsidR="004C0D5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[0.95,1.0]</w:t>
            </w:r>
          </w:p>
        </w:tc>
      </w:tr>
    </w:tbl>
    <w:p w14:paraId="31C8621F" w14:textId="77777777" w:rsidR="004C0D5B" w:rsidRDefault="004C0D5B">
      <w:pPr>
        <w:adjustRightInd w:val="0"/>
        <w:spacing w:line="312" w:lineRule="auto"/>
        <w:jc w:val="left"/>
        <w:rPr>
          <w:rFonts w:ascii="宋体" w:eastAsia="宋体" w:hAnsi="宋体" w:cs="宋体"/>
          <w:color w:val="000000"/>
          <w:szCs w:val="21"/>
        </w:rPr>
      </w:pPr>
    </w:p>
    <w:p w14:paraId="6F6910EE" w14:textId="77777777" w:rsidR="004C0D5B" w:rsidRDefault="004C0D5B">
      <w:pPr>
        <w:pStyle w:val="10"/>
        <w:ind w:firstLineChars="0" w:firstLine="0"/>
        <w:rPr>
          <w:rFonts w:ascii="宋体" w:eastAsia="宋体" w:hAnsi="宋体" w:cs="宋体"/>
          <w:b/>
          <w:szCs w:val="21"/>
        </w:rPr>
      </w:pPr>
    </w:p>
    <w:p w14:paraId="2CBB7A37" w14:textId="77777777" w:rsidR="004C0D5B" w:rsidRDefault="00000000">
      <w:pPr>
        <w:pStyle w:val="10"/>
        <w:ind w:firstLineChars="0" w:firstLine="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三、保险费计算公式</w:t>
      </w:r>
    </w:p>
    <w:p w14:paraId="2F4C5E48" w14:textId="77777777" w:rsidR="004C0D5B" w:rsidRDefault="00000000" w:rsidP="00320D82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Times New Roman"/>
          <w:kern w:val="0"/>
        </w:rPr>
        <w:t>1</w:t>
      </w:r>
      <w:r>
        <w:rPr>
          <w:rFonts w:ascii="宋体" w:eastAsia="宋体" w:hAnsi="宋体" w:cs="Times New Roman" w:hint="eastAsia"/>
          <w:kern w:val="0"/>
        </w:rPr>
        <w:t>、投保人选择一次性缴清保险费</w:t>
      </w:r>
    </w:p>
    <w:p w14:paraId="1FC9C2E1" w14:textId="30676952" w:rsidR="004C0D5B" w:rsidRDefault="00000000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年保险费=食物中毒</w:t>
      </w:r>
      <w:r>
        <w:rPr>
          <w:rFonts w:ascii="宋体" w:eastAsia="宋体" w:hAnsi="宋体" w:cs="宋体" w:hint="eastAsia"/>
          <w:bCs/>
          <w:szCs w:val="21"/>
        </w:rPr>
        <w:t>医疗保险金额</w:t>
      </w:r>
      <w:r>
        <w:rPr>
          <w:rFonts w:ascii="宋体" w:eastAsia="宋体" w:hAnsi="宋体" w:cs="宋体" w:hint="eastAsia"/>
          <w:szCs w:val="21"/>
        </w:rPr>
        <w:t>×食物中毒</w:t>
      </w:r>
      <w:r>
        <w:rPr>
          <w:rFonts w:ascii="宋体" w:eastAsia="宋体" w:hAnsi="宋体" w:cs="宋体" w:hint="eastAsia"/>
          <w:bCs/>
          <w:szCs w:val="21"/>
        </w:rPr>
        <w:t>医疗</w:t>
      </w:r>
      <w:r>
        <w:rPr>
          <w:rFonts w:ascii="宋体" w:eastAsia="宋体" w:hAnsi="宋体" w:cs="宋体" w:hint="eastAsia"/>
          <w:szCs w:val="21"/>
        </w:rPr>
        <w:t>保险责任年基准费率×F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×F6×F7×F8×F9×F10×F11×F12</w:t>
      </w:r>
    </w:p>
    <w:p w14:paraId="1A45F999" w14:textId="77777777" w:rsidR="004C0D5B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2、投保人选择分期缴付保险费，保险人根据保险费分期缴费期数，计收每期保险费：</w:t>
      </w:r>
    </w:p>
    <w:p w14:paraId="09851D7B" w14:textId="77777777" w:rsidR="004C0D5B" w:rsidRDefault="00000000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年保险费=食物中毒</w:t>
      </w:r>
      <w:r>
        <w:rPr>
          <w:rFonts w:ascii="宋体" w:eastAsia="宋体" w:hAnsi="宋体" w:cs="宋体" w:hint="eastAsia"/>
          <w:bCs/>
          <w:szCs w:val="21"/>
        </w:rPr>
        <w:t>医疗保险金额</w:t>
      </w:r>
      <w:r>
        <w:rPr>
          <w:rFonts w:ascii="宋体" w:eastAsia="宋体" w:hAnsi="宋体" w:cs="宋体" w:hint="eastAsia"/>
          <w:szCs w:val="21"/>
        </w:rPr>
        <w:t>×食物中毒</w:t>
      </w:r>
      <w:r>
        <w:rPr>
          <w:rFonts w:ascii="宋体" w:eastAsia="宋体" w:hAnsi="宋体" w:cs="宋体" w:hint="eastAsia"/>
          <w:bCs/>
          <w:szCs w:val="21"/>
        </w:rPr>
        <w:t>医疗</w:t>
      </w:r>
      <w:r>
        <w:rPr>
          <w:rFonts w:ascii="宋体" w:eastAsia="宋体" w:hAnsi="宋体" w:cs="宋体" w:hint="eastAsia"/>
          <w:szCs w:val="21"/>
        </w:rPr>
        <w:t>保险责任年基准费率×F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×F6×F7×F8×F9×F10×F11×F12</w:t>
      </w:r>
    </w:p>
    <w:p w14:paraId="52C8A251" w14:textId="77777777" w:rsidR="004C0D5B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每期保险费（按四舍五入计算）</w:t>
      </w:r>
      <w:r>
        <w:rPr>
          <w:rFonts w:ascii="宋体" w:eastAsia="宋体" w:hAnsi="宋体" w:cs="Times New Roman"/>
          <w:kern w:val="0"/>
        </w:rPr>
        <w:t>=年保险费÷分期缴费期数</w:t>
      </w:r>
    </w:p>
    <w:p w14:paraId="7607E4D3" w14:textId="77777777" w:rsidR="004C0D5B" w:rsidRDefault="00000000">
      <w:pPr>
        <w:spacing w:line="360" w:lineRule="auto"/>
        <w:ind w:firstLineChars="200" w:firstLine="420"/>
        <w:jc w:val="left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注：本产品涉及分期缴费，每期缴费金额一致。</w:t>
      </w:r>
    </w:p>
    <w:p w14:paraId="27E265F8" w14:textId="77777777" w:rsidR="004C0D5B" w:rsidRDefault="004C0D5B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</w:p>
    <w:p w14:paraId="336EA38D" w14:textId="77777777" w:rsidR="004C0D5B" w:rsidRDefault="00000000">
      <w:pPr>
        <w:snapToGrid w:val="0"/>
        <w:spacing w:line="288" w:lineRule="auto"/>
        <w:rPr>
          <w:rFonts w:ascii="宋体" w:eastAsia="宋体" w:hAnsi="宋体" w:cs="Times New Roman"/>
          <w:b/>
          <w:kern w:val="0"/>
        </w:rPr>
      </w:pPr>
      <w:r>
        <w:rPr>
          <w:rFonts w:ascii="宋体" w:eastAsia="宋体" w:hAnsi="宋体" w:cs="Times New Roman" w:hint="eastAsia"/>
          <w:b/>
          <w:kern w:val="0"/>
        </w:rPr>
        <w:t>四、短期费率表</w:t>
      </w:r>
    </w:p>
    <w:p w14:paraId="36852480" w14:textId="77777777" w:rsidR="004C0D5B" w:rsidRDefault="00000000">
      <w:pPr>
        <w:snapToGrid w:val="0"/>
        <w:spacing w:line="288" w:lineRule="auto"/>
        <w:ind w:firstLine="482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保险期间不足一年的，按以下标准计算短期保险费（按年保险费的百分比计算）：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4C0D5B" w14:paraId="5756B2AA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18E5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D3A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0137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57F9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BFC1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0FD9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F5A2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4728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9462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5F0D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3B54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FBE7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A675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12</w:t>
            </w:r>
          </w:p>
        </w:tc>
      </w:tr>
      <w:tr w:rsidR="004C0D5B" w14:paraId="5CDDC9C0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0DA2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CC95" w14:textId="0A403B98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239B" w14:textId="5D3AF0A9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C2FC" w14:textId="392F774F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F092" w14:textId="6D00EB76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05A1" w14:textId="5755FEEF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BD3E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BF80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7263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EE1F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F0E8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BF5D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066A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100%</w:t>
            </w:r>
          </w:p>
        </w:tc>
      </w:tr>
    </w:tbl>
    <w:p w14:paraId="4391C243" w14:textId="77777777" w:rsidR="004C0D5B" w:rsidRDefault="00000000">
      <w:pPr>
        <w:snapToGrid w:val="0"/>
        <w:spacing w:afterLines="50" w:after="156"/>
        <w:ind w:firstLineChars="200" w:firstLine="420"/>
        <w:rPr>
          <w:rFonts w:ascii="宋体"/>
          <w:bCs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个月以上，不足</w:t>
      </w:r>
      <w:r>
        <w:rPr>
          <w:rFonts w:ascii="宋体"/>
          <w:szCs w:val="21"/>
        </w:rPr>
        <w:t>3</w:t>
      </w:r>
      <w:r>
        <w:rPr>
          <w:rFonts w:ascii="宋体" w:hint="eastAsia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ascii="宋体" w:hint="eastAsia"/>
          <w:szCs w:val="21"/>
        </w:rPr>
        <w:t>个月计算，依此类推；</w:t>
      </w:r>
    </w:p>
    <w:p w14:paraId="49D65350" w14:textId="77777777" w:rsidR="004C0D5B" w:rsidRDefault="00000000">
      <w:pPr>
        <w:numPr>
          <w:ilvl w:val="0"/>
          <w:numId w:val="1"/>
        </w:numPr>
        <w:snapToGrid w:val="0"/>
        <w:spacing w:afterLines="50" w:after="156"/>
        <w:ind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保险期间不足一个月，</w:t>
      </w:r>
    </w:p>
    <w:p w14:paraId="3E470F23" w14:textId="1921F46A" w:rsidR="004C0D5B" w:rsidRDefault="00000000">
      <w:pPr>
        <w:numPr>
          <w:ilvl w:val="255"/>
          <w:numId w:val="0"/>
        </w:numPr>
        <w:snapToGrid w:val="0"/>
        <w:spacing w:afterLines="50" w:after="156"/>
        <w:ind w:firstLineChars="300" w:firstLine="630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短期保险费=年保险费×短期费率 </w:t>
      </w:r>
    </w:p>
    <w:tbl>
      <w:tblPr>
        <w:tblpPr w:leftFromText="180" w:rightFromText="180" w:vertAnchor="text" w:horzAnchor="page" w:tblpX="2649" w:tblpY="143"/>
        <w:tblW w:w="46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2"/>
        <w:gridCol w:w="625"/>
        <w:gridCol w:w="812"/>
        <w:gridCol w:w="841"/>
        <w:gridCol w:w="800"/>
      </w:tblGrid>
      <w:tr w:rsidR="004C0D5B" w14:paraId="00B52755" w14:textId="77777777" w:rsidTr="00320D82">
        <w:trPr>
          <w:trHeight w:val="554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7AD8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 w:hint="eastAsia"/>
                <w:kern w:val="0"/>
                <w:szCs w:val="22"/>
              </w:rPr>
              <w:t>保险期间（天）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9519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/>
                <w:kern w:val="0"/>
                <w:szCs w:val="22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1B7C0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/>
                <w:kern w:val="0"/>
                <w:szCs w:val="22"/>
              </w:rPr>
              <w:t>2-7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30828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/>
                <w:kern w:val="0"/>
                <w:szCs w:val="22"/>
              </w:rPr>
              <w:t>8-15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CC457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/>
                <w:kern w:val="0"/>
                <w:szCs w:val="22"/>
              </w:rPr>
              <w:t>16-31</w:t>
            </w:r>
          </w:p>
        </w:tc>
      </w:tr>
      <w:tr w:rsidR="004C0D5B" w14:paraId="14FA450E" w14:textId="77777777" w:rsidTr="00320D82">
        <w:trPr>
          <w:trHeight w:val="56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2A6BE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 w:hint="eastAsia"/>
                <w:kern w:val="0"/>
                <w:szCs w:val="22"/>
              </w:rPr>
              <w:t>短期费率（</w:t>
            </w:r>
            <w:r>
              <w:rPr>
                <w:rFonts w:ascii="宋体" w:eastAsia="宋体" w:hAnsi="宋体" w:cs="Times New Roman"/>
                <w:kern w:val="0"/>
                <w:szCs w:val="22"/>
              </w:rPr>
              <w:t>%）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3B014" w14:textId="7777777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/>
                <w:kern w:val="0"/>
                <w:szCs w:val="22"/>
              </w:rPr>
              <w:t>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A12B" w14:textId="46AA34F7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 w:hint="eastAsia"/>
                <w:kern w:val="0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C769" w14:textId="0ABEB2E3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 w:hint="eastAsia"/>
                <w:kern w:val="0"/>
                <w:szCs w:val="22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BEA59" w14:textId="50E1690F" w:rsidR="004C0D5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  <w:szCs w:val="22"/>
              </w:rPr>
            </w:pPr>
            <w:r>
              <w:rPr>
                <w:rFonts w:ascii="宋体" w:eastAsia="宋体" w:hAnsi="宋体" w:cs="Times New Roman" w:hint="eastAsia"/>
                <w:kern w:val="0"/>
                <w:szCs w:val="22"/>
              </w:rPr>
              <w:t>1</w:t>
            </w:r>
            <w:r>
              <w:rPr>
                <w:rFonts w:ascii="宋体" w:eastAsia="宋体" w:hAnsi="宋体" w:cs="Times New Roman"/>
                <w:kern w:val="0"/>
                <w:szCs w:val="22"/>
              </w:rPr>
              <w:t>0</w:t>
            </w:r>
          </w:p>
        </w:tc>
      </w:tr>
    </w:tbl>
    <w:p w14:paraId="6037F311" w14:textId="77777777" w:rsidR="004C0D5B" w:rsidRDefault="004C0D5B"/>
    <w:p w14:paraId="5D74A9DE" w14:textId="77777777" w:rsidR="004C0D5B" w:rsidRDefault="004C0D5B"/>
    <w:p w14:paraId="5FA5898E" w14:textId="77777777" w:rsidR="004C0D5B" w:rsidRDefault="004C0D5B"/>
    <w:p w14:paraId="6C9AF99B" w14:textId="77777777" w:rsidR="004C0D5B" w:rsidRDefault="004C0D5B"/>
    <w:sectPr w:rsidR="004C0D5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DB6" w14:textId="77777777" w:rsidR="00BD71DC" w:rsidRDefault="00BD71DC">
      <w:r>
        <w:separator/>
      </w:r>
    </w:p>
  </w:endnote>
  <w:endnote w:type="continuationSeparator" w:id="0">
    <w:p w14:paraId="10DB45BF" w14:textId="77777777" w:rsidR="00BD71DC" w:rsidRDefault="00BD7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2A09" w14:textId="77777777" w:rsidR="004C0D5B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C9D98" wp14:editId="27568E3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9833B" w14:textId="77777777" w:rsidR="004C0D5B" w:rsidRDefault="00000000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C9D9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E99833B" w14:textId="77777777" w:rsidR="004C0D5B" w:rsidRDefault="00000000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48762" w14:textId="77777777" w:rsidR="00BD71DC" w:rsidRDefault="00BD71DC">
      <w:r>
        <w:separator/>
      </w:r>
    </w:p>
  </w:footnote>
  <w:footnote w:type="continuationSeparator" w:id="0">
    <w:p w14:paraId="5A6D639D" w14:textId="77777777" w:rsidR="00BD71DC" w:rsidRDefault="00BD7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B58BA"/>
    <w:multiLevelType w:val="singleLevel"/>
    <w:tmpl w:val="5D8B58BA"/>
    <w:lvl w:ilvl="0">
      <w:start w:val="2"/>
      <w:numFmt w:val="decimal"/>
      <w:suff w:val="nothing"/>
      <w:lvlText w:val="%1、"/>
      <w:lvlJc w:val="left"/>
    </w:lvl>
  </w:abstractNum>
  <w:num w:numId="1" w16cid:durableId="1945838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QxOTg0ZTg2NjA3ZGU0MTY2MmU0Yjk5YzMyNzRlOGMifQ=="/>
  </w:docVars>
  <w:rsids>
    <w:rsidRoot w:val="00172A27"/>
    <w:rsid w:val="00170721"/>
    <w:rsid w:val="00172A27"/>
    <w:rsid w:val="00237458"/>
    <w:rsid w:val="002C139E"/>
    <w:rsid w:val="00320D82"/>
    <w:rsid w:val="00396253"/>
    <w:rsid w:val="00411167"/>
    <w:rsid w:val="004C0D5B"/>
    <w:rsid w:val="00645196"/>
    <w:rsid w:val="006C5421"/>
    <w:rsid w:val="007449D2"/>
    <w:rsid w:val="008D1162"/>
    <w:rsid w:val="009B66B5"/>
    <w:rsid w:val="00AA3CE6"/>
    <w:rsid w:val="00BD0B2A"/>
    <w:rsid w:val="00BD71DC"/>
    <w:rsid w:val="311A40E8"/>
    <w:rsid w:val="34F024C0"/>
    <w:rsid w:val="36165A50"/>
    <w:rsid w:val="388C7258"/>
    <w:rsid w:val="39FB345B"/>
    <w:rsid w:val="3D391126"/>
    <w:rsid w:val="46B57BDF"/>
    <w:rsid w:val="4EE9667E"/>
    <w:rsid w:val="53FA23CC"/>
    <w:rsid w:val="6CB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132FB3"/>
  <w15:docId w15:val="{7E6B7768-79B7-4BD6-80AD-491AA0FD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pPr>
      <w:jc w:val="left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rPr>
      <w:sz w:val="21"/>
      <w:szCs w:val="21"/>
    </w:r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rPr>
      <w:kern w:val="2"/>
      <w:sz w:val="21"/>
      <w:szCs w:val="24"/>
    </w:rPr>
  </w:style>
  <w:style w:type="character" w:customStyle="1" w:styleId="a6">
    <w:name w:val="批注文字 字符"/>
    <w:basedOn w:val="a0"/>
    <w:link w:val="a4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character" w:customStyle="1" w:styleId="a9">
    <w:name w:val="页眉 字符"/>
    <w:basedOn w:val="a0"/>
    <w:link w:val="a8"/>
    <w:rPr>
      <w:kern w:val="2"/>
      <w:sz w:val="18"/>
      <w:szCs w:val="18"/>
    </w:rPr>
  </w:style>
  <w:style w:type="paragraph" w:styleId="ac">
    <w:name w:val="Revision"/>
    <w:hidden/>
    <w:uiPriority w:val="99"/>
    <w:semiHidden/>
    <w:rsid w:val="00320D8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285</Words>
  <Characters>1629</Characters>
  <Application>Microsoft Office Word</Application>
  <DocSecurity>0</DocSecurity>
  <Lines>13</Lines>
  <Paragraphs>3</Paragraphs>
  <ScaleCrop>false</ScaleCrop>
  <Company>Kingsoft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徐驿</cp:lastModifiedBy>
  <cp:revision>8</cp:revision>
  <dcterms:created xsi:type="dcterms:W3CDTF">2014-10-29T12:08:00Z</dcterms:created>
  <dcterms:modified xsi:type="dcterms:W3CDTF">2023-03-08T02:48:00Z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6AAC79F7BF464FEFBAAE28450177B0D2</vt:lpwstr>
  </property>
</Properties>
</file>