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华农财产保险股份有限公司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齿科医疗保险B款费率表</w:t>
      </w:r>
    </w:p>
    <w:p>
      <w:pPr>
        <w:numPr>
          <w:ilvl w:val="0"/>
          <w:numId w:val="0"/>
        </w:numPr>
        <w:spacing w:after="156" w:afterLines="50"/>
        <w:rPr>
          <w:rFonts w:hint="eastAsia" w:hAnsi="宋体" w:eastAsiaTheme="minorEastAsia"/>
          <w:b/>
          <w:sz w:val="21"/>
          <w:lang w:eastAsia="zh-CN"/>
        </w:rPr>
      </w:pPr>
    </w:p>
    <w:p>
      <w:pPr>
        <w:numPr>
          <w:ilvl w:val="0"/>
          <w:numId w:val="0"/>
        </w:numPr>
        <w:spacing w:after="156" w:afterLines="50"/>
        <w:rPr>
          <w:rFonts w:hint="eastAsia" w:hAnsi="宋体" w:eastAsia="宋体"/>
          <w:b/>
          <w:sz w:val="21"/>
          <w:lang w:val="en-US" w:eastAsia="zh-CN"/>
        </w:rPr>
      </w:pPr>
      <w:r>
        <w:rPr>
          <w:rFonts w:hint="eastAsia" w:hAnsi="宋体" w:eastAsia="宋体"/>
          <w:b/>
          <w:sz w:val="21"/>
          <w:lang w:val="en-US" w:eastAsia="zh-CN"/>
        </w:rPr>
        <w:t>一、</w:t>
      </w:r>
      <w:r>
        <w:rPr>
          <w:rFonts w:hint="eastAsia" w:hAnsi="宋体" w:eastAsia="宋体"/>
          <w:b/>
          <w:sz w:val="21"/>
        </w:rPr>
        <w:t>基准费率</w:t>
      </w:r>
    </w:p>
    <w:p>
      <w:pPr>
        <w:numPr>
          <w:ilvl w:val="0"/>
          <w:numId w:val="0"/>
        </w:numPr>
        <w:spacing w:after="156" w:afterLines="50"/>
        <w:rPr>
          <w:rFonts w:hint="eastAsia" w:hAnsi="宋体" w:eastAsia="宋体"/>
          <w:b w:val="0"/>
          <w:bCs/>
          <w:sz w:val="21"/>
          <w:lang w:val="en-US" w:eastAsia="zh-CN"/>
        </w:rPr>
      </w:pPr>
      <w:r>
        <w:rPr>
          <w:rFonts w:hint="eastAsia" w:hAnsi="宋体" w:eastAsia="宋体"/>
          <w:b w:val="0"/>
          <w:bCs/>
          <w:sz w:val="21"/>
          <w:lang w:val="en-US" w:eastAsia="zh-CN"/>
        </w:rPr>
        <w:t>1、基准赔付比例：</w:t>
      </w:r>
    </w:p>
    <w:p>
      <w:pPr>
        <w:numPr>
          <w:ilvl w:val="0"/>
          <w:numId w:val="0"/>
        </w:numPr>
        <w:spacing w:after="156" w:afterLines="50"/>
        <w:rPr>
          <w:rFonts w:hint="eastAsia" w:hAnsi="宋体" w:eastAsia="宋体"/>
          <w:b w:val="0"/>
          <w:bCs/>
          <w:sz w:val="21"/>
          <w:lang w:val="en-US" w:eastAsia="zh-CN"/>
        </w:rPr>
      </w:pPr>
      <w:r>
        <w:rPr>
          <w:rFonts w:hint="eastAsia" w:hAnsi="宋体" w:eastAsia="宋体"/>
          <w:b w:val="0"/>
          <w:bCs/>
          <w:sz w:val="21"/>
          <w:lang w:val="en-US" w:eastAsia="zh-CN"/>
        </w:rPr>
        <w:t>①预防保健治疗费用保险金：90%</w:t>
      </w:r>
    </w:p>
    <w:p>
      <w:pPr>
        <w:numPr>
          <w:ilvl w:val="0"/>
          <w:numId w:val="0"/>
        </w:numPr>
        <w:spacing w:after="156" w:afterLines="50"/>
        <w:rPr>
          <w:rFonts w:hint="eastAsia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②</w:t>
      </w:r>
      <w:r>
        <w:rPr>
          <w:rFonts w:hint="eastAsia"/>
          <w:b w:val="0"/>
          <w:bCs/>
          <w:sz w:val="21"/>
          <w:szCs w:val="21"/>
          <w:highlight w:val="none"/>
        </w:rPr>
        <w:t>基本治疗费用保险</w:t>
      </w:r>
      <w:r>
        <w:rPr>
          <w:rFonts w:hint="eastAsia"/>
          <w:b w:val="0"/>
          <w:bCs/>
          <w:sz w:val="21"/>
          <w:szCs w:val="21"/>
          <w:highlight w:val="none"/>
          <w:lang w:val="en-US" w:eastAsia="zh-CN"/>
        </w:rPr>
        <w:t>金：90%</w:t>
      </w:r>
    </w:p>
    <w:p>
      <w:pPr>
        <w:numPr>
          <w:ilvl w:val="0"/>
          <w:numId w:val="0"/>
        </w:numPr>
        <w:spacing w:after="156" w:afterLines="50"/>
        <w:rPr>
          <w:rFonts w:hint="default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/>
          <w:sz w:val="21"/>
          <w:szCs w:val="21"/>
          <w:highlight w:val="none"/>
          <w:lang w:val="en-US" w:eastAsia="zh-CN"/>
        </w:rPr>
        <w:t>③</w:t>
      </w:r>
      <w:r>
        <w:rPr>
          <w:rFonts w:hint="eastAsia"/>
          <w:sz w:val="21"/>
          <w:szCs w:val="21"/>
          <w:highlight w:val="none"/>
        </w:rPr>
        <w:t>复杂治疗费用保险</w:t>
      </w:r>
      <w:r>
        <w:rPr>
          <w:rFonts w:hint="eastAsia"/>
          <w:sz w:val="21"/>
          <w:szCs w:val="21"/>
          <w:highlight w:val="none"/>
          <w:lang w:val="en-US" w:eastAsia="zh-CN"/>
        </w:rPr>
        <w:t>金：90%</w:t>
      </w:r>
    </w:p>
    <w:p>
      <w:pPr>
        <w:numPr>
          <w:ilvl w:val="0"/>
          <w:numId w:val="0"/>
        </w:numPr>
        <w:spacing w:after="156" w:afterLines="5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④</w:t>
      </w:r>
      <w:r>
        <w:rPr>
          <w:rFonts w:hint="eastAsia"/>
          <w:sz w:val="21"/>
          <w:szCs w:val="21"/>
        </w:rPr>
        <w:t>种植牙失败再植医疗保险</w:t>
      </w:r>
      <w:r>
        <w:rPr>
          <w:rFonts w:hint="eastAsia"/>
          <w:sz w:val="21"/>
          <w:szCs w:val="21"/>
          <w:lang w:val="en-US" w:eastAsia="zh-CN"/>
        </w:rPr>
        <w:t>金：90%</w:t>
      </w:r>
    </w:p>
    <w:p>
      <w:pPr>
        <w:numPr>
          <w:ilvl w:val="0"/>
          <w:numId w:val="0"/>
        </w:numPr>
        <w:spacing w:after="156" w:afterLines="50"/>
        <w:rPr>
          <w:rFonts w:hint="eastAsia" w:hAnsi="宋体" w:cs="宋体"/>
          <w:b w:val="0"/>
          <w:bCs/>
          <w:sz w:val="21"/>
          <w:szCs w:val="21"/>
        </w:rPr>
      </w:pP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⑤</w:t>
      </w:r>
      <w:r>
        <w:rPr>
          <w:rFonts w:hint="eastAsia"/>
          <w:sz w:val="21"/>
          <w:szCs w:val="21"/>
        </w:rPr>
        <w:t>意外齿科治疗费用保险</w:t>
      </w:r>
      <w:r>
        <w:rPr>
          <w:rFonts w:hint="eastAsia"/>
          <w:sz w:val="21"/>
          <w:szCs w:val="21"/>
          <w:lang w:val="en-US" w:eastAsia="zh-CN"/>
        </w:rPr>
        <w:t>金：</w:t>
      </w:r>
      <w:r>
        <w:rPr>
          <w:rFonts w:hint="eastAsia" w:hAnsi="宋体" w:cs="宋体"/>
          <w:b w:val="0"/>
          <w:bCs/>
          <w:sz w:val="21"/>
          <w:szCs w:val="21"/>
        </w:rPr>
        <w:t>若被保险人以参加基本医疗保险或公费医疗身份投保，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并</w:t>
      </w:r>
      <w:r>
        <w:rPr>
          <w:rFonts w:hint="eastAsia" w:hAnsi="宋体" w:cs="宋体"/>
          <w:b w:val="0"/>
          <w:bCs/>
          <w:sz w:val="21"/>
          <w:szCs w:val="21"/>
        </w:rPr>
        <w:t>以参加基本医疗保险或公费医疗身份就诊并结算的，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赔付比例为</w:t>
      </w:r>
      <w:r>
        <w:rPr>
          <w:rFonts w:hint="eastAsia"/>
          <w:sz w:val="21"/>
          <w:szCs w:val="21"/>
          <w:lang w:val="en-US" w:eastAsia="zh-CN"/>
        </w:rPr>
        <w:t>90%；</w:t>
      </w:r>
      <w:r>
        <w:rPr>
          <w:rFonts w:hint="eastAsia" w:hAnsi="宋体" w:cs="宋体"/>
          <w:b w:val="0"/>
          <w:bCs/>
          <w:sz w:val="21"/>
          <w:szCs w:val="21"/>
        </w:rPr>
        <w:t>若被保险人以参加基本医疗保险或公费医疗身份投保，但未以参加基本医疗保险或公费医疗身份就诊并结算的，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赔付比例为54%</w:t>
      </w:r>
      <w:r>
        <w:rPr>
          <w:rFonts w:hint="eastAsia" w:hAnsi="宋体" w:cs="宋体"/>
          <w:b w:val="0"/>
          <w:bCs/>
          <w:sz w:val="21"/>
          <w:szCs w:val="21"/>
          <w:lang w:eastAsia="zh-CN"/>
        </w:rPr>
        <w:t>；</w:t>
      </w:r>
      <w:r>
        <w:rPr>
          <w:rFonts w:hint="eastAsia" w:hAnsi="宋体" w:cs="宋体"/>
          <w:b w:val="0"/>
          <w:bCs/>
          <w:sz w:val="21"/>
          <w:szCs w:val="21"/>
        </w:rPr>
        <w:t>若被保险人以参加基本医疗保险或公费医疗身份投保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的</w:t>
      </w:r>
      <w:r>
        <w:rPr>
          <w:rFonts w:hint="eastAsia" w:hAnsi="宋体" w:cs="宋体"/>
          <w:b w:val="0"/>
          <w:bCs/>
          <w:sz w:val="21"/>
          <w:szCs w:val="21"/>
          <w:lang w:eastAsia="zh-CN"/>
        </w:rPr>
        <w:t>，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赔付比例为</w:t>
      </w:r>
      <w:r>
        <w:rPr>
          <w:rFonts w:hint="eastAsia"/>
          <w:sz w:val="21"/>
          <w:szCs w:val="21"/>
          <w:lang w:val="en-US" w:eastAsia="zh-CN"/>
        </w:rPr>
        <w:t>90%。</w:t>
      </w:r>
    </w:p>
    <w:p>
      <w:pPr>
        <w:numPr>
          <w:ilvl w:val="0"/>
          <w:numId w:val="0"/>
        </w:numPr>
        <w:spacing w:after="156" w:afterLines="50"/>
        <w:rPr>
          <w:rFonts w:hint="eastAsia" w:hAnsi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2、基准免赔额：0元</w:t>
      </w:r>
    </w:p>
    <w:p>
      <w:pPr>
        <w:numPr>
          <w:ilvl w:val="0"/>
          <w:numId w:val="0"/>
        </w:numPr>
        <w:spacing w:after="156" w:afterLines="50"/>
        <w:rPr>
          <w:rFonts w:hint="eastAsia" w:hAnsi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3、基准等待期：30天</w:t>
      </w:r>
    </w:p>
    <w:p>
      <w:pPr>
        <w:numPr>
          <w:ilvl w:val="0"/>
          <w:numId w:val="0"/>
        </w:numPr>
        <w:spacing w:after="156" w:afterLines="50"/>
        <w:rPr>
          <w:rFonts w:hint="eastAsia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4、</w:t>
      </w:r>
      <w:r>
        <w:rPr>
          <w:rFonts w:hint="eastAsia"/>
          <w:b w:val="0"/>
          <w:bCs/>
          <w:sz w:val="21"/>
          <w:szCs w:val="21"/>
        </w:rPr>
        <w:t>基准费率</w:t>
      </w:r>
      <w:r>
        <w:rPr>
          <w:rFonts w:hint="eastAsia"/>
          <w:b w:val="0"/>
          <w:bCs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spacing w:after="156" w:afterLines="50"/>
        <w:jc w:val="right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单位：元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eastAsia="宋体" w:cs="Calibri"/>
                <w:b/>
                <w:bCs w:val="0"/>
                <w:sz w:val="21"/>
                <w:szCs w:val="21"/>
              </w:rPr>
              <w:t>保险责任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首次投保或非续保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续保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预防保健治疗费用保险</w:t>
            </w:r>
            <w:r>
              <w:rPr>
                <w:rFonts w:hint="eastAsia" w:hAnsi="宋体" w:cs="宋体"/>
                <w:bCs/>
                <w:sz w:val="21"/>
                <w:szCs w:val="21"/>
                <w:lang w:val="en-US" w:eastAsia="zh-CN"/>
              </w:rPr>
              <w:t>金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6%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6.5%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基本治疗费用保险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金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14%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15.3%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复杂治疗费用保险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金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20%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21.8%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</w:rPr>
              <w:t>种植牙失败再植医疗保险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金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6%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6.5%</w:t>
            </w:r>
          </w:p>
        </w:tc>
      </w:tr>
    </w:tbl>
    <w:p>
      <w:pPr>
        <w:numPr>
          <w:ilvl w:val="0"/>
          <w:numId w:val="0"/>
        </w:numPr>
        <w:spacing w:after="156" w:afterLines="50"/>
        <w:rPr>
          <w:rFonts w:hint="eastAsia" w:hAnsiTheme="minorHAnsi" w:eastAsiaTheme="minorEastAsia" w:cstheme="minorBidi"/>
          <w:b w:val="0"/>
          <w:bCs/>
          <w:sz w:val="21"/>
          <w:szCs w:val="21"/>
          <w:lang w:val="en-US" w:eastAsia="zh-CN"/>
        </w:rPr>
      </w:pPr>
      <w:r>
        <w:rPr>
          <w:rFonts w:hint="eastAsia" w:hAnsi="宋体"/>
          <w:b/>
          <w:sz w:val="21"/>
          <w:lang w:val="en-US" w:eastAsia="zh-CN"/>
        </w:rPr>
        <w:t>注：由于预防保健治疗费用、基本治疗费用、复杂治疗费用、种植牙失败再植医疗保险金为指定医疗机构合作、均为社保范围外项目，因此不区分有无社保身份进行定价。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eastAsia="宋体" w:cs="Calibri"/>
                <w:b/>
                <w:bCs w:val="0"/>
                <w:sz w:val="21"/>
                <w:szCs w:val="21"/>
              </w:rPr>
              <w:t>保险责任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有社保或公费医疗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无社保且无公费医疗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意外齿科治疗费用保险金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1%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after="0" w:afterLines="0"/>
              <w:jc w:val="center"/>
              <w:rPr>
                <w:rFonts w:hint="default" w:hAnsiTheme="minorHAnsi" w:eastAsiaTheme="minor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1.3%</w:t>
            </w:r>
          </w:p>
        </w:tc>
      </w:tr>
    </w:tbl>
    <w:p>
      <w:pPr>
        <w:numPr>
          <w:ilvl w:val="0"/>
          <w:numId w:val="0"/>
        </w:numPr>
        <w:spacing w:after="156" w:afterLines="50"/>
        <w:rPr>
          <w:rFonts w:hint="default" w:hAnsiTheme="minorHAnsi" w:eastAsiaTheme="minorEastAsia" w:cstheme="minorBidi"/>
          <w:b/>
          <w:bCs w:val="0"/>
          <w:sz w:val="21"/>
          <w:szCs w:val="21"/>
          <w:lang w:val="en-US" w:eastAsia="zh-CN"/>
        </w:rPr>
      </w:pPr>
      <w:r>
        <w:rPr>
          <w:rFonts w:hint="eastAsia" w:cstheme="minorBidi"/>
          <w:b/>
          <w:bCs w:val="0"/>
          <w:sz w:val="21"/>
          <w:szCs w:val="21"/>
          <w:lang w:val="en-US" w:eastAsia="zh-CN"/>
        </w:rPr>
        <w:t>注：</w:t>
      </w:r>
      <w:r>
        <w:rPr>
          <w:rFonts w:hint="eastAsia" w:hAnsi="宋体"/>
          <w:b/>
          <w:sz w:val="21"/>
          <w:lang w:val="en-US" w:eastAsia="zh-CN"/>
        </w:rPr>
        <w:t>由于意外齿科治疗费用保险金等待期为0，因此不区分</w:t>
      </w:r>
      <w:r>
        <w:rPr>
          <w:rFonts w:hint="eastAsia"/>
          <w:b/>
          <w:sz w:val="21"/>
          <w:szCs w:val="21"/>
          <w:lang w:val="en-US" w:eastAsia="zh-CN"/>
        </w:rPr>
        <w:t>首次投保或非续保进行定价。</w:t>
      </w:r>
    </w:p>
    <w:p>
      <w:pPr>
        <w:spacing w:after="156" w:afterLines="50"/>
        <w:rPr>
          <w:rFonts w:hint="default" w:hAnsi="宋体"/>
          <w:b/>
          <w:sz w:val="21"/>
          <w:lang w:val="en-US" w:eastAsia="zh-CN"/>
        </w:rPr>
      </w:pPr>
    </w:p>
    <w:p>
      <w:pPr>
        <w:adjustRightInd w:val="0"/>
        <w:snapToGrid w:val="0"/>
        <w:spacing w:after="156" w:afterLines="50"/>
        <w:rPr>
          <w:b/>
          <w:sz w:val="21"/>
        </w:rPr>
      </w:pPr>
      <w:r>
        <w:rPr>
          <w:rFonts w:hint="eastAsia" w:ascii="Times New Roman" w:hAnsi="宋体"/>
          <w:b/>
          <w:sz w:val="21"/>
        </w:rPr>
        <w:t>二、调整系数</w:t>
      </w:r>
    </w:p>
    <w:p>
      <w:pPr>
        <w:adjustRightInd w:val="0"/>
        <w:snapToGrid w:val="0"/>
        <w:spacing w:after="0" w:afterLines="0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1、赔付比例调整系数</w:t>
      </w:r>
      <w:r>
        <w:rPr>
          <w:rFonts w:hint="eastAsia" w:hAnsi="宋体" w:cs="Arial"/>
          <w:kern w:val="2"/>
          <w:sz w:val="21"/>
          <w:szCs w:val="21"/>
          <w:lang w:eastAsia="zh-CN"/>
        </w:rPr>
        <w:t>（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F1</w:t>
      </w:r>
      <w:r>
        <w:rPr>
          <w:rFonts w:hint="eastAsia" w:hAnsi="宋体" w:cs="Arial"/>
          <w:kern w:val="2"/>
          <w:sz w:val="21"/>
          <w:szCs w:val="21"/>
          <w:lang w:eastAsia="zh-CN"/>
        </w:rPr>
        <w:t>）</w:t>
      </w:r>
      <w:r>
        <w:rPr>
          <w:rFonts w:hint="eastAsia" w:hAnsi="宋体" w:cs="Arial"/>
          <w:kern w:val="2"/>
          <w:sz w:val="21"/>
          <w:szCs w:val="21"/>
        </w:rPr>
        <w:t>：根据承保时约定的赔付比例，进行划分。</w:t>
      </w:r>
    </w:p>
    <w:p>
      <w:pPr>
        <w:adjustRightInd w:val="0"/>
        <w:snapToGrid w:val="0"/>
        <w:spacing w:after="0" w:afterLines="0"/>
        <w:rPr>
          <w:rFonts w:hint="default" w:hAnsi="宋体" w:cs="Arial" w:eastAsiaTheme="minorEastAsia"/>
          <w:kern w:val="2"/>
          <w:sz w:val="21"/>
          <w:szCs w:val="21"/>
          <w:lang w:val="en-US" w:eastAsia="zh-CN"/>
        </w:rPr>
      </w:pPr>
      <w:r>
        <w:rPr>
          <w:rFonts w:hint="eastAsia" w:hAnsi="宋体" w:cs="Arial"/>
          <w:kern w:val="2"/>
          <w:sz w:val="21"/>
          <w:szCs w:val="21"/>
          <w:lang w:val="en-US" w:eastAsia="zh-CN"/>
        </w:rPr>
        <w:t>①适用于</w:t>
      </w:r>
      <w:r>
        <w:rPr>
          <w:rFonts w:hint="eastAsia" w:hAnsi="宋体" w:cs="宋体"/>
          <w:bCs/>
          <w:sz w:val="21"/>
          <w:szCs w:val="21"/>
        </w:rPr>
        <w:t>预防保健治疗费用保险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金、</w:t>
      </w:r>
      <w:r>
        <w:rPr>
          <w:rFonts w:hint="eastAsia"/>
          <w:b w:val="0"/>
          <w:bCs/>
          <w:sz w:val="21"/>
          <w:szCs w:val="21"/>
          <w:highlight w:val="none"/>
        </w:rPr>
        <w:t>基本治疗费用保险</w:t>
      </w:r>
      <w:r>
        <w:rPr>
          <w:rFonts w:hint="eastAsia"/>
          <w:b w:val="0"/>
          <w:bCs/>
          <w:sz w:val="21"/>
          <w:szCs w:val="21"/>
          <w:highlight w:val="none"/>
          <w:lang w:val="en-US" w:eastAsia="zh-CN"/>
        </w:rPr>
        <w:t>金、</w:t>
      </w:r>
      <w:r>
        <w:rPr>
          <w:rFonts w:hint="eastAsia"/>
          <w:sz w:val="21"/>
          <w:szCs w:val="21"/>
          <w:highlight w:val="none"/>
        </w:rPr>
        <w:t>复杂治疗费用保险</w:t>
      </w:r>
      <w:r>
        <w:rPr>
          <w:rFonts w:hint="eastAsia"/>
          <w:sz w:val="21"/>
          <w:szCs w:val="21"/>
          <w:highlight w:val="none"/>
          <w:lang w:val="en-US" w:eastAsia="zh-CN"/>
        </w:rPr>
        <w:t>金、</w:t>
      </w:r>
      <w:r>
        <w:rPr>
          <w:rFonts w:hint="eastAsia"/>
          <w:sz w:val="21"/>
          <w:szCs w:val="21"/>
        </w:rPr>
        <w:t>种植牙失败再植医疗保险</w:t>
      </w:r>
      <w:r>
        <w:rPr>
          <w:rFonts w:hint="eastAsia"/>
          <w:sz w:val="21"/>
          <w:szCs w:val="21"/>
          <w:lang w:val="en-US" w:eastAsia="zh-CN"/>
        </w:rPr>
        <w:t>金：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赔付比例</w:t>
            </w:r>
          </w:p>
        </w:tc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90%</w:t>
            </w:r>
          </w:p>
        </w:tc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80%</w:t>
            </w:r>
          </w:p>
        </w:tc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70%</w:t>
            </w:r>
          </w:p>
        </w:tc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60%</w:t>
            </w:r>
          </w:p>
        </w:tc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50%</w:t>
            </w:r>
          </w:p>
        </w:tc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40%</w:t>
            </w:r>
          </w:p>
        </w:tc>
        <w:tc>
          <w:tcPr>
            <w:tcW w:w="4261" w:type="dxa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0.44</w:t>
            </w:r>
          </w:p>
        </w:tc>
      </w:tr>
    </w:tbl>
    <w:p>
      <w:pPr>
        <w:adjustRightInd w:val="0"/>
        <w:snapToGrid w:val="0"/>
        <w:spacing w:after="0" w:afterLines="0"/>
        <w:rPr>
          <w:rFonts w:hint="eastAsia"/>
          <w:sz w:val="21"/>
          <w:szCs w:val="21"/>
          <w:lang w:val="en-US" w:eastAsia="zh-CN"/>
        </w:rPr>
      </w:pPr>
      <w:r>
        <w:rPr>
          <w:rFonts w:hint="eastAsia" w:hAnsi="宋体" w:cs="Arial"/>
          <w:kern w:val="2"/>
          <w:sz w:val="21"/>
          <w:szCs w:val="21"/>
          <w:lang w:val="en-US" w:eastAsia="zh-CN"/>
        </w:rPr>
        <w:t>②适用于</w:t>
      </w:r>
      <w:r>
        <w:rPr>
          <w:rFonts w:hint="eastAsia"/>
          <w:sz w:val="21"/>
          <w:szCs w:val="21"/>
        </w:rPr>
        <w:t>意外齿科治疗费用保险</w:t>
      </w:r>
      <w:r>
        <w:rPr>
          <w:rFonts w:hint="eastAsia"/>
          <w:sz w:val="21"/>
          <w:szCs w:val="21"/>
          <w:lang w:val="en-US" w:eastAsia="zh-CN"/>
        </w:rPr>
        <w:t>金：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</w:rPr>
              <w:t>被保险人以参加基本医疗保险或公费医疗身份投保，</w:t>
            </w: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hAnsi="宋体" w:cs="宋体"/>
                <w:b w:val="0"/>
                <w:bCs/>
                <w:sz w:val="21"/>
                <w:szCs w:val="21"/>
              </w:rPr>
              <w:t>以参加基本医疗保险或公费医疗身份就诊并结算的</w:t>
            </w: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赔付比例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</w:rPr>
              <w:t>被保险人以参加基本医疗保险或公费医疗身份投保，但未以参加基本医疗保险或公费医疗身份就诊并结算的</w:t>
            </w: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赔付比例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</w:rPr>
              <w:t>被保险人以参加基本医疗保险或公费医疗身份投保</w:t>
            </w: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的赔付比例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60%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90%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54%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90%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80%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48%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80%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 w:eastAsiaTheme="minorEastAsia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70%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42%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70%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60%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36%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60%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50%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30%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50%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40%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24%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40%</w:t>
            </w:r>
          </w:p>
        </w:tc>
        <w:tc>
          <w:tcPr>
            <w:tcW w:w="2130" w:type="dxa"/>
            <w:vAlign w:val="center"/>
          </w:tcPr>
          <w:p>
            <w:pPr>
              <w:adjustRightInd w:val="0"/>
              <w:snapToGrid w:val="0"/>
              <w:spacing w:after="0" w:afterLines="0"/>
              <w:jc w:val="center"/>
              <w:rPr>
                <w:rFonts w:hint="default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vertAlign w:val="baseline"/>
                <w:lang w:val="en-US" w:eastAsia="zh-CN"/>
              </w:rPr>
              <w:t>0.44</w:t>
            </w:r>
          </w:p>
        </w:tc>
      </w:tr>
    </w:tbl>
    <w:p>
      <w:pPr>
        <w:adjustRightInd w:val="0"/>
        <w:snapToGrid w:val="0"/>
        <w:spacing w:after="0" w:afterLines="0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adjustRightInd w:val="0"/>
        <w:snapToGrid w:val="0"/>
        <w:spacing w:after="0" w:afterLines="0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免赔额调整系数</w:t>
      </w:r>
      <w:r>
        <w:rPr>
          <w:rFonts w:hint="eastAsia" w:hAnsi="宋体" w:cs="Arial"/>
          <w:kern w:val="2"/>
          <w:sz w:val="21"/>
          <w:szCs w:val="21"/>
          <w:lang w:eastAsia="zh-CN"/>
        </w:rPr>
        <w:t>（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F2</w:t>
      </w:r>
      <w:r>
        <w:rPr>
          <w:rFonts w:hint="eastAsia" w:hAnsi="宋体" w:cs="Arial"/>
          <w:kern w:val="2"/>
          <w:sz w:val="21"/>
          <w:szCs w:val="21"/>
          <w:lang w:eastAsia="zh-CN"/>
        </w:rPr>
        <w:t>）</w:t>
      </w:r>
      <w:r>
        <w:rPr>
          <w:rFonts w:hint="eastAsia" w:hAnsi="宋体" w:cs="Arial"/>
          <w:kern w:val="2"/>
          <w:sz w:val="21"/>
          <w:szCs w:val="21"/>
        </w:rPr>
        <w:t>：根据承保时约定的免赔额，进行划分。</w:t>
      </w:r>
    </w:p>
    <w:tbl>
      <w:tblPr>
        <w:tblStyle w:val="7"/>
        <w:tblW w:w="8319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9"/>
        <w:gridCol w:w="4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免赔额（元）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</w:t>
            </w:r>
            <w:r>
              <w:rPr>
                <w:rStyle w:val="17"/>
                <w:lang w:val="en-US" w:eastAsia="zh-CN" w:bidi="ar"/>
              </w:rPr>
              <w:t>系数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4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（含）-100（含）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[0.9,1.0]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4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100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（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不含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-500（含）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[0.8,0.9）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4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500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（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不含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-1000（含）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[0.7,0.8）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4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1000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（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不含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）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50000</w:t>
            </w:r>
            <w:r>
              <w:rPr>
                <w:rFonts w:hint="eastAsia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（含）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[0.6,0.7)</w:t>
            </w:r>
          </w:p>
        </w:tc>
      </w:tr>
    </w:tbl>
    <w:p>
      <w:pPr>
        <w:widowControl w:val="0"/>
        <w:adjustRightInd w:val="0"/>
        <w:snapToGrid w:val="0"/>
        <w:spacing w:afterLines="0" w:line="240" w:lineRule="auto"/>
        <w:jc w:val="both"/>
        <w:rPr>
          <w:rFonts w:hint="eastAsia" w:hAnsi="宋体" w:cs="Arial"/>
          <w:kern w:val="2"/>
          <w:sz w:val="21"/>
          <w:szCs w:val="21"/>
        </w:rPr>
      </w:pPr>
    </w:p>
    <w:p>
      <w:pPr>
        <w:widowControl w:val="0"/>
        <w:adjustRightInd w:val="0"/>
        <w:snapToGrid w:val="0"/>
        <w:spacing w:afterLines="0" w:line="240" w:lineRule="auto"/>
        <w:jc w:val="both"/>
        <w:rPr>
          <w:rFonts w:hAnsi="宋体" w:eastAsia="宋体" w:cs="Times New Roman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3、</w:t>
      </w:r>
      <w:r>
        <w:rPr>
          <w:rFonts w:hint="eastAsia" w:hAnsi="宋体" w:eastAsia="宋体" w:cs="Times New Roman"/>
          <w:kern w:val="2"/>
          <w:sz w:val="21"/>
          <w:szCs w:val="21"/>
        </w:rPr>
        <w:t>等待期调整系数</w:t>
      </w:r>
      <w:r>
        <w:rPr>
          <w:rFonts w:hint="eastAsia" w:hAnsi="宋体" w:cs="Arial"/>
          <w:kern w:val="2"/>
          <w:sz w:val="21"/>
          <w:szCs w:val="21"/>
          <w:lang w:eastAsia="zh-CN"/>
        </w:rPr>
        <w:t>（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F3</w:t>
      </w:r>
      <w:r>
        <w:rPr>
          <w:rFonts w:hint="eastAsia" w:hAnsi="宋体" w:cs="Arial"/>
          <w:kern w:val="2"/>
          <w:sz w:val="21"/>
          <w:szCs w:val="21"/>
          <w:lang w:eastAsia="zh-CN"/>
        </w:rPr>
        <w:t>）</w:t>
      </w:r>
      <w:r>
        <w:rPr>
          <w:rFonts w:hint="eastAsia" w:hAnsi="宋体" w:eastAsia="宋体" w:cs="Times New Roman"/>
          <w:kern w:val="2"/>
          <w:sz w:val="21"/>
          <w:szCs w:val="21"/>
        </w:rPr>
        <w:t>：按保单约定的等待期天数，进行划分。</w:t>
      </w:r>
    </w:p>
    <w:tbl>
      <w:tblPr>
        <w:tblStyle w:val="7"/>
        <w:tblW w:w="8450" w:type="dxa"/>
        <w:tblInd w:w="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425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0天</w:t>
            </w:r>
          </w:p>
        </w:tc>
        <w:tc>
          <w:tcPr>
            <w:tcW w:w="425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1.</w:t>
            </w:r>
            <w:r>
              <w:rPr>
                <w:rFonts w:hAnsi="宋体" w:eastAsia="宋体" w:cs="Times New Roman"/>
                <w:kern w:val="2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30天</w:t>
            </w:r>
          </w:p>
        </w:tc>
        <w:tc>
          <w:tcPr>
            <w:tcW w:w="425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60天</w:t>
            </w:r>
          </w:p>
        </w:tc>
        <w:tc>
          <w:tcPr>
            <w:tcW w:w="425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90天</w:t>
            </w:r>
          </w:p>
        </w:tc>
        <w:tc>
          <w:tcPr>
            <w:tcW w:w="425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120天</w:t>
            </w:r>
          </w:p>
        </w:tc>
        <w:tc>
          <w:tcPr>
            <w:tcW w:w="425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180天</w:t>
            </w:r>
          </w:p>
        </w:tc>
        <w:tc>
          <w:tcPr>
            <w:tcW w:w="4250" w:type="dxa"/>
          </w:tcPr>
          <w:p>
            <w:pPr>
              <w:widowControl w:val="0"/>
              <w:adjustRightInd w:val="0"/>
              <w:snapToGrid w:val="0"/>
              <w:spacing w:afterLines="0"/>
              <w:jc w:val="center"/>
              <w:rPr>
                <w:rFonts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0.7</w:t>
            </w:r>
          </w:p>
        </w:tc>
      </w:tr>
    </w:tbl>
    <w:p>
      <w:pPr>
        <w:adjustRightInd w:val="0"/>
        <w:snapToGrid w:val="0"/>
        <w:spacing w:after="0" w:afterLines="0"/>
        <w:rPr>
          <w:rFonts w:hint="eastAsia" w:hAnsi="宋体" w:cs="Arial"/>
          <w:kern w:val="2"/>
          <w:sz w:val="21"/>
          <w:szCs w:val="21"/>
          <w:lang w:val="en-US" w:eastAsia="zh-CN"/>
        </w:rPr>
      </w:pPr>
      <w:r>
        <w:rPr>
          <w:rFonts w:hint="eastAsia" w:hAnsi="宋体" w:cs="Arial"/>
          <w:kern w:val="2"/>
          <w:sz w:val="21"/>
          <w:szCs w:val="21"/>
          <w:lang w:val="en-US" w:eastAsia="zh-CN"/>
        </w:rPr>
        <w:t>注：等待期系数仅适用于首次投保或非续保情况。</w:t>
      </w:r>
    </w:p>
    <w:p>
      <w:pPr>
        <w:adjustRightInd w:val="0"/>
        <w:snapToGrid w:val="0"/>
        <w:spacing w:after="0" w:afterLines="0"/>
        <w:rPr>
          <w:rFonts w:hint="default" w:hAnsi="宋体" w:cs="Arial"/>
          <w:kern w:val="2"/>
          <w:sz w:val="21"/>
          <w:szCs w:val="21"/>
          <w:lang w:val="en-US" w:eastAsia="zh-CN"/>
        </w:rPr>
      </w:pPr>
    </w:p>
    <w:p>
      <w:pPr>
        <w:adjustRightInd w:val="0"/>
        <w:snapToGrid w:val="0"/>
        <w:spacing w:after="0" w:afterLines="0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  <w:lang w:val="en-US" w:eastAsia="zh-CN"/>
        </w:rPr>
        <w:t>4、</w:t>
      </w:r>
      <w:r>
        <w:rPr>
          <w:rFonts w:hint="eastAsia" w:hAnsi="宋体" w:cs="Arial"/>
          <w:kern w:val="2"/>
          <w:sz w:val="21"/>
          <w:szCs w:val="21"/>
        </w:rPr>
        <w:t>医疗机构规模调整系数</w:t>
      </w:r>
      <w:r>
        <w:rPr>
          <w:rFonts w:hint="eastAsia" w:hAnsi="宋体" w:cs="Arial"/>
          <w:kern w:val="2"/>
          <w:sz w:val="21"/>
          <w:szCs w:val="21"/>
          <w:lang w:eastAsia="zh-CN"/>
        </w:rPr>
        <w:t>（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F4</w:t>
      </w:r>
      <w:r>
        <w:rPr>
          <w:rFonts w:hint="eastAsia" w:hAnsi="宋体" w:cs="Arial"/>
          <w:kern w:val="2"/>
          <w:sz w:val="21"/>
          <w:szCs w:val="21"/>
          <w:lang w:eastAsia="zh-CN"/>
        </w:rPr>
        <w:t>）</w:t>
      </w:r>
      <w:r>
        <w:rPr>
          <w:rFonts w:hint="eastAsia" w:hAnsi="宋体" w:cs="Arial"/>
          <w:kern w:val="2"/>
          <w:sz w:val="21"/>
          <w:szCs w:val="21"/>
        </w:rPr>
        <w:t>：根据承保时指定的医疗机构规模，进行划分。</w:t>
      </w:r>
    </w:p>
    <w:tbl>
      <w:tblPr>
        <w:tblStyle w:val="8"/>
        <w:tblW w:w="8450" w:type="dxa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0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医疗机构规模</w:t>
            </w:r>
          </w:p>
        </w:tc>
        <w:tc>
          <w:tcPr>
            <w:tcW w:w="423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全国知名连锁医疗机构</w:t>
            </w:r>
          </w:p>
        </w:tc>
        <w:tc>
          <w:tcPr>
            <w:tcW w:w="423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[</w:t>
            </w:r>
            <w:r>
              <w:rPr>
                <w:rFonts w:hint="eastAsia"/>
                <w:sz w:val="21"/>
                <w:szCs w:val="21"/>
              </w:rPr>
              <w:t>0.6</w:t>
            </w:r>
            <w:r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1.0</w:t>
            </w:r>
            <w:r>
              <w:rPr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地方性知名连锁医疗机构</w:t>
            </w:r>
          </w:p>
        </w:tc>
        <w:tc>
          <w:tcPr>
            <w:tcW w:w="423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[</w:t>
            </w:r>
            <w:r>
              <w:rPr>
                <w:rFonts w:hint="eastAsia"/>
                <w:sz w:val="21"/>
                <w:szCs w:val="21"/>
              </w:rPr>
              <w:t>0.8</w:t>
            </w:r>
            <w:r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1.1</w:t>
            </w:r>
            <w:r>
              <w:rPr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城区普通医疗机构</w:t>
            </w:r>
          </w:p>
        </w:tc>
        <w:tc>
          <w:tcPr>
            <w:tcW w:w="423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[</w:t>
            </w:r>
            <w:r>
              <w:rPr>
                <w:rFonts w:hint="eastAsia"/>
                <w:sz w:val="21"/>
                <w:szCs w:val="21"/>
              </w:rPr>
              <w:t>1.0</w:t>
            </w:r>
            <w:r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1.2</w:t>
            </w:r>
            <w:r>
              <w:rPr>
                <w:sz w:val="21"/>
                <w:szCs w:val="21"/>
              </w:rPr>
              <w:t>]</w:t>
            </w:r>
          </w:p>
        </w:tc>
      </w:tr>
    </w:tbl>
    <w:p>
      <w:pPr>
        <w:numPr>
          <w:ilvl w:val="-1"/>
          <w:numId w:val="0"/>
        </w:numPr>
        <w:adjustRightInd w:val="0"/>
        <w:snapToGrid w:val="0"/>
        <w:spacing w:after="0" w:afterLines="0"/>
        <w:rPr>
          <w:rFonts w:hint="eastAsia" w:hAnsi="宋体" w:cs="Arial"/>
          <w:kern w:val="2"/>
          <w:sz w:val="21"/>
          <w:szCs w:val="21"/>
          <w:lang w:val="en-US" w:eastAsia="zh-CN"/>
        </w:rPr>
      </w:pPr>
    </w:p>
    <w:p>
      <w:pPr>
        <w:numPr>
          <w:ilvl w:val="-1"/>
          <w:numId w:val="0"/>
        </w:numPr>
        <w:adjustRightInd w:val="0"/>
        <w:snapToGrid w:val="0"/>
        <w:spacing w:after="0" w:afterLines="0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  <w:lang w:val="en-US" w:eastAsia="zh-CN"/>
        </w:rPr>
        <w:t>5、</w:t>
      </w:r>
      <w:r>
        <w:rPr>
          <w:rFonts w:hint="eastAsia" w:hAnsi="宋体" w:cs="Arial"/>
          <w:kern w:val="2"/>
          <w:sz w:val="21"/>
          <w:szCs w:val="21"/>
          <w:lang w:eastAsia="zh-CN"/>
        </w:rPr>
        <w:t>经验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/预期</w:t>
      </w:r>
      <w:r>
        <w:rPr>
          <w:rFonts w:hint="eastAsia" w:hAnsi="宋体" w:cs="Arial"/>
          <w:kern w:val="2"/>
          <w:sz w:val="21"/>
          <w:szCs w:val="21"/>
        </w:rPr>
        <w:t>赔付率调整系数</w:t>
      </w:r>
      <w:r>
        <w:rPr>
          <w:rFonts w:hint="eastAsia" w:hAnsi="宋体" w:cs="Arial"/>
          <w:kern w:val="2"/>
          <w:sz w:val="21"/>
          <w:szCs w:val="21"/>
          <w:lang w:eastAsia="zh-CN"/>
        </w:rPr>
        <w:t>（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F5</w:t>
      </w:r>
      <w:r>
        <w:rPr>
          <w:rFonts w:hint="eastAsia" w:hAnsi="宋体" w:cs="Arial"/>
          <w:kern w:val="2"/>
          <w:sz w:val="21"/>
          <w:szCs w:val="21"/>
          <w:lang w:eastAsia="zh-CN"/>
        </w:rPr>
        <w:t>）</w:t>
      </w:r>
      <w:r>
        <w:rPr>
          <w:rFonts w:hint="eastAsia" w:hAnsi="宋体" w:cs="Arial"/>
          <w:kern w:val="2"/>
          <w:sz w:val="21"/>
          <w:szCs w:val="21"/>
        </w:rPr>
        <w:t>：根据</w:t>
      </w:r>
      <w:r>
        <w:rPr>
          <w:rFonts w:hint="eastAsia" w:hAnsi="宋体" w:cs="宋体"/>
          <w:kern w:val="2"/>
          <w:sz w:val="21"/>
          <w:szCs w:val="21"/>
          <w:lang w:eastAsia="zh-CN"/>
        </w:rPr>
        <w:t>经验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/预期</w:t>
      </w:r>
      <w:r>
        <w:rPr>
          <w:rFonts w:hint="eastAsia" w:hAnsi="宋体" w:cs="Arial"/>
          <w:kern w:val="2"/>
          <w:sz w:val="21"/>
          <w:szCs w:val="21"/>
        </w:rPr>
        <w:t>赔付情况，进行划分。</w:t>
      </w:r>
    </w:p>
    <w:tbl>
      <w:tblPr>
        <w:tblStyle w:val="7"/>
        <w:tblW w:w="8450" w:type="dxa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0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2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lang w:eastAsia="zh-CN"/>
              </w:rPr>
              <w:t>经验</w:t>
            </w:r>
            <w:r>
              <w:rPr>
                <w:rFonts w:hint="eastAsia" w:hAnsi="宋体" w:cs="Arial"/>
                <w:kern w:val="2"/>
                <w:sz w:val="21"/>
                <w:szCs w:val="21"/>
                <w:lang w:val="en-US" w:eastAsia="zh-CN"/>
              </w:rPr>
              <w:t>/预期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赔付率</w:t>
            </w:r>
          </w:p>
        </w:tc>
        <w:tc>
          <w:tcPr>
            <w:tcW w:w="423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0%（含）—</w:t>
            </w:r>
            <w:r>
              <w:rPr>
                <w:rFonts w:hint="eastAsia" w:hAnsi="宋体" w:cs="Arial"/>
                <w:kern w:val="2"/>
                <w:sz w:val="21"/>
                <w:szCs w:val="21"/>
                <w:lang w:val="en-US" w:eastAsia="zh-CN"/>
              </w:rPr>
              <w:t>65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%</w:t>
            </w:r>
          </w:p>
        </w:tc>
        <w:tc>
          <w:tcPr>
            <w:tcW w:w="423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Ansi="宋体" w:cs="Arial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kern w:val="2"/>
                <w:sz w:val="21"/>
                <w:szCs w:val="21"/>
                <w:lang w:val="en-US" w:eastAsia="zh-CN"/>
              </w:rPr>
              <w:t>0.7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kern w:val="2"/>
                <w:sz w:val="21"/>
                <w:szCs w:val="21"/>
                <w:lang w:val="en-US" w:eastAsia="zh-CN"/>
              </w:rPr>
              <w:t>1.0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  <w:lang w:val="en-US" w:eastAsia="zh-CN"/>
              </w:rPr>
              <w:t>65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%（含）以上</w:t>
            </w:r>
          </w:p>
        </w:tc>
        <w:tc>
          <w:tcPr>
            <w:tcW w:w="423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kern w:val="2"/>
                <w:sz w:val="21"/>
                <w:szCs w:val="21"/>
                <w:lang w:val="en-US" w:eastAsia="zh-CN"/>
              </w:rPr>
              <w:t>1.0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kern w:val="2"/>
                <w:sz w:val="21"/>
                <w:szCs w:val="21"/>
                <w:lang w:val="en-US" w:eastAsia="zh-CN"/>
              </w:rPr>
              <w:t>1.3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]</w:t>
            </w:r>
          </w:p>
        </w:tc>
      </w:tr>
    </w:tbl>
    <w:p>
      <w:pPr>
        <w:numPr>
          <w:ilvl w:val="-1"/>
          <w:numId w:val="0"/>
        </w:numPr>
        <w:adjustRightInd w:val="0"/>
        <w:snapToGrid w:val="0"/>
        <w:spacing w:after="0" w:afterLines="0"/>
      </w:pPr>
    </w:p>
    <w:p>
      <w:pPr>
        <w:numPr>
          <w:ilvl w:val="-1"/>
          <w:numId w:val="0"/>
        </w:numPr>
        <w:adjustRightInd w:val="0"/>
        <w:snapToGrid w:val="0"/>
        <w:spacing w:after="0" w:afterLines="0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  <w:lang w:val="en-US" w:eastAsia="zh-CN"/>
        </w:rPr>
        <w:t>6、渠道调整系数（F6）：按销售渠道，进行划分</w:t>
      </w:r>
      <w:r>
        <w:rPr>
          <w:rFonts w:hint="eastAsia" w:hAnsi="宋体" w:cs="Arial"/>
          <w:kern w:val="2"/>
          <w:sz w:val="21"/>
          <w:szCs w:val="21"/>
        </w:rPr>
        <w:t>。</w:t>
      </w:r>
      <w:bookmarkStart w:id="0" w:name="_GoBack"/>
      <w:bookmarkEnd w:id="0"/>
    </w:p>
    <w:tbl>
      <w:tblPr>
        <w:tblStyle w:val="7"/>
        <w:tblW w:w="8420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4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1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rFonts w:ascii="宋体" w:hAnsi="宋体" w:eastAsia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 w:val="21"/>
                <w:szCs w:val="21"/>
              </w:rPr>
              <w:t>渠道类型</w:t>
            </w:r>
          </w:p>
        </w:tc>
        <w:tc>
          <w:tcPr>
            <w:tcW w:w="4210" w:type="dxa"/>
          </w:tcPr>
          <w:p>
            <w:pPr>
              <w:adjustRightInd w:val="0"/>
              <w:snapToGrid w:val="0"/>
              <w:spacing w:afterLines="0"/>
              <w:jc w:val="center"/>
              <w:rPr>
                <w:rFonts w:ascii="宋体" w:hAnsi="宋体" w:eastAsia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421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ascii="宋体" w:hAnsi="宋体" w:eastAsia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 w:val="21"/>
                <w:szCs w:val="21"/>
              </w:rPr>
              <w:t>直销（或销售费用率等同直销的渠道）</w:t>
            </w:r>
          </w:p>
        </w:tc>
        <w:tc>
          <w:tcPr>
            <w:tcW w:w="421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ascii="宋体" w:hAnsi="宋体" w:eastAsia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 w:val="21"/>
                <w:szCs w:val="21"/>
              </w:rPr>
              <w:t>[0.7,1.0]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21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ascii="宋体" w:hAnsi="宋体" w:eastAsia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 w:val="21"/>
                <w:szCs w:val="21"/>
              </w:rPr>
              <w:t>其他第三方渠道</w:t>
            </w:r>
          </w:p>
        </w:tc>
        <w:tc>
          <w:tcPr>
            <w:tcW w:w="4210" w:type="dxa"/>
            <w:vAlign w:val="center"/>
          </w:tcPr>
          <w:p>
            <w:pPr>
              <w:adjustRightInd w:val="0"/>
              <w:snapToGrid w:val="0"/>
              <w:spacing w:afterLines="0"/>
              <w:jc w:val="center"/>
              <w:rPr>
                <w:rFonts w:ascii="宋体" w:hAnsi="宋体" w:eastAsia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 w:val="21"/>
                <w:szCs w:val="21"/>
              </w:rPr>
              <w:t>[0.8,1.</w:t>
            </w:r>
            <w:r>
              <w:rPr>
                <w:rFonts w:hint="eastAsia" w:ascii="宋体" w:hAnsi="宋体" w:eastAsia="PMingLiU" w:cs="Arial"/>
                <w:bCs/>
                <w:color w:val="000000"/>
                <w:sz w:val="21"/>
                <w:szCs w:val="21"/>
                <w:lang w:eastAsia="zh-TW"/>
              </w:rPr>
              <w:t>3</w:t>
            </w:r>
            <w:r>
              <w:rPr>
                <w:rFonts w:hint="eastAsia" w:ascii="宋体" w:hAnsi="宋体" w:eastAsia="宋体" w:cs="Arial"/>
                <w:bCs/>
                <w:color w:val="000000"/>
                <w:sz w:val="21"/>
                <w:szCs w:val="21"/>
              </w:rPr>
              <w:t>]</w:t>
            </w:r>
          </w:p>
        </w:tc>
      </w:tr>
    </w:tbl>
    <w:p>
      <w:pPr>
        <w:pStyle w:val="18"/>
        <w:spacing w:after="156" w:afterLines="50" w:line="360" w:lineRule="auto"/>
      </w:pPr>
      <w:r>
        <w:rPr>
          <w:rFonts w:hint="eastAsia" w:ascii="宋体" w:hAnsi="宋体" w:eastAsia="宋体" w:cs="Arial"/>
          <w:bCs/>
          <w:color w:val="000000"/>
          <w:szCs w:val="21"/>
        </w:rPr>
        <w:t>注：根据渠道销售成本调整。</w:t>
      </w:r>
    </w:p>
    <w:p>
      <w:pPr>
        <w:spacing w:line="312" w:lineRule="auto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Arial"/>
          <w:b/>
          <w:kern w:val="2"/>
          <w:sz w:val="21"/>
          <w:szCs w:val="21"/>
        </w:rPr>
        <w:t>三、保险费计算</w:t>
      </w:r>
    </w:p>
    <w:p>
      <w:pPr>
        <w:spacing w:after="156" w:afterLines="50"/>
        <w:ind w:firstLine="411" w:firstLineChars="196"/>
        <w:rPr>
          <w:rFonts w:hint="default" w:hAnsi="宋体" w:cs="Arial" w:eastAsiaTheme="minorEastAsia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</w:rPr>
        <w:t>预防保健治疗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费用保险费=</w:t>
      </w:r>
      <w:r>
        <w:rPr>
          <w:rFonts w:hint="eastAsia" w:hAnsi="宋体" w:cs="宋体"/>
          <w:bCs/>
          <w:sz w:val="21"/>
          <w:szCs w:val="21"/>
        </w:rPr>
        <w:t>预防保健治疗费用保险金额</w:t>
      </w:r>
      <w:r>
        <w:rPr>
          <w:rFonts w:hint="eastAsia" w:hAnsi="宋体" w:cs="Arial"/>
          <w:kern w:val="2"/>
          <w:sz w:val="21"/>
          <w:szCs w:val="21"/>
        </w:rPr>
        <w:t>×预防保健治疗费用基准费率×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F1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F2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F3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F4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F5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F6</w:t>
      </w:r>
    </w:p>
    <w:p>
      <w:pPr>
        <w:spacing w:after="156" w:afterLines="50"/>
        <w:ind w:firstLine="411" w:firstLineChars="196"/>
        <w:rPr>
          <w:rFonts w:hAnsi="宋体" w:cs="Arial"/>
          <w:kern w:val="2"/>
          <w:sz w:val="21"/>
          <w:szCs w:val="21"/>
        </w:rPr>
      </w:pPr>
      <w:r>
        <w:rPr>
          <w:rFonts w:hint="eastAsia"/>
          <w:sz w:val="21"/>
          <w:szCs w:val="21"/>
        </w:rPr>
        <w:t>基本治疗费用</w:t>
      </w:r>
      <w:r>
        <w:rPr>
          <w:rFonts w:hint="eastAsia"/>
          <w:sz w:val="21"/>
          <w:szCs w:val="21"/>
          <w:lang w:val="en-US" w:eastAsia="zh-CN"/>
        </w:rPr>
        <w:t>保险费=</w:t>
      </w:r>
      <w:r>
        <w:rPr>
          <w:rFonts w:hint="eastAsia" w:eastAsia="宋体"/>
          <w:sz w:val="21"/>
          <w:szCs w:val="21"/>
        </w:rPr>
        <w:t>基本治疗费用</w:t>
      </w:r>
      <w:r>
        <w:rPr>
          <w:rFonts w:hint="eastAsia" w:hAnsi="宋体" w:cs="Arial"/>
          <w:kern w:val="2"/>
          <w:sz w:val="21"/>
          <w:szCs w:val="21"/>
        </w:rPr>
        <w:t>保险金额×</w:t>
      </w:r>
      <w:r>
        <w:rPr>
          <w:rFonts w:hint="eastAsia" w:eastAsia="宋体"/>
          <w:sz w:val="21"/>
          <w:szCs w:val="21"/>
        </w:rPr>
        <w:t>基本治疗费用</w:t>
      </w:r>
      <w:r>
        <w:rPr>
          <w:rFonts w:hint="eastAsia" w:hAnsi="宋体" w:cs="Arial"/>
          <w:kern w:val="2"/>
          <w:sz w:val="21"/>
          <w:szCs w:val="21"/>
        </w:rPr>
        <w:t>基准费率×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F1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F2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F3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F4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F5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F6</w:t>
      </w:r>
    </w:p>
    <w:p>
      <w:pPr>
        <w:spacing w:after="156" w:afterLines="50"/>
        <w:ind w:firstLine="411" w:firstLineChars="196"/>
        <w:rPr>
          <w:rFonts w:hAnsi="宋体" w:cs="Arial"/>
          <w:kern w:val="2"/>
          <w:sz w:val="21"/>
          <w:szCs w:val="21"/>
        </w:rPr>
      </w:pPr>
      <w:r>
        <w:rPr>
          <w:rFonts w:hint="eastAsia"/>
          <w:sz w:val="21"/>
          <w:szCs w:val="21"/>
        </w:rPr>
        <w:t>复杂治疗费</w:t>
      </w:r>
      <w:r>
        <w:rPr>
          <w:rFonts w:hint="eastAsia"/>
          <w:sz w:val="21"/>
          <w:szCs w:val="21"/>
          <w:lang w:val="en-US" w:eastAsia="zh-CN"/>
        </w:rPr>
        <w:t>用保险费=</w:t>
      </w:r>
      <w:r>
        <w:rPr>
          <w:rFonts w:hint="eastAsia" w:eastAsia="宋体"/>
          <w:sz w:val="21"/>
          <w:szCs w:val="21"/>
        </w:rPr>
        <w:t>复杂治疗费用</w:t>
      </w:r>
      <w:r>
        <w:rPr>
          <w:rFonts w:hint="eastAsia" w:hAnsi="宋体" w:cs="Arial"/>
          <w:kern w:val="2"/>
          <w:sz w:val="21"/>
          <w:szCs w:val="21"/>
        </w:rPr>
        <w:t>保险金额×复杂</w:t>
      </w:r>
      <w:r>
        <w:rPr>
          <w:rFonts w:hint="eastAsia" w:eastAsia="宋体"/>
          <w:sz w:val="21"/>
          <w:szCs w:val="21"/>
        </w:rPr>
        <w:t>治疗费用</w:t>
      </w:r>
      <w:r>
        <w:rPr>
          <w:rFonts w:hint="eastAsia" w:hAnsi="宋体" w:cs="Arial"/>
          <w:kern w:val="2"/>
          <w:sz w:val="21"/>
          <w:szCs w:val="21"/>
        </w:rPr>
        <w:t>基准费率×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F1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F2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F3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F4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F5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F6</w:t>
      </w:r>
    </w:p>
    <w:p>
      <w:pPr>
        <w:spacing w:after="156" w:afterLines="50"/>
        <w:ind w:firstLine="411" w:firstLineChars="196"/>
        <w:rPr>
          <w:rFonts w:hint="eastAsia" w:hAnsi="宋体" w:cs="Arial"/>
          <w:kern w:val="2"/>
          <w:sz w:val="21"/>
          <w:szCs w:val="21"/>
        </w:rPr>
      </w:pPr>
      <w:r>
        <w:rPr>
          <w:rFonts w:hint="eastAsia"/>
          <w:sz w:val="21"/>
          <w:szCs w:val="21"/>
        </w:rPr>
        <w:t>种植牙失败再植医疗</w:t>
      </w:r>
      <w:r>
        <w:rPr>
          <w:rFonts w:hint="eastAsia"/>
          <w:sz w:val="21"/>
          <w:szCs w:val="21"/>
          <w:lang w:val="en-US" w:eastAsia="zh-CN"/>
        </w:rPr>
        <w:t>费用保险费=</w:t>
      </w:r>
      <w:r>
        <w:rPr>
          <w:rFonts w:hint="eastAsia" w:hAnsi="宋体" w:cs="Arial"/>
          <w:kern w:val="2"/>
          <w:sz w:val="21"/>
          <w:szCs w:val="21"/>
        </w:rPr>
        <w:t>种植牙失败再植医疗保险金额×种植牙失败再植医疗基准费率×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F1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F2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F3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F4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F5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F6</w:t>
      </w:r>
    </w:p>
    <w:p>
      <w:pPr>
        <w:spacing w:after="156" w:afterLines="50"/>
        <w:ind w:firstLine="411" w:firstLineChars="196"/>
        <w:rPr>
          <w:rFonts w:hint="default" w:hAnsi="宋体" w:cs="Arial"/>
          <w:kern w:val="2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意外齿科治疗费用</w:t>
      </w:r>
      <w:r>
        <w:rPr>
          <w:rFonts w:hint="eastAsia"/>
          <w:sz w:val="21"/>
          <w:szCs w:val="21"/>
          <w:lang w:val="en-US" w:eastAsia="zh-CN"/>
        </w:rPr>
        <w:t>保险费=</w:t>
      </w:r>
      <w:r>
        <w:rPr>
          <w:rFonts w:hint="eastAsia" w:eastAsia="宋体"/>
          <w:sz w:val="21"/>
          <w:szCs w:val="21"/>
        </w:rPr>
        <w:t>意外齿科治疗费用</w:t>
      </w:r>
      <w:r>
        <w:rPr>
          <w:rFonts w:hint="eastAsia" w:hAnsi="宋体" w:cs="Arial"/>
          <w:kern w:val="2"/>
          <w:sz w:val="21"/>
          <w:szCs w:val="21"/>
        </w:rPr>
        <w:t>保险金额×</w:t>
      </w:r>
      <w:r>
        <w:rPr>
          <w:rFonts w:hint="eastAsia" w:eastAsia="宋体"/>
          <w:sz w:val="21"/>
          <w:szCs w:val="21"/>
        </w:rPr>
        <w:t>意外齿科治疗费用</w:t>
      </w:r>
      <w:r>
        <w:rPr>
          <w:rFonts w:hint="eastAsia" w:hAnsi="宋体" w:cs="Arial"/>
          <w:kern w:val="2"/>
          <w:sz w:val="21"/>
          <w:szCs w:val="21"/>
        </w:rPr>
        <w:t>基准费率×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F1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F2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F3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F4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F5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  <w:lang w:val="en-US" w:eastAsia="zh-CN"/>
        </w:rPr>
        <w:t>F6</w:t>
      </w:r>
    </w:p>
    <w:p>
      <w:pPr>
        <w:spacing w:after="156" w:afterLines="50"/>
        <w:ind w:firstLine="420" w:firstLineChars="200"/>
        <w:jc w:val="both"/>
        <w:rPr>
          <w:rFonts w:hAnsi="宋体" w:cs="Arial"/>
          <w:kern w:val="2"/>
          <w:sz w:val="21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1"/>
          <w:lang w:bidi="ar"/>
        </w:rPr>
        <w:t>总年保险费</w:t>
      </w:r>
      <w:r>
        <w:rPr>
          <w:rFonts w:hint="eastAsia"/>
          <w:sz w:val="21"/>
          <w:szCs w:val="21"/>
          <w:lang w:val="en-US" w:eastAsia="zh-CN"/>
        </w:rPr>
        <w:t>=</w:t>
      </w:r>
      <w:r>
        <w:rPr>
          <w:rFonts w:hint="eastAsia" w:hAnsi="宋体" w:cs="宋体"/>
          <w:bCs/>
          <w:sz w:val="21"/>
          <w:szCs w:val="21"/>
        </w:rPr>
        <w:t>预防保健治疗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费用保险费+</w:t>
      </w:r>
      <w:r>
        <w:rPr>
          <w:rFonts w:hint="eastAsia"/>
          <w:sz w:val="21"/>
          <w:szCs w:val="21"/>
        </w:rPr>
        <w:t>基本治疗费用</w:t>
      </w:r>
      <w:r>
        <w:rPr>
          <w:rFonts w:hint="eastAsia"/>
          <w:sz w:val="21"/>
          <w:szCs w:val="21"/>
          <w:lang w:val="en-US" w:eastAsia="zh-CN"/>
        </w:rPr>
        <w:t>保险费+</w:t>
      </w:r>
      <w:r>
        <w:rPr>
          <w:rFonts w:hint="eastAsia"/>
          <w:sz w:val="21"/>
          <w:szCs w:val="21"/>
        </w:rPr>
        <w:t>复杂治疗费</w:t>
      </w:r>
      <w:r>
        <w:rPr>
          <w:rFonts w:hint="eastAsia"/>
          <w:sz w:val="21"/>
          <w:szCs w:val="21"/>
          <w:lang w:val="en-US" w:eastAsia="zh-CN"/>
        </w:rPr>
        <w:t>用保险费+</w:t>
      </w:r>
      <w:r>
        <w:rPr>
          <w:rFonts w:hint="eastAsia"/>
          <w:sz w:val="21"/>
          <w:szCs w:val="21"/>
        </w:rPr>
        <w:t>意外齿科治疗费用</w:t>
      </w:r>
      <w:r>
        <w:rPr>
          <w:rFonts w:hint="eastAsia"/>
          <w:sz w:val="21"/>
          <w:szCs w:val="21"/>
          <w:lang w:val="en-US" w:eastAsia="zh-CN"/>
        </w:rPr>
        <w:t>保险费+</w:t>
      </w:r>
      <w:r>
        <w:rPr>
          <w:rFonts w:hint="eastAsia"/>
          <w:sz w:val="21"/>
          <w:szCs w:val="21"/>
        </w:rPr>
        <w:t>种植牙失败再植医疗</w:t>
      </w:r>
      <w:r>
        <w:rPr>
          <w:rFonts w:hint="eastAsia"/>
          <w:sz w:val="21"/>
          <w:szCs w:val="21"/>
          <w:lang w:val="en-US" w:eastAsia="zh-CN"/>
        </w:rPr>
        <w:t>费用保险费</w:t>
      </w:r>
    </w:p>
    <w:p>
      <w:pPr>
        <w:spacing w:after="156" w:afterLines="50"/>
        <w:rPr>
          <w:b/>
          <w:sz w:val="21"/>
        </w:rPr>
      </w:pPr>
      <w:r>
        <w:rPr>
          <w:rFonts w:hint="eastAsia" w:ascii="Times New Roman" w:hAnsi="宋体"/>
          <w:b/>
          <w:sz w:val="21"/>
        </w:rPr>
        <w:t>四、短期费率表</w:t>
      </w:r>
    </w:p>
    <w:p>
      <w:pPr>
        <w:spacing w:after="156" w:afterLines="50"/>
        <w:ind w:firstLine="470" w:firstLineChars="224"/>
        <w:rPr>
          <w:sz w:val="21"/>
        </w:rPr>
      </w:pPr>
      <w:r>
        <w:rPr>
          <w:rFonts w:hint="eastAsia" w:ascii="Times New Roman" w:hAnsi="宋体"/>
          <w:sz w:val="21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十一个月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十</w:t>
            </w:r>
          </w:p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二</w:t>
            </w:r>
          </w:p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个</w:t>
            </w:r>
          </w:p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年保险费的百分比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95%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after="120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</w:tr>
    </w:tbl>
    <w:p>
      <w:pPr>
        <w:spacing w:after="156" w:afterLines="50"/>
        <w:rPr>
          <w:rFonts w:hAnsi="宋体"/>
          <w:b/>
          <w:sz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2CAFCD"/>
    <w:multiLevelType w:val="singleLevel"/>
    <w:tmpl w:val="B22CAFC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DNhZmI4YWY4ZmYzMmUwNTU4NzQ2MTJhZGM5MGYifQ=="/>
  </w:docVars>
  <w:rsids>
    <w:rsidRoot w:val="73983115"/>
    <w:rsid w:val="0003731A"/>
    <w:rsid w:val="00102B0C"/>
    <w:rsid w:val="00135B37"/>
    <w:rsid w:val="00191A70"/>
    <w:rsid w:val="002809AB"/>
    <w:rsid w:val="00294EB7"/>
    <w:rsid w:val="003B2D23"/>
    <w:rsid w:val="003C75A4"/>
    <w:rsid w:val="00506010"/>
    <w:rsid w:val="0052679B"/>
    <w:rsid w:val="00563E75"/>
    <w:rsid w:val="0077462A"/>
    <w:rsid w:val="007D208E"/>
    <w:rsid w:val="00825EB4"/>
    <w:rsid w:val="00826941"/>
    <w:rsid w:val="00861877"/>
    <w:rsid w:val="00870BB1"/>
    <w:rsid w:val="00873179"/>
    <w:rsid w:val="009334AE"/>
    <w:rsid w:val="00996697"/>
    <w:rsid w:val="00996DC3"/>
    <w:rsid w:val="00B45190"/>
    <w:rsid w:val="00B45B92"/>
    <w:rsid w:val="00B87D58"/>
    <w:rsid w:val="00C211E2"/>
    <w:rsid w:val="00C233A2"/>
    <w:rsid w:val="00C630BF"/>
    <w:rsid w:val="00C63212"/>
    <w:rsid w:val="00CA298E"/>
    <w:rsid w:val="00CD6329"/>
    <w:rsid w:val="00CF2B8E"/>
    <w:rsid w:val="00D11CF6"/>
    <w:rsid w:val="00D70FC1"/>
    <w:rsid w:val="00D802B1"/>
    <w:rsid w:val="00DA1F32"/>
    <w:rsid w:val="00E1447D"/>
    <w:rsid w:val="00EB7793"/>
    <w:rsid w:val="00EE1F7E"/>
    <w:rsid w:val="023547CF"/>
    <w:rsid w:val="024C2C78"/>
    <w:rsid w:val="02BD0CB9"/>
    <w:rsid w:val="069B27F9"/>
    <w:rsid w:val="06DC73F4"/>
    <w:rsid w:val="07AA52BB"/>
    <w:rsid w:val="0CB76E4C"/>
    <w:rsid w:val="0E0841ED"/>
    <w:rsid w:val="0EDB2B85"/>
    <w:rsid w:val="13CB6B98"/>
    <w:rsid w:val="15E515C3"/>
    <w:rsid w:val="162551C6"/>
    <w:rsid w:val="16261B7F"/>
    <w:rsid w:val="16D54C72"/>
    <w:rsid w:val="18D7750A"/>
    <w:rsid w:val="1B3515A0"/>
    <w:rsid w:val="1BC74026"/>
    <w:rsid w:val="1E74682B"/>
    <w:rsid w:val="22AA0AE0"/>
    <w:rsid w:val="243313F3"/>
    <w:rsid w:val="2AA812A3"/>
    <w:rsid w:val="2CCF76F1"/>
    <w:rsid w:val="2EC03D69"/>
    <w:rsid w:val="2EEA42CE"/>
    <w:rsid w:val="31B33E22"/>
    <w:rsid w:val="35E86126"/>
    <w:rsid w:val="3656754F"/>
    <w:rsid w:val="39A00E9C"/>
    <w:rsid w:val="3BE871D6"/>
    <w:rsid w:val="3C8E3E9D"/>
    <w:rsid w:val="435D635D"/>
    <w:rsid w:val="43A92245"/>
    <w:rsid w:val="454F4F13"/>
    <w:rsid w:val="45A925F3"/>
    <w:rsid w:val="489118C8"/>
    <w:rsid w:val="4A831A0F"/>
    <w:rsid w:val="4C230A28"/>
    <w:rsid w:val="4EC83CD1"/>
    <w:rsid w:val="555D1B7C"/>
    <w:rsid w:val="579B35E0"/>
    <w:rsid w:val="5801245E"/>
    <w:rsid w:val="5B041023"/>
    <w:rsid w:val="5B51321A"/>
    <w:rsid w:val="5BDC4A1D"/>
    <w:rsid w:val="5F4F051D"/>
    <w:rsid w:val="61693FAB"/>
    <w:rsid w:val="64A61C7E"/>
    <w:rsid w:val="662057F3"/>
    <w:rsid w:val="690E03C7"/>
    <w:rsid w:val="69146E34"/>
    <w:rsid w:val="6C772B8B"/>
    <w:rsid w:val="6D8D6D8C"/>
    <w:rsid w:val="6E1A7A5F"/>
    <w:rsid w:val="71934F0D"/>
    <w:rsid w:val="73983115"/>
    <w:rsid w:val="7B8072B6"/>
    <w:rsid w:val="7C3A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Theme="minorHAnsi" w:eastAsiaTheme="minorEastAsia" w:cstheme="minorBidi"/>
      <w:sz w:val="34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qFormat/>
    <w:uiPriority w:val="0"/>
  </w:style>
  <w:style w:type="paragraph" w:styleId="3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5"/>
    <w:autoRedefine/>
    <w:qFormat/>
    <w:uiPriority w:val="0"/>
    <w:rPr>
      <w:rFonts w:ascii="宋体"/>
      <w:sz w:val="18"/>
      <w:szCs w:val="18"/>
    </w:rPr>
  </w:style>
  <w:style w:type="character" w:customStyle="1" w:styleId="12">
    <w:name w:val="页脚 字符"/>
    <w:basedOn w:val="9"/>
    <w:link w:val="4"/>
    <w:autoRedefine/>
    <w:qFormat/>
    <w:uiPriority w:val="0"/>
    <w:rPr>
      <w:rFonts w:ascii="宋体"/>
      <w:sz w:val="18"/>
      <w:szCs w:val="18"/>
    </w:rPr>
  </w:style>
  <w:style w:type="character" w:customStyle="1" w:styleId="13">
    <w:name w:val="批注文字 字符"/>
    <w:basedOn w:val="9"/>
    <w:link w:val="2"/>
    <w:autoRedefine/>
    <w:qFormat/>
    <w:uiPriority w:val="0"/>
    <w:rPr>
      <w:rFonts w:ascii="宋体"/>
      <w:sz w:val="34"/>
      <w:szCs w:val="22"/>
    </w:rPr>
  </w:style>
  <w:style w:type="character" w:customStyle="1" w:styleId="14">
    <w:name w:val="批注主题 字符"/>
    <w:basedOn w:val="13"/>
    <w:link w:val="6"/>
    <w:autoRedefine/>
    <w:qFormat/>
    <w:uiPriority w:val="0"/>
    <w:rPr>
      <w:rFonts w:ascii="宋体"/>
      <w:b/>
      <w:bCs/>
      <w:sz w:val="34"/>
      <w:szCs w:val="22"/>
    </w:rPr>
  </w:style>
  <w:style w:type="character" w:customStyle="1" w:styleId="15">
    <w:name w:val="批注框文本 字符"/>
    <w:basedOn w:val="9"/>
    <w:link w:val="3"/>
    <w:autoRedefine/>
    <w:qFormat/>
    <w:uiPriority w:val="0"/>
    <w:rPr>
      <w:rFonts w:ascii="宋体"/>
      <w:sz w:val="18"/>
      <w:szCs w:val="18"/>
    </w:rPr>
  </w:style>
  <w:style w:type="paragraph" w:customStyle="1" w:styleId="16">
    <w:name w:val="Revision"/>
    <w:autoRedefine/>
    <w:hidden/>
    <w:semiHidden/>
    <w:qFormat/>
    <w:uiPriority w:val="99"/>
    <w:rPr>
      <w:rFonts w:ascii="宋体" w:hAnsiTheme="minorHAnsi" w:eastAsiaTheme="minorEastAsia" w:cstheme="minorBidi"/>
      <w:sz w:val="34"/>
      <w:szCs w:val="22"/>
      <w:lang w:val="en-US" w:eastAsia="zh-CN" w:bidi="ar-SA"/>
    </w:rPr>
  </w:style>
  <w:style w:type="character" w:customStyle="1" w:styleId="17">
    <w:name w:val="font11"/>
    <w:basedOn w:val="9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8">
    <w:name w:val="无间隔1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1056</Words>
  <Characters>485</Characters>
  <Lines>121</Lines>
  <Paragraphs>66</Paragraphs>
  <TotalTime>2</TotalTime>
  <ScaleCrop>false</ScaleCrop>
  <LinksUpToDate>false</LinksUpToDate>
  <CharactersWithSpaces>1475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2019-10-10T08:36:00Z</dcterms:created>
  <dc:creator>赵海伶-phq</dc:creator>
  <cp:lastModifiedBy>流萤</cp:lastModifiedBy>
  <dcterms:modified xsi:type="dcterms:W3CDTF">2024-05-24T01:33:15Z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8EDF239912E04F13A80F00B8086A7706_13</vt:lpwstr>
  </property>
</Properties>
</file>