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20" w:afterLines="50"/>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华农财产保险股份有限公司</w:t>
      </w:r>
    </w:p>
    <w:p>
      <w:pPr>
        <w:snapToGrid w:val="0"/>
        <w:spacing w:after="120" w:afterLines="50"/>
        <w:jc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个人意外伤害保险条款（互联网专属）</w:t>
      </w: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总则</w:t>
      </w:r>
    </w:p>
    <w:p>
      <w:pPr>
        <w:adjustRightInd w:val="0"/>
        <w:snapToGri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第一条</w:t>
      </w:r>
      <w:r>
        <w:rPr>
          <w:rFonts w:hint="eastAsia" w:ascii="宋体" w:hAnsi="宋体" w:cs="宋体"/>
          <w:color w:val="000000" w:themeColor="text1"/>
          <w:szCs w:val="21"/>
          <w14:textFill>
            <w14:solidFill>
              <w14:schemeClr w14:val="tx1"/>
            </w14:solidFill>
          </w14:textFill>
        </w:rPr>
        <w:t xml:space="preserve">  本保险合同</w:t>
      </w:r>
      <w:r>
        <w:rPr>
          <w:rFonts w:hint="eastAsia" w:asciiTheme="minorEastAsia" w:hAnsiTheme="minorEastAsia"/>
          <w:szCs w:val="21"/>
        </w:rPr>
        <w:t>（以下简称“本合同”）</w:t>
      </w:r>
      <w:r>
        <w:rPr>
          <w:rFonts w:hint="eastAsia" w:ascii="宋体" w:hAnsi="宋体" w:cs="宋体"/>
          <w:color w:val="000000" w:themeColor="text1"/>
          <w:szCs w:val="21"/>
          <w14:textFill>
            <w14:solidFill>
              <w14:schemeClr w14:val="tx1"/>
            </w14:solidFill>
          </w14:textFill>
        </w:rPr>
        <w:t>由保险条款、投保单、保险单、保险凭证以及批单等组成。凡涉及本合同的约定，均应采用书面形式。</w:t>
      </w:r>
    </w:p>
    <w:p>
      <w:pPr>
        <w:snapToGrid w:val="0"/>
        <w:spacing w:after="120" w:afterLines="50"/>
        <w:ind w:firstLine="422" w:firstLineChars="200"/>
        <w:rPr>
          <w:rFonts w:ascii="宋体" w:hAnsi="宋体"/>
        </w:rPr>
      </w:pPr>
      <w:r>
        <w:rPr>
          <w:rFonts w:hint="eastAsia" w:ascii="宋体" w:hAnsi="宋体" w:cs="宋体"/>
          <w:b/>
          <w:color w:val="000000" w:themeColor="text1"/>
          <w:szCs w:val="21"/>
          <w14:textFill>
            <w14:solidFill>
              <w14:schemeClr w14:val="tx1"/>
            </w14:solidFill>
          </w14:textFill>
        </w:rPr>
        <w:t xml:space="preserve">第二条  </w:t>
      </w:r>
      <w:bookmarkStart w:id="0" w:name="_Hlk28677514"/>
      <w:r>
        <w:rPr>
          <w:rFonts w:hint="eastAsia" w:ascii="宋体" w:hAnsi="宋体"/>
        </w:rPr>
        <w:t>具有完全民事行为能力的被保险人本人，或者具有完全民事行为能力且对被保险人具有保险利益的其他人，可以作为投保人向保险人投保本合同。</w:t>
      </w:r>
    </w:p>
    <w:p>
      <w:pPr>
        <w:adjustRightInd w:val="0"/>
        <w:snapToGrid w:val="0"/>
        <w:spacing w:after="120" w:afterLines="50"/>
        <w:ind w:firstLine="422" w:firstLineChars="200"/>
        <w:rPr>
          <w:b/>
          <w:szCs w:val="21"/>
        </w:rPr>
      </w:pPr>
      <w:r>
        <w:rPr>
          <w:b/>
          <w:szCs w:val="21"/>
        </w:rPr>
        <w:t>投保人不得为无民事行为能力人投保以死亡为给付保险金条件的人身保险。父母为其未成年子女投保</w:t>
      </w:r>
      <w:r>
        <w:rPr>
          <w:rFonts w:hint="eastAsia"/>
          <w:b/>
          <w:szCs w:val="21"/>
        </w:rPr>
        <w:t>本合同</w:t>
      </w:r>
      <w:r>
        <w:rPr>
          <w:b/>
          <w:szCs w:val="21"/>
        </w:rPr>
        <w:t>的，不受该项限制。</w:t>
      </w:r>
    </w:p>
    <w:p>
      <w:pPr>
        <w:adjustRightInd/>
        <w:snapToGrid w:val="0"/>
        <w:spacing w:after="120" w:afterLines="50"/>
        <w:ind w:firstLine="420" w:firstLineChars="200"/>
        <w:rPr>
          <w:rFonts w:ascii="宋体" w:hAnsi="宋体"/>
        </w:rPr>
      </w:pPr>
      <w:r>
        <w:rPr>
          <w:rFonts w:hint="eastAsia" w:ascii="宋体" w:hAnsi="宋体"/>
          <w:color w:val="000000"/>
          <w:szCs w:val="22"/>
          <w:shd w:val="clear" w:color="auto" w:fill="auto"/>
        </w:rPr>
        <w:t>父母为其未年满</w:t>
      </w:r>
      <w:r>
        <w:rPr>
          <w:rFonts w:ascii="宋体" w:hAnsi="宋体"/>
          <w:color w:val="000000"/>
          <w:szCs w:val="22"/>
          <w:shd w:val="clear" w:color="auto" w:fill="auto"/>
        </w:rPr>
        <w:t>18</w:t>
      </w:r>
      <w:r>
        <w:rPr>
          <w:rFonts w:hint="eastAsia" w:ascii="宋体" w:hAnsi="宋体" w:cs="Times New Roman"/>
          <w:color w:val="000000"/>
          <w:szCs w:val="22"/>
          <w:shd w:val="clear" w:color="auto" w:fill="auto"/>
        </w:rPr>
        <w:t>周岁的子女投保本合同，还投保了其他人身保险合同的，在被保险人年满</w:t>
      </w:r>
      <w:r>
        <w:rPr>
          <w:rFonts w:ascii="宋体" w:hAnsi="宋体"/>
          <w:color w:val="000000"/>
          <w:szCs w:val="22"/>
          <w:shd w:val="clear" w:color="auto" w:fill="auto"/>
        </w:rPr>
        <w:t>18</w:t>
      </w:r>
      <w:r>
        <w:rPr>
          <w:rFonts w:hint="eastAsia" w:ascii="宋体" w:hAnsi="宋体" w:cs="Times New Roman"/>
          <w:color w:val="000000"/>
          <w:szCs w:val="22"/>
          <w:shd w:val="clear" w:color="auto" w:fill="auto"/>
        </w:rPr>
        <w:t>周岁之前，本合同与其他保险合同约定的被保险人死亡给付的保险金额总和、被保险人死亡时本保险人与其他保险人实际给付的保险金总和均不得违反国务院保险监督管理机构关于父母为其未成年子女投保以死亡为给付保险金条件人身保险的相关规定。</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第三条</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szCs w:val="21"/>
        </w:rPr>
        <w:t>本合同被保险人应为身体健康、能正常工作或正常生活的自然人。</w:t>
      </w:r>
      <w:bookmarkEnd w:id="0"/>
    </w:p>
    <w:p>
      <w:pPr>
        <w:tabs>
          <w:tab w:val="left" w:pos="840"/>
        </w:tabs>
        <w:adjustRightInd w:val="0"/>
        <w:spacing w:after="120" w:afterLines="50"/>
        <w:ind w:firstLine="420" w:firstLineChars="199"/>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第四条</w:t>
      </w:r>
      <w:r>
        <w:rPr>
          <w:rFonts w:hint="eastAsia" w:ascii="宋体" w:hAnsi="宋体" w:cs="宋体"/>
          <w:color w:val="000000" w:themeColor="text1"/>
          <w:szCs w:val="21"/>
          <w14:textFill>
            <w14:solidFill>
              <w14:schemeClr w14:val="tx1"/>
            </w14:solidFill>
          </w14:textFill>
        </w:rPr>
        <w:t xml:space="preserve"> </w:t>
      </w:r>
      <w:bookmarkStart w:id="1" w:name="_Hlk28677572"/>
      <w:r>
        <w:rPr>
          <w:rFonts w:hint="eastAsia" w:ascii="宋体" w:hAnsi="宋体" w:cs="宋体"/>
          <w:color w:val="000000" w:themeColor="text1"/>
          <w:szCs w:val="21"/>
          <w14:textFill>
            <w14:solidFill>
              <w14:schemeClr w14:val="tx1"/>
            </w14:solidFill>
          </w14:textFill>
        </w:rPr>
        <w:t xml:space="preserve"> 本合同的受益人包括：</w:t>
      </w:r>
    </w:p>
    <w:p>
      <w:pPr>
        <w:tabs>
          <w:tab w:val="left" w:pos="840"/>
        </w:tabs>
        <w:adjustRightInd w:val="0"/>
        <w:spacing w:after="120" w:afterLines="50"/>
        <w:ind w:firstLine="310" w:firstLineChars="148"/>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（一）身故保险金受益人</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订立本合同时，被保险人或投保人可指定一人或数人为身故保险金受益人。身故保险金受益人为数人时，被保险人或投保人应确定其受益顺序和受益份额；未确定受益份额的，各身故保险金受益人按照相等份额享有受益权。投保人指定受益人时须经被保险人同意。</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被保险人死亡后，有下列情形之一的，保险金作为被保险人的遗产，由保险人依照被保险人身故时现行有效的法律规定履行给付保险金的义务：</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（1）没有指定受益人，或者受益人指定不明无法确定的；</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（2）受益人先于被保险人死亡，没有其他受益人的；</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（3）受益人依法丧失受益权或者放弃受益权，没有其他受益人的。</w:t>
      </w:r>
    </w:p>
    <w:p>
      <w:pPr>
        <w:adjustRightInd w:val="0"/>
        <w:spacing w:after="120" w:afterLines="50"/>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受益人与被保险人在同一事件中死亡，且不能确定死亡先后顺序的，推定受益人死亡在先。</w:t>
      </w:r>
    </w:p>
    <w:p>
      <w:pPr>
        <w:adjustRightInd w:val="0"/>
        <w:spacing w:after="120" w:afterLines="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投保人为与其有劳动关系的劳动者投保人身保险，不得指定被保险人及其近亲属以外的人为受益人。</w:t>
      </w:r>
    </w:p>
    <w:p>
      <w:pPr>
        <w:adjustRightInd w:val="0"/>
        <w:spacing w:after="120" w:afterLines="50"/>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被保险人或投保人可以变更身故保险金受益人，但需书面通知保险人，由保险人在本合同上批注。</w:t>
      </w:r>
      <w:r>
        <w:rPr>
          <w:rFonts w:hint="eastAsia" w:ascii="宋体" w:hAnsi="宋体" w:cs="宋体"/>
          <w:b/>
          <w:bCs/>
          <w:color w:val="000000" w:themeColor="text1"/>
          <w:szCs w:val="21"/>
          <w14:textFill>
            <w14:solidFill>
              <w14:schemeClr w14:val="tx1"/>
            </w14:solidFill>
          </w14:textFill>
        </w:rPr>
        <w:t>对因身故保险金受益人变更发生的法律纠纷，保险人不承担任何责任。</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投保人指定或变更身故保险金受益人的，应经被保险人书面同意。被保险人为无民事行为能力人或限制民事行为能力人的，应由其监护人指定或变更身故保险金受益人。</w:t>
      </w:r>
    </w:p>
    <w:p>
      <w:pPr>
        <w:tabs>
          <w:tab w:val="left" w:pos="426"/>
          <w:tab w:val="left" w:pos="840"/>
        </w:tabs>
        <w:adjustRightInd w:val="0"/>
        <w:spacing w:after="120" w:afterLines="50"/>
        <w:ind w:firstLine="310" w:firstLineChars="148"/>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（二）伤残保险金受益人</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除另有约定外，本合同的伤残保险金的受益人为被保险人本人。</w:t>
      </w:r>
      <w:bookmarkEnd w:id="1"/>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保险责任</w:t>
      </w:r>
    </w:p>
    <w:p>
      <w:pPr>
        <w:snapToGrid w:val="0"/>
        <w:spacing w:after="120" w:afterLines="50"/>
        <w:ind w:firstLine="422" w:firstLineChars="200"/>
        <w:rPr>
          <w:szCs w:val="21"/>
        </w:rPr>
      </w:pPr>
      <w:r>
        <w:rPr>
          <w:rFonts w:hint="eastAsia" w:ascii="宋体" w:hAnsi="宋体" w:cs="宋体"/>
          <w:b/>
          <w:color w:val="000000" w:themeColor="text1"/>
          <w:szCs w:val="21"/>
          <w14:textFill>
            <w14:solidFill>
              <w14:schemeClr w14:val="tx1"/>
            </w14:solidFill>
          </w14:textFill>
        </w:rPr>
        <w:t>第五条</w:t>
      </w:r>
      <w:r>
        <w:rPr>
          <w:rFonts w:hint="eastAsia" w:ascii="宋体" w:hAnsi="宋体" w:cs="宋体"/>
          <w:color w:val="000000" w:themeColor="text1"/>
          <w:szCs w:val="21"/>
          <w14:textFill>
            <w14:solidFill>
              <w14:schemeClr w14:val="tx1"/>
            </w14:solidFill>
          </w14:textFill>
        </w:rPr>
        <w:t xml:space="preserve"> </w:t>
      </w:r>
      <w:bookmarkStart w:id="2" w:name="_Hlk28677586"/>
      <w:r>
        <w:rPr>
          <w:szCs w:val="21"/>
        </w:rPr>
        <w:t>本合同的保险责任分为基本</w:t>
      </w:r>
      <w:r>
        <w:rPr>
          <w:rFonts w:hint="eastAsia"/>
          <w:szCs w:val="21"/>
        </w:rPr>
        <w:t>责任</w:t>
      </w:r>
      <w:r>
        <w:rPr>
          <w:szCs w:val="21"/>
        </w:rPr>
        <w:t>和可选</w:t>
      </w:r>
      <w:r>
        <w:rPr>
          <w:rFonts w:hint="eastAsia"/>
          <w:szCs w:val="21"/>
        </w:rPr>
        <w:t>责任</w:t>
      </w:r>
      <w:r>
        <w:rPr>
          <w:szCs w:val="21"/>
        </w:rPr>
        <w:t>。基本</w:t>
      </w:r>
      <w:r>
        <w:rPr>
          <w:rFonts w:hint="eastAsia"/>
          <w:szCs w:val="21"/>
        </w:rPr>
        <w:t>责任</w:t>
      </w:r>
      <w:r>
        <w:rPr>
          <w:szCs w:val="21"/>
        </w:rPr>
        <w:t>为意外伤害身故保险责任，可选</w:t>
      </w:r>
      <w:r>
        <w:rPr>
          <w:rFonts w:hint="eastAsia"/>
          <w:szCs w:val="21"/>
        </w:rPr>
        <w:t>责任</w:t>
      </w:r>
      <w:r>
        <w:rPr>
          <w:szCs w:val="21"/>
        </w:rPr>
        <w:t>为意外伤害残疾保险责任。</w:t>
      </w:r>
    </w:p>
    <w:p>
      <w:pPr>
        <w:tabs>
          <w:tab w:val="left" w:pos="840"/>
        </w:tabs>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szCs w:val="21"/>
        </w:rPr>
        <w:t>可选责任是在投保人已投保基本责任的前提下可以选择投保的责任，具体在保险单中载明。</w:t>
      </w:r>
      <w:r>
        <w:rPr>
          <w:rFonts w:hint="eastAsia"/>
          <w:b/>
          <w:bCs/>
          <w:szCs w:val="21"/>
        </w:rPr>
        <w:t>未在保险单中载明可选责任的，可选责任部分不列入保险责任范畴。</w:t>
      </w:r>
    </w:p>
    <w:p>
      <w:pPr>
        <w:numPr>
          <w:ilvl w:val="0"/>
          <w:numId w:val="1"/>
        </w:numPr>
        <w:tabs>
          <w:tab w:val="left" w:pos="840"/>
        </w:tabs>
        <w:adjustRightInd w:val="0"/>
        <w:spacing w:after="120" w:afterLines="50"/>
        <w:ind w:firstLine="413" w:firstLineChars="196"/>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基本责任</w:t>
      </w:r>
    </w:p>
    <w:p>
      <w:pPr>
        <w:numPr>
          <w:ilvl w:val="255"/>
          <w:numId w:val="0"/>
        </w:numPr>
        <w:tabs>
          <w:tab w:val="left" w:pos="840"/>
        </w:tabs>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意外伤害身故保险责任</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在保险期间内，被保险人遭受意外伤害事故，并自事故发生之日起180日内因该次意外伤害为直接原因身故的，</w:t>
      </w:r>
      <w:r>
        <w:rPr>
          <w:rFonts w:hint="eastAsia" w:ascii="宋体" w:hAnsi="宋体" w:cs="宋体"/>
          <w:b/>
          <w:bCs/>
          <w:color w:val="000000" w:themeColor="text1"/>
          <w:szCs w:val="21"/>
          <w14:textFill>
            <w14:solidFill>
              <w14:schemeClr w14:val="tx1"/>
            </w14:solidFill>
          </w14:textFill>
        </w:rPr>
        <w:t>保险人按意外伤害保险金额给付身故保险金，对该被保险人的保险责任终止。</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在保险期间内，被保险人因遭受意外伤害事故且自该事故发生日起下落不明，后经人民法院宣告死亡的，保险人按意外伤害保险金额给付身故保险金。</w:t>
      </w:r>
      <w:r>
        <w:rPr>
          <w:rFonts w:hint="eastAsia" w:ascii="宋体" w:hAnsi="宋体" w:cs="宋体"/>
          <w:b/>
          <w:bCs/>
          <w:color w:val="000000" w:themeColor="text1"/>
          <w:szCs w:val="21"/>
          <w14:textFill>
            <w14:solidFill>
              <w14:schemeClr w14:val="tx1"/>
            </w14:solidFill>
          </w14:textFill>
        </w:rPr>
        <w:t>但若被保险人被宣告死亡后生还的，已受领保险金的保险金申请人应于知道或应当知道被保险人生还后</w:t>
      </w:r>
      <w:r>
        <w:rPr>
          <w:rFonts w:ascii="宋体" w:hAnsi="宋体" w:cs="宋体"/>
          <w:b/>
          <w:bCs/>
          <w:color w:val="000000" w:themeColor="text1"/>
          <w:szCs w:val="21"/>
          <w14:textFill>
            <w14:solidFill>
              <w14:schemeClr w14:val="tx1"/>
            </w14:solidFill>
          </w14:textFill>
        </w:rPr>
        <w:t>30</w:t>
      </w:r>
      <w:r>
        <w:rPr>
          <w:rFonts w:hint="eastAsia" w:ascii="宋体" w:hAnsi="宋体" w:cs="宋体"/>
          <w:b/>
          <w:bCs/>
          <w:color w:val="000000" w:themeColor="text1"/>
          <w:szCs w:val="21"/>
          <w14:textFill>
            <w14:solidFill>
              <w14:schemeClr w14:val="tx1"/>
            </w14:solidFill>
          </w14:textFill>
        </w:rPr>
        <w:t>日内退还保险人给付的身故保险金。</w:t>
      </w:r>
    </w:p>
    <w:p>
      <w:pPr>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若被保险人身故前保险人已给付第五条（二）款约定的残疾保险金的，则保险人在给付意外伤害身故保险金时应扣除已累计给付的意外伤害残疾保险金。</w:t>
      </w:r>
    </w:p>
    <w:p>
      <w:pPr>
        <w:numPr>
          <w:ilvl w:val="0"/>
          <w:numId w:val="1"/>
        </w:numPr>
        <w:tabs>
          <w:tab w:val="left" w:pos="840"/>
        </w:tabs>
        <w:adjustRightInd w:val="0"/>
        <w:spacing w:after="120" w:afterLines="50"/>
        <w:ind w:firstLine="413" w:firstLineChars="196"/>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可选责任</w:t>
      </w:r>
    </w:p>
    <w:p>
      <w:pPr>
        <w:numPr>
          <w:ilvl w:val="255"/>
          <w:numId w:val="0"/>
        </w:numPr>
        <w:tabs>
          <w:tab w:val="left" w:pos="840"/>
        </w:tabs>
        <w:adjustRightInd w:val="0"/>
        <w:spacing w:after="120" w:afterLines="50"/>
        <w:ind w:firstLine="422" w:firstLineChars="200"/>
        <w:rPr>
          <w:rFonts w:ascii="宋体" w:hAnsi="宋体"/>
          <w:b/>
          <w:color w:val="000000" w:themeColor="text1"/>
          <w:kern w:val="0"/>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意外伤害残疾保险责任</w:t>
      </w:r>
    </w:p>
    <w:p>
      <w:pPr>
        <w:adjustRightInd w:val="0"/>
        <w:snapToGrid w:val="0"/>
        <w:spacing w:after="120" w:afterLines="50"/>
        <w:ind w:firstLine="420" w:firstLineChars="200"/>
        <w:rPr>
          <w:rFonts w:hAnsi="宋体"/>
        </w:rPr>
      </w:pPr>
      <w:r>
        <w:rPr>
          <w:rFonts w:hint="eastAsia" w:ascii="宋体" w:hAnsi="宋体"/>
          <w:color w:val="000000" w:themeColor="text1"/>
          <w:szCs w:val="21"/>
          <w14:textFill>
            <w14:solidFill>
              <w14:schemeClr w14:val="tx1"/>
            </w14:solidFill>
          </w14:textFill>
        </w:rPr>
        <w:t>在保险期间内，被保险人遭受意外伤害事故，并自该事故发生之日起180日内因该次意外伤害为直接原因导致</w:t>
      </w:r>
      <w:r>
        <w:rPr>
          <w:rFonts w:hint="eastAsia" w:ascii="宋体" w:hAnsi="宋体"/>
          <w:b/>
          <w:color w:val="000000" w:themeColor="text1"/>
          <w:szCs w:val="21"/>
          <w14:textFill>
            <w14:solidFill>
              <w14:schemeClr w14:val="tx1"/>
            </w14:solidFill>
          </w14:textFill>
        </w:rPr>
        <w:t>《人身保险伤残评定标准及代码》（JR/T 0083-2013，由原中国保险监督管理委员会发布，保监发〔2014〕6号，简称“《行业标准》”）</w:t>
      </w:r>
      <w:r>
        <w:rPr>
          <w:rFonts w:hint="eastAsia" w:ascii="宋体" w:hAnsi="宋体"/>
          <w:color w:val="000000" w:themeColor="text1"/>
          <w:szCs w:val="21"/>
          <w14:textFill>
            <w14:solidFill>
              <w14:schemeClr w14:val="tx1"/>
            </w14:solidFill>
          </w14:textFill>
        </w:rPr>
        <w:t>所列残疾之一的，</w:t>
      </w:r>
      <w:r>
        <w:rPr>
          <w:rFonts w:hint="eastAsia" w:hAnsi="宋体" w:cs="宋体"/>
          <w:b/>
          <w:bCs/>
          <w:szCs w:val="21"/>
        </w:rPr>
        <w:t>保险人按该《行业标准》所列给付比例乘以保险单所载的保险金额给付残疾保险金。如第</w:t>
      </w:r>
      <w:r>
        <w:rPr>
          <w:b/>
          <w:bCs/>
          <w:szCs w:val="21"/>
        </w:rPr>
        <w:t>180</w:t>
      </w:r>
      <w:r>
        <w:rPr>
          <w:rFonts w:hint="eastAsia" w:hAnsi="宋体" w:cs="宋体"/>
          <w:b/>
          <w:bCs/>
          <w:szCs w:val="21"/>
        </w:rPr>
        <w:t>日治疗仍未结束的，按第</w:t>
      </w:r>
      <w:r>
        <w:rPr>
          <w:b/>
          <w:bCs/>
          <w:szCs w:val="21"/>
        </w:rPr>
        <w:t>180</w:t>
      </w:r>
      <w:r>
        <w:rPr>
          <w:rFonts w:hint="eastAsia" w:hAnsi="宋体" w:cs="宋体"/>
          <w:b/>
          <w:bCs/>
          <w:szCs w:val="21"/>
        </w:rPr>
        <w:t>日当日的身体情况进行残疾鉴定，并据此给付残疾保险金。</w:t>
      </w:r>
    </w:p>
    <w:p>
      <w:pPr>
        <w:adjustRightInd w:val="0"/>
        <w:snapToGrid w:val="0"/>
        <w:spacing w:after="120" w:afterLines="50"/>
        <w:ind w:firstLine="420" w:firstLineChars="200"/>
        <w:rPr>
          <w:szCs w:val="21"/>
        </w:rPr>
      </w:pPr>
      <w:r>
        <w:rPr>
          <w:szCs w:val="21"/>
        </w:rPr>
        <w:t>1</w:t>
      </w:r>
      <w:r>
        <w:rPr>
          <w:rFonts w:hint="eastAsia" w:hAnsi="宋体" w:cs="宋体"/>
          <w:szCs w:val="21"/>
        </w:rPr>
        <w:t>、</w:t>
      </w:r>
      <w:r>
        <w:rPr>
          <w:rFonts w:hint="eastAsia" w:hAnsi="宋体" w:cs="宋体"/>
          <w:b/>
          <w:bCs/>
          <w:szCs w:val="21"/>
        </w:rPr>
        <w:t>被保险人因同一意外伤害事故造成两处或两处以上伤残时，应首先根据《行业标准》对各处伤残程度分别进行评定，如果几处伤残等级不同，以最重的伤残等级作为最终的评定结论并据此给付残疾保险金</w:t>
      </w:r>
      <w:r>
        <w:rPr>
          <w:rFonts w:hint="eastAsia" w:hAnsi="宋体" w:cs="宋体"/>
          <w:szCs w:val="21"/>
        </w:rPr>
        <w:t>；如果两处或两处以上伤残等级相同，伤残等级在原评定基础上最多晋升一级，最高晋升至第一级。同一部位和性质的伤残，不应采用《行业标准》条文两条以上或者同一条文两次以上进行评定；</w:t>
      </w:r>
    </w:p>
    <w:p>
      <w:pPr>
        <w:adjustRightInd w:val="0"/>
        <w:snapToGrid w:val="0"/>
        <w:spacing w:after="120" w:afterLines="50"/>
        <w:ind w:firstLine="420" w:firstLineChars="200"/>
        <w:rPr>
          <w:rFonts w:ascii="宋体" w:hAnsi="宋体"/>
          <w:color w:val="000000" w:themeColor="text1"/>
          <w:szCs w:val="21"/>
          <w14:textFill>
            <w14:solidFill>
              <w14:schemeClr w14:val="tx1"/>
            </w14:solidFill>
          </w14:textFill>
        </w:rPr>
      </w:pPr>
      <w:r>
        <w:rPr>
          <w:szCs w:val="21"/>
        </w:rPr>
        <w:t>2</w:t>
      </w:r>
      <w:r>
        <w:rPr>
          <w:rFonts w:hint="eastAsia" w:hAnsi="宋体" w:cs="宋体"/>
          <w:szCs w:val="21"/>
        </w:rPr>
        <w:t>、被保险人如在本次意外伤害事故之前已有残疾，</w:t>
      </w:r>
      <w:r>
        <w:rPr>
          <w:rFonts w:hint="eastAsia" w:hAnsi="宋体" w:cs="宋体"/>
          <w:b/>
          <w:bCs/>
          <w:szCs w:val="21"/>
        </w:rPr>
        <w:t>保险人按合并后的残疾程度在《行业标准》中所对应的给付比例给付残疾保险金</w:t>
      </w:r>
      <w:r>
        <w:rPr>
          <w:rFonts w:hint="eastAsia" w:hAnsi="宋体" w:cs="宋体"/>
          <w:szCs w:val="21"/>
        </w:rPr>
        <w:t>，</w:t>
      </w:r>
      <w:r>
        <w:rPr>
          <w:rFonts w:hint="eastAsia" w:hAnsi="宋体" w:cs="宋体"/>
          <w:b/>
          <w:szCs w:val="21"/>
        </w:rPr>
        <w:t>但应扣除原有残疾程度在《行业标准》中所对应的残疾保险金。</w:t>
      </w:r>
      <w:bookmarkEnd w:id="2"/>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责任免除</w:t>
      </w:r>
    </w:p>
    <w:p>
      <w:pPr>
        <w:tabs>
          <w:tab w:val="left" w:pos="840"/>
        </w:tabs>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第六条 </w:t>
      </w:r>
      <w:bookmarkStart w:id="3" w:name="_Hlk28677600"/>
      <w:r>
        <w:rPr>
          <w:rFonts w:hint="eastAsia" w:ascii="宋体" w:hAnsi="宋体" w:cs="宋体"/>
          <w:b/>
          <w:color w:val="000000" w:themeColor="text1"/>
          <w:szCs w:val="21"/>
          <w14:textFill>
            <w14:solidFill>
              <w14:schemeClr w14:val="tx1"/>
            </w14:solidFill>
          </w14:textFill>
        </w:rPr>
        <w:t>因下列原因造成被保险人</w:t>
      </w:r>
      <w:r>
        <w:rPr>
          <w:rFonts w:hint="eastAsia" w:ascii="宋体" w:hAnsi="宋体" w:cs="宋体"/>
          <w:b/>
          <w:szCs w:val="21"/>
        </w:rPr>
        <w:t>身故、</w:t>
      </w:r>
      <w:r>
        <w:rPr>
          <w:rFonts w:hint="eastAsia" w:ascii="宋体" w:hAnsi="宋体" w:cs="宋体"/>
          <w:b/>
          <w:color w:val="000000" w:themeColor="text1"/>
          <w:szCs w:val="21"/>
          <w14:textFill>
            <w14:solidFill>
              <w14:schemeClr w14:val="tx1"/>
            </w14:solidFill>
          </w14:textFill>
        </w:rPr>
        <w:t>伤残的，保险人不承担给付保险金责任：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（一）投保人或</w:t>
      </w:r>
      <w:r>
        <w:rPr>
          <w:rFonts w:ascii="宋体" w:hAnsi="宋体" w:cs="宋体"/>
          <w:b/>
          <w:color w:val="000000" w:themeColor="text1"/>
          <w:szCs w:val="21"/>
          <w14:textFill>
            <w14:solidFill>
              <w14:schemeClr w14:val="tx1"/>
            </w14:solidFill>
          </w14:textFill>
        </w:rPr>
        <w:t>被保险人</w:t>
      </w:r>
      <w:r>
        <w:rPr>
          <w:rFonts w:hint="eastAsia" w:ascii="宋体" w:hAnsi="宋体" w:cs="宋体"/>
          <w:b/>
          <w:color w:val="000000" w:themeColor="text1"/>
          <w:szCs w:val="21"/>
          <w14:textFill>
            <w14:solidFill>
              <w14:schemeClr w14:val="tx1"/>
            </w14:solidFill>
          </w14:textFill>
        </w:rPr>
        <w:t>的故意行为；</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（二）被保险人自致伤害或自杀，但被保险人自杀时为无民事行为能力人的除外；</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（三）因被保险人挑衅或故意行为而导致的打斗、被袭击或被杀害；</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（四）被保险人妊娠、流产、分娩、疾病、导致的伤害，但意外伤害所致的流产或分娩不在此限；</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（五）被保险人因药物过敏、整容手术、内外科手术或其他医疗事故导致的伤害；</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（六）被保险人疾病、食物中毒、中暑、猝死；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（七）被保险人未遵医嘱，私自服用、涂用、注射药物；</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（八）任何生物、化学、原子能武器，原子能或核能装置所造成的爆炸、灼伤、污染或辐射；</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（九）恐怖袭击；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（十）被保险人违法、犯罪或者抗拒依法采取的刑事强制措施；</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（十一）被保险人从事高风险运动或参加职业或半职业体育运动；</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（十二）被保险人因意外伤害、自然灾害事故以外的原因失踪而被法院宣告死亡的。</w:t>
      </w:r>
    </w:p>
    <w:p>
      <w:pPr>
        <w:tabs>
          <w:tab w:val="left" w:pos="840"/>
        </w:tabs>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第七条  被保险人在下列期间遭受意外伤害导致身故、伤残的，保险人也不承担给付保险金责任：</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（一）被保险人从事违法、犯罪活动期间或被依法拘留、服刑、在逃期间</w:t>
      </w:r>
      <w:r>
        <w:rPr>
          <w:rFonts w:hint="eastAsia" w:ascii="宋体" w:hAnsi="宋体" w:cs="宋体"/>
          <w:b/>
          <w:color w:val="000000" w:themeColor="text1"/>
          <w:szCs w:val="21"/>
          <w:lang w:eastAsia="zh-CN"/>
          <w14:textFill>
            <w14:solidFill>
              <w14:schemeClr w14:val="tx1"/>
            </w14:solidFill>
          </w14:textFill>
        </w:rPr>
        <w:t>；</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（二）战争、军事行动、暴动或武装叛乱期间；</w:t>
      </w:r>
    </w:p>
    <w:p>
      <w:pPr>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（三）被保险人醉酒或毒品、管制药物的影响期间；</w:t>
      </w:r>
    </w:p>
    <w:p>
      <w:pPr>
        <w:adjustRightInd w:val="0"/>
        <w:spacing w:after="120" w:afterLines="50"/>
        <w:ind w:firstLine="316" w:firstLineChars="150"/>
        <w:rPr>
          <w:rFonts w:hint="eastAsia" w:ascii="宋体" w:hAnsi="宋体" w:eastAsia="宋体" w:cs="宋体"/>
          <w:b/>
          <w:color w:val="000000" w:themeColor="text1"/>
          <w:szCs w:val="21"/>
          <w:lang w:eastAsia="zh-CN"/>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（四）被保险人酒后驾车、无有效驾驶证驾驶或驾驶无有效行驶证的机动车期间</w:t>
      </w:r>
      <w:r>
        <w:rPr>
          <w:rFonts w:hint="eastAsia" w:ascii="宋体" w:hAnsi="宋体" w:cs="宋体"/>
          <w:b/>
          <w:color w:val="000000" w:themeColor="text1"/>
          <w:szCs w:val="21"/>
          <w:lang w:eastAsia="zh-CN"/>
          <w14:textFill>
            <w14:solidFill>
              <w14:schemeClr w14:val="tx1"/>
            </w14:solidFill>
          </w14:textFill>
        </w:rPr>
        <w:t>。</w:t>
      </w:r>
    </w:p>
    <w:bookmarkEnd w:id="3"/>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保险金额和保险费</w:t>
      </w:r>
    </w:p>
    <w:p>
      <w:pPr>
        <w:tabs>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第八条</w:t>
      </w:r>
      <w:r>
        <w:rPr>
          <w:rFonts w:hint="eastAsia" w:ascii="宋体" w:hAnsi="宋体" w:cs="宋体"/>
          <w:color w:val="000000" w:themeColor="text1"/>
          <w:szCs w:val="21"/>
          <w14:textFill>
            <w14:solidFill>
              <w14:schemeClr w14:val="tx1"/>
            </w14:solidFill>
          </w14:textFill>
        </w:rPr>
        <w:t xml:space="preserve"> </w:t>
      </w:r>
      <w:bookmarkStart w:id="4" w:name="_Hlk28677624"/>
      <w:bookmarkStart w:id="7" w:name="_GoBack"/>
      <w:r>
        <w:rPr>
          <w:rFonts w:hint="eastAsia" w:ascii="宋体" w:hAnsi="宋体" w:cs="宋体"/>
          <w:color w:val="000000" w:themeColor="text1"/>
          <w:szCs w:val="21"/>
          <w14:textFill>
            <w14:solidFill>
              <w14:schemeClr w14:val="tx1"/>
            </w14:solidFill>
          </w14:textFill>
        </w:rPr>
        <w:t>保险金额是保险人承担给付保险金责任的最高限额。本合同的保险金额由投保人、保险人双方约定，并在保险单中载明。</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投保人应该按照合同约定向保险人交纳保险费。</w:t>
      </w:r>
      <w:bookmarkEnd w:id="4"/>
    </w:p>
    <w:bookmarkEnd w:id="7"/>
    <w:p>
      <w:pPr>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保险期间</w:t>
      </w:r>
    </w:p>
    <w:p>
      <w:pPr>
        <w:adjustRightInd w:val="0"/>
        <w:spacing w:after="120" w:afterLines="50"/>
        <w:ind w:firstLine="422"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第九条 </w:t>
      </w:r>
      <w:bookmarkStart w:id="5" w:name="_Hlk28677616"/>
      <w:r>
        <w:rPr>
          <w:rFonts w:hint="eastAsia" w:hAnsi="宋体"/>
        </w:rPr>
        <w:t>保险期间由投保人和保险人约定，以保险单上载明的</w:t>
      </w:r>
      <w:r>
        <w:rPr>
          <w:szCs w:val="21"/>
        </w:rPr>
        <w:t>起讫时间为准</w:t>
      </w:r>
      <w:r>
        <w:rPr>
          <w:rFonts w:hint="eastAsia" w:hAnsi="宋体"/>
          <w:szCs w:val="22"/>
        </w:rPr>
        <w:t>，最长不超过</w:t>
      </w:r>
      <w:r>
        <w:rPr>
          <w:rFonts w:hAnsi="宋体"/>
          <w:szCs w:val="22"/>
        </w:rPr>
        <w:t>1</w:t>
      </w:r>
      <w:r>
        <w:rPr>
          <w:rFonts w:hint="eastAsia" w:hAnsi="宋体"/>
          <w:szCs w:val="22"/>
        </w:rPr>
        <w:t>年</w:t>
      </w:r>
      <w:r>
        <w:rPr>
          <w:rFonts w:hint="eastAsia" w:ascii="宋体" w:hAnsi="宋体" w:cs="宋体"/>
          <w:color w:val="000000" w:themeColor="text1"/>
          <w:szCs w:val="21"/>
          <w14:textFill>
            <w14:solidFill>
              <w14:schemeClr w14:val="tx1"/>
            </w14:solidFill>
          </w14:textFill>
        </w:rPr>
        <w:t>。</w:t>
      </w:r>
      <w:bookmarkEnd w:id="5"/>
    </w:p>
    <w:p>
      <w:pPr>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保险人义务</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第十条</w:t>
      </w:r>
      <w:r>
        <w:rPr>
          <w:rFonts w:hint="eastAsia" w:ascii="宋体" w:hAnsi="宋体" w:cs="宋体"/>
          <w:color w:val="000000" w:themeColor="text1"/>
          <w:szCs w:val="21"/>
          <w14:textFill>
            <w14:solidFill>
              <w14:schemeClr w14:val="tx1"/>
            </w14:solidFill>
          </w14:textFill>
        </w:rPr>
        <w:t xml:space="preserve"> 本合同成立后，保险人应当及时向投保人签发保险单或其他保险凭证。</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第十一条</w:t>
      </w:r>
      <w:r>
        <w:rPr>
          <w:rFonts w:hint="eastAsia" w:ascii="宋体" w:hAnsi="宋体" w:cs="宋体"/>
          <w:color w:val="000000" w:themeColor="text1"/>
          <w:szCs w:val="21"/>
          <w14:textFill>
            <w14:solidFill>
              <w14:schemeClr w14:val="tx1"/>
            </w14:solidFill>
          </w14:textFill>
        </w:rPr>
        <w:t xml:space="preserve"> 保险人按照</w:t>
      </w:r>
      <w:r>
        <w:rPr>
          <w:rFonts w:hint="eastAsia" w:ascii="宋体" w:hAnsi="宋体" w:cs="宋体"/>
          <w:bCs/>
          <w:color w:val="000000" w:themeColor="text1"/>
          <w:szCs w:val="21"/>
          <w14:textFill>
            <w14:solidFill>
              <w14:schemeClr w14:val="tx1"/>
            </w14:solidFill>
          </w14:textFill>
        </w:rPr>
        <w:t>第二十条</w:t>
      </w:r>
      <w:r>
        <w:rPr>
          <w:rFonts w:hint="eastAsia" w:ascii="宋体" w:hAnsi="宋体" w:cs="宋体"/>
          <w:color w:val="000000" w:themeColor="text1"/>
          <w:szCs w:val="21"/>
          <w14:textFill>
            <w14:solidFill>
              <w14:schemeClr w14:val="tx1"/>
            </w14:solidFill>
          </w14:textFill>
        </w:rPr>
        <w:t>的约定，认为被保险人提供的有关索赔的证明和资料不完整的，应当及时一次性通知投保人、被保险人补充提供。</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第十二条 </w:t>
      </w:r>
      <w:r>
        <w:rPr>
          <w:rFonts w:hint="eastAsia" w:ascii="宋体" w:hAnsi="宋体" w:cs="宋体"/>
          <w:color w:val="000000" w:themeColor="text1"/>
          <w:szCs w:val="21"/>
          <w14:textFill>
            <w14:solidFill>
              <w14:schemeClr w14:val="tx1"/>
            </w14:solidFill>
          </w14:textFill>
        </w:rPr>
        <w:t>保险人收到被保险人或者受益人的赔偿或者给付保险金的请求后，应当及时作出核定；</w:t>
      </w:r>
      <w:r>
        <w:rPr>
          <w:rFonts w:ascii="宋体" w:hAnsi="宋体" w:cs="宋体"/>
          <w:color w:val="000000" w:themeColor="text1"/>
          <w:szCs w:val="21"/>
          <w14:textFill>
            <w14:solidFill>
              <w14:schemeClr w14:val="tx1"/>
            </w14:solidFill>
          </w14:textFill>
        </w:rPr>
        <w:t>情形复杂的，应当在三十日内作出核定，但合同另有约定的除外。</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保险人应当将核定结果通知被保险人或者受益人</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对属于保险责任的，在与被保险人或者受益人达成赔偿或者给付保险金的协议后十日内，履行赔偿或者给付保险金义务。保险合同对赔偿或者给付保险金的期限有约定的，保险人应当按照约定履行赔偿或者给付保险金义务。</w:t>
      </w:r>
      <w:r>
        <w:rPr>
          <w:rFonts w:hint="eastAsia" w:ascii="宋体" w:hAnsi="宋体" w:cs="宋体"/>
          <w:color w:val="000000" w:themeColor="text1"/>
          <w:szCs w:val="21"/>
          <w14:textFill>
            <w14:solidFill>
              <w14:schemeClr w14:val="tx1"/>
            </w14:solidFill>
          </w14:textFill>
        </w:rPr>
        <w:t>保险人依照前款约定作出核定后，对不属于保险责任的，应当自作出核定之日起三日内向被保险人发出拒绝给付保险金通知书，并说明理由。</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第十三条</w:t>
      </w:r>
      <w:r>
        <w:rPr>
          <w:rFonts w:hint="eastAsia" w:ascii="宋体" w:hAnsi="宋体" w:cs="宋体"/>
          <w:color w:val="000000" w:themeColor="text1"/>
          <w:szCs w:val="21"/>
          <w14:textFill>
            <w14:solidFill>
              <w14:schemeClr w14:val="tx1"/>
            </w14:solidFill>
          </w14:textFill>
        </w:rPr>
        <w:t xml:space="preserve"> 保险人自收到给付保险金的请求和有关证明、资料之日起六十日内，对其给付的数额不能确定的，应当根据已有证明和资料可以确定的数额先予支付；保险人最终确定给付的数额后，应当支付相应的差额。</w:t>
      </w:r>
    </w:p>
    <w:p>
      <w:pPr>
        <w:pStyle w:val="25"/>
        <w:spacing w:after="156"/>
        <w:ind w:firstLine="422" w:firstLineChars="200"/>
        <w:rPr>
          <w:b/>
          <w:sz w:val="21"/>
        </w:rPr>
      </w:pPr>
      <w:r>
        <w:rPr>
          <w:rFonts w:hint="eastAsia"/>
          <w:b/>
          <w:sz w:val="21"/>
          <w:szCs w:val="21"/>
          <w:lang w:bidi="ar"/>
        </w:rPr>
        <w:t>第十</w:t>
      </w:r>
      <w:r>
        <w:rPr>
          <w:rFonts w:hint="eastAsia"/>
          <w:b/>
          <w:sz w:val="21"/>
          <w:szCs w:val="21"/>
        </w:rPr>
        <w:t>四</w:t>
      </w:r>
      <w:r>
        <w:rPr>
          <w:rFonts w:hint="eastAsia"/>
          <w:b/>
          <w:sz w:val="21"/>
          <w:szCs w:val="21"/>
          <w:lang w:bidi="ar"/>
        </w:rPr>
        <w:t xml:space="preserve">条 </w:t>
      </w:r>
      <w:r>
        <w:rPr>
          <w:rFonts w:hint="eastAsia"/>
          <w:sz w:val="21"/>
          <w:szCs w:val="21"/>
          <w:lang w:bidi="ar"/>
        </w:rPr>
        <w:t>投保人符合保险法规定的退还保险费相关要求的，保险人应当按照保险法相关规定退还</w:t>
      </w:r>
      <w:r>
        <w:rPr>
          <w:rFonts w:hint="eastAsia"/>
          <w:b/>
          <w:bCs/>
          <w:sz w:val="21"/>
          <w:szCs w:val="21"/>
          <w:lang w:bidi="ar"/>
        </w:rPr>
        <w:t>未满期保险费</w:t>
      </w:r>
      <w:r>
        <w:rPr>
          <w:rFonts w:hint="eastAsia"/>
          <w:sz w:val="21"/>
          <w:szCs w:val="21"/>
          <w:lang w:bidi="ar"/>
        </w:rPr>
        <w:t>。</w:t>
      </w: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投保人、被保险人义务</w:t>
      </w:r>
    </w:p>
    <w:p>
      <w:pPr>
        <w:numPr>
          <w:ilvl w:val="0"/>
          <w:numId w:val="2"/>
        </w:numPr>
        <w:tabs>
          <w:tab w:val="left" w:pos="840"/>
        </w:tabs>
        <w:adjustRightInd w:val="0"/>
        <w:spacing w:after="120" w:afterLines="50"/>
        <w:ind w:firstLine="411" w:firstLineChars="196"/>
        <w:rPr>
          <w:rFonts w:asciiTheme="minorEastAsia" w:hAnsiTheme="minorEastAsia" w:eastAsiaTheme="minorEastAsia" w:cstheme="minorEastAsia"/>
          <w:szCs w:val="21"/>
        </w:rPr>
      </w:pPr>
      <w:r>
        <w:rPr>
          <w:rFonts w:hint="eastAsia" w:ascii="宋体" w:hAnsi="宋体" w:cs="宋体"/>
          <w:color w:val="000000" w:themeColor="text1"/>
          <w:szCs w:val="21"/>
          <w14:textFill>
            <w14:solidFill>
              <w14:schemeClr w14:val="tx1"/>
            </w14:solidFill>
          </w14:textFill>
        </w:rPr>
        <w:t>缴费方式</w:t>
      </w:r>
    </w:p>
    <w:p>
      <w:pPr>
        <w:numPr>
          <w:ilvl w:val="255"/>
          <w:numId w:val="0"/>
        </w:numPr>
        <w:tabs>
          <w:tab w:val="left" w:pos="840"/>
        </w:tabs>
        <w:adjustRightInd w:val="0"/>
        <w:spacing w:after="120"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本合同保险费缴付方式由投保人和保险人在投保时约定，并在保险单上载明。</w:t>
      </w:r>
    </w:p>
    <w:p>
      <w:pPr>
        <w:spacing w:after="120" w:afterLines="50"/>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asciiTheme="minorEastAsia" w:hAnsiTheme="minorEastAsia" w:eastAsiaTheme="minorEastAsia" w:cstheme="minorEastAsia"/>
          <w:b/>
          <w:bCs/>
          <w:szCs w:val="21"/>
        </w:rPr>
        <w:t>对本合同生效前发生的保险事故，保险人不承担保险责任。</w:t>
      </w:r>
    </w:p>
    <w:p>
      <w:pPr>
        <w:spacing w:after="120"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若投保人选择分期缴付保险费，需经投保人申请并经保险人同意，并在本合同中载明保险分期缴付的周期。</w:t>
      </w:r>
    </w:p>
    <w:p>
      <w:pPr>
        <w:spacing w:after="120"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如投保人未缴付首期保费，本合同不</w:t>
      </w:r>
      <w:r>
        <w:rPr>
          <w:rFonts w:asciiTheme="minorEastAsia" w:hAnsiTheme="minorEastAsia" w:eastAsiaTheme="minorEastAsia" w:cstheme="minorEastAsia"/>
          <w:b/>
          <w:bCs/>
          <w:szCs w:val="21"/>
        </w:rPr>
        <w:t>生效</w:t>
      </w:r>
      <w:r>
        <w:rPr>
          <w:rFonts w:hint="eastAsia" w:asciiTheme="minorEastAsia" w:hAnsiTheme="minorEastAsia" w:eastAsiaTheme="minorEastAsia" w:cstheme="minorEastAsia"/>
          <w:b/>
          <w:bCs/>
          <w:szCs w:val="21"/>
        </w:rPr>
        <w:t>。对本合同生效前发生的保险事故，保险人不承担保险责任。</w:t>
      </w:r>
    </w:p>
    <w:p>
      <w:pPr>
        <w:spacing w:after="120"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本合同约定的付款时间足额缴付当期保费，允许在宽限期内补缴保险费；如果被保险人在宽限期内发生保险事故，保险人仍按照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pPr>
        <w:spacing w:after="120" w:afterLines="50"/>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如投保人未按照本合同约定的付款时间足额缴付当期保费，且在本合同约定的宽限期内仍未足额补缴当期保费的，本合同效力中止，保险人对本合同效力中止后发生的保险事故不承担给付保险金责任。</w:t>
      </w:r>
    </w:p>
    <w:p>
      <w:pPr>
        <w:adjustRightInd/>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Theme="minorEastAsia" w:hAnsiTheme="minorEastAsia" w:eastAsiaTheme="minorEastAsia" w:cstheme="minorEastAsia"/>
          <w:b/>
          <w:bCs/>
          <w:szCs w:val="21"/>
        </w:rPr>
        <w:t>宽限期由投保人与保险人协商确定，并在本合同中载明。</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第十六条</w:t>
      </w:r>
      <w:r>
        <w:rPr>
          <w:rFonts w:hint="eastAsia" w:ascii="宋体" w:hAnsi="宋体" w:cs="宋体"/>
          <w:color w:val="000000" w:themeColor="text1"/>
          <w:szCs w:val="21"/>
          <w14:textFill>
            <w14:solidFill>
              <w14:schemeClr w14:val="tx1"/>
            </w14:solidFill>
          </w14:textFill>
        </w:rPr>
        <w:t xml:space="preserve"> 订立保险合同，保险人就被保险人的有关情况提出询问的，投保人应当如实告知。</w:t>
      </w:r>
    </w:p>
    <w:p>
      <w:pPr>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投保人故意或者因重大过失未履行前款规定的义务，足以影响保险人决定是否同意承保或者提高保险费率的，保险人有权解除本合同。</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前款规定的合同解除权，自保险人知道有解除事由之日起，超过三十日不行使而消灭。</w:t>
      </w:r>
    </w:p>
    <w:p>
      <w:pPr>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投保人故意不履行如实告知义务的，保险人对于合同解除前发生的保险事故，不承担给付保险金责任，并不退还保险费。</w:t>
      </w:r>
    </w:p>
    <w:p>
      <w:pPr>
        <w:adjustRightInd w:val="0"/>
        <w:spacing w:after="120"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p>
      <w:pPr>
        <w:tabs>
          <w:tab w:val="left" w:pos="840"/>
        </w:tabs>
        <w:adjustRightInd w:val="0"/>
        <w:spacing w:after="120" w:afterLines="50"/>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保险人在合同订立时已经知道投保人未如实告知的情况的，保险人不得解除合同；发生保险事故的，保险人应当承担给付保险金责任。</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第十七条</w:t>
      </w:r>
      <w:r>
        <w:rPr>
          <w:rFonts w:hint="eastAsia" w:ascii="宋体" w:hAnsi="宋体" w:cs="宋体"/>
          <w:color w:val="000000" w:themeColor="text1"/>
          <w:szCs w:val="21"/>
          <w14:textFill>
            <w14:solidFill>
              <w14:schemeClr w14:val="tx1"/>
            </w14:solidFill>
          </w14:textFill>
        </w:rPr>
        <w:t xml:space="preserve">  被保险人变更职业或工种时，投保人或被保险人应在10日内以书面形式通知保险人。</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被保险人所变更的职业或工种依照保险人职业分类在拒保范围内的，保险人在接到通知后有权解除本合同并按照接到通知之日退还原职业或工种所对应的未满期保险费。</w:t>
      </w:r>
      <w:r>
        <w:rPr>
          <w:rFonts w:hint="eastAsia" w:ascii="宋体" w:hAnsi="宋体" w:cs="宋体"/>
          <w:color w:val="000000" w:themeColor="text1"/>
          <w:szCs w:val="21"/>
          <w14:textFill>
            <w14:solidFill>
              <w14:schemeClr w14:val="tx1"/>
            </w14:solidFill>
          </w14:textFill>
        </w:rPr>
        <w:t>被保险人所变更的职业或工种依照保险人职业分类危险程度增加但仍可承保或在拒保范围内但保险人认定可以继续承保的，</w:t>
      </w:r>
      <w:r>
        <w:rPr>
          <w:rFonts w:hint="eastAsia" w:ascii="宋体" w:hAnsi="宋体" w:cs="宋体"/>
          <w:b/>
          <w:bCs/>
          <w:color w:val="000000" w:themeColor="text1"/>
          <w:szCs w:val="21"/>
          <w14:textFill>
            <w14:solidFill>
              <w14:schemeClr w14:val="tx1"/>
            </w14:solidFill>
          </w14:textFill>
        </w:rPr>
        <w:t>保险人自接到通知之日起，向投保人加收自职业变更之日起应加收的保险费。</w:t>
      </w:r>
    </w:p>
    <w:p>
      <w:pPr>
        <w:tabs>
          <w:tab w:val="left" w:pos="840"/>
        </w:tabs>
        <w:adjustRightInd w:val="0"/>
        <w:spacing w:after="120" w:afterLines="50"/>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被保险人所变更的职业或工种依照保险人职业分类危险程度降低的，保险人自接到通知之日起，向投保人退还自职业变更之日应减收的保费。</w:t>
      </w:r>
    </w:p>
    <w:p>
      <w:pPr>
        <w:tabs>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被保险人所变更的职业或工种，依照保险人职业分类其危险性增加，且未依本条约定通知保险人而发生保险事故的，保险人自其职业变更之日起按其原交保险费与新职业或工种所对应的保险费比例计算并给付保险金。被保险人所变更的职业或工种依照保险人职业分类在拒保范围内，保险人不承担给付保险金的责任。</w:t>
      </w:r>
    </w:p>
    <w:p>
      <w:pPr>
        <w:tabs>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第十八条</w:t>
      </w:r>
      <w:r>
        <w:rPr>
          <w:rFonts w:hint="eastAsia" w:ascii="宋体" w:hAnsi="宋体" w:cs="宋体"/>
          <w:color w:val="000000" w:themeColor="text1"/>
          <w:szCs w:val="21"/>
          <w14:textFill>
            <w14:solidFill>
              <w14:schemeClr w14:val="tx1"/>
            </w14:solidFill>
          </w14:textFill>
        </w:rPr>
        <w:t xml:space="preserve">  投保人住所或通讯地址变更时，应及时以书面形式通知保险人。投保人未通知的，保险人按本合同所载的最后住所或通讯地址发送的有关通知，均视为已发送给投保人。</w:t>
      </w:r>
    </w:p>
    <w:p>
      <w:pPr>
        <w:tabs>
          <w:tab w:val="left" w:pos="840"/>
        </w:tabs>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第十九条</w:t>
      </w:r>
      <w:r>
        <w:rPr>
          <w:rFonts w:hint="eastAsia" w:ascii="宋体" w:hAnsi="宋体" w:cs="宋体"/>
          <w:color w:val="000000" w:themeColor="text1"/>
          <w:szCs w:val="21"/>
          <w14:textFill>
            <w14:solidFill>
              <w14:schemeClr w14:val="tx1"/>
            </w14:solidFill>
          </w14:textFill>
        </w:rPr>
        <w:t xml:space="preserve">  投保人、被保险人或者保险金受益人知道保险事故发生后，应当及时通知保险人。</w:t>
      </w:r>
      <w:r>
        <w:rPr>
          <w:rFonts w:hint="eastAsia" w:ascii="宋体" w:hAnsi="宋体" w:cs="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w:t>
      </w:r>
      <w:r>
        <w:rPr>
          <w:rFonts w:hint="eastAsia" w:ascii="宋体" w:hAnsi="宋体" w:cs="宋体"/>
          <w:color w:val="000000" w:themeColor="text1"/>
          <w:szCs w:val="21"/>
          <w14:textFill>
            <w14:solidFill>
              <w14:schemeClr w14:val="tx1"/>
            </w14:solidFill>
          </w14:textFill>
        </w:rPr>
        <w:t>，但保险人通过其他途径已经及时知道或者应当及时知道保险事故发生的除外。</w:t>
      </w:r>
    </w:p>
    <w:p>
      <w:pPr>
        <w:adjustRightInd w:val="0"/>
        <w:spacing w:after="120" w:afterLines="50"/>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上述约定，不包括因不可抗力而导致的迟延。</w:t>
      </w: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保险金申请与给付</w:t>
      </w:r>
    </w:p>
    <w:p>
      <w:pPr>
        <w:tabs>
          <w:tab w:val="left" w:pos="840"/>
        </w:tabs>
        <w:adjustRightInd w:val="0"/>
        <w:spacing w:after="120" w:afterLines="50"/>
        <w:ind w:firstLine="415" w:firstLineChars="197"/>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第二十条</w:t>
      </w:r>
      <w:r>
        <w:rPr>
          <w:rFonts w:hint="eastAsia" w:ascii="宋体" w:hAnsi="宋体" w:cs="宋体"/>
          <w:color w:val="000000" w:themeColor="text1"/>
          <w:szCs w:val="21"/>
          <w14:textFill>
            <w14:solidFill>
              <w14:schemeClr w14:val="tx1"/>
            </w14:solidFill>
          </w14:textFill>
        </w:rPr>
        <w:t xml:space="preserve">  保险金申请人向保险人申请给付保险金时，应提交以下材料。保险金申请人因特殊原因不能提供以下材料的，应提供其他合法有效的材料。</w:t>
      </w:r>
      <w:r>
        <w:rPr>
          <w:rFonts w:hint="eastAsia" w:ascii="宋体" w:hAnsi="宋体" w:cs="宋体"/>
          <w:b/>
          <w:color w:val="000000" w:themeColor="text1"/>
          <w:szCs w:val="21"/>
          <w14:textFill>
            <w14:solidFill>
              <w14:schemeClr w14:val="tx1"/>
            </w14:solidFill>
          </w14:textFill>
        </w:rPr>
        <w:t>保险金申请人未能提供有关材料，导致保险人无法核实该申请的真实性的，保险人对无法核实部分不承担给付保险金的责任。</w:t>
      </w:r>
    </w:p>
    <w:p>
      <w:pPr>
        <w:tabs>
          <w:tab w:val="left" w:pos="840"/>
        </w:tabs>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（一）身故保险金申请</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（1）索赔申请书；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（2）保险单原件；</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（3）保险金申请人的身份证明；</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（4）公安部门或医疗机构出具的被保险人死亡证明书。若被保险人为宣告死亡，保险金申请人应提供人民法院出具的宣告死亡证明文件；</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（5）被保险人的户籍注销证明；</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（6）保险金申请人所能提供的与确认保险事故的性质、原因、损失程度等有关的其他证明和资料；</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（7）若保险金申请人委托他人申请的，还应提供授权委托书原件、委托人和受托人的身份证明等相关证明文件。</w:t>
      </w:r>
    </w:p>
    <w:p>
      <w:pPr>
        <w:tabs>
          <w:tab w:val="left" w:pos="840"/>
        </w:tabs>
        <w:adjustRightInd w:val="0"/>
        <w:spacing w:after="120"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（二）伤残保险金申请</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（1）索赔申请书；</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（2）保险单；</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（3）被保险人有效身份证明；</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（4）司法鉴定机构或具有鉴定资质的医疗机构出具的残疾鉴定书，或被保险人认可的医疗机构出具的诊断证明书；</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（5）事发当地政府有关部门出具的意外伤害事故证明；</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（6）保险金申请人所能提供的其他与本项申请相关的材料；</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adjustRightInd w:val="0"/>
        <w:snapToGrid w:val="0"/>
        <w:spacing w:after="120" w:afterLines="50"/>
        <w:ind w:firstLine="422" w:firstLineChars="200"/>
        <w:rPr>
          <w:szCs w:val="21"/>
        </w:rPr>
      </w:pPr>
      <w:r>
        <w:rPr>
          <w:b/>
          <w:szCs w:val="21"/>
        </w:rPr>
        <w:t>第二十</w:t>
      </w:r>
      <w:r>
        <w:rPr>
          <w:rFonts w:hint="eastAsia"/>
          <w:b/>
          <w:szCs w:val="21"/>
        </w:rPr>
        <w:t>一</w:t>
      </w:r>
      <w:r>
        <w:rPr>
          <w:b/>
          <w:szCs w:val="21"/>
        </w:rPr>
        <w:t xml:space="preserve">条 </w:t>
      </w:r>
      <w:r>
        <w:rPr>
          <w:rFonts w:hint="eastAsia" w:hAnsi="宋体" w:cs="宋体"/>
          <w:b/>
          <w:szCs w:val="21"/>
        </w:rPr>
        <w:t xml:space="preserve"> 投保人、</w:t>
      </w:r>
      <w:r>
        <w:rPr>
          <w:b/>
          <w:szCs w:val="21"/>
        </w:rPr>
        <w:t>被保险人或者受益人在未发生保险事故的情况下，谎称发生了保险事故，向保险人提出赔偿或者给付保险金的请求的，保险人有权解除</w:t>
      </w:r>
      <w:r>
        <w:rPr>
          <w:rFonts w:hint="eastAsia"/>
          <w:b/>
          <w:szCs w:val="21"/>
        </w:rPr>
        <w:t>本合同</w:t>
      </w:r>
      <w:r>
        <w:rPr>
          <w:b/>
          <w:szCs w:val="21"/>
        </w:rPr>
        <w:t>，并不退还保险费。</w:t>
      </w:r>
    </w:p>
    <w:p>
      <w:pPr>
        <w:adjustRightInd w:val="0"/>
        <w:snapToGrid w:val="0"/>
        <w:spacing w:after="120" w:afterLines="50"/>
        <w:ind w:firstLine="422" w:firstLineChars="200"/>
        <w:rPr>
          <w:b/>
          <w:szCs w:val="21"/>
        </w:rPr>
      </w:pPr>
      <w:r>
        <w:rPr>
          <w:b/>
          <w:szCs w:val="21"/>
        </w:rPr>
        <w:t>投保人、被保险人</w:t>
      </w:r>
      <w:r>
        <w:rPr>
          <w:rFonts w:hint="eastAsia"/>
          <w:b/>
          <w:szCs w:val="21"/>
        </w:rPr>
        <w:t>或</w:t>
      </w:r>
      <w:r>
        <w:rPr>
          <w:b/>
          <w:szCs w:val="21"/>
        </w:rPr>
        <w:t>受益人故意制造保险事故的，保险人有权解除</w:t>
      </w:r>
      <w:r>
        <w:rPr>
          <w:rFonts w:hint="eastAsia"/>
          <w:b/>
          <w:szCs w:val="21"/>
        </w:rPr>
        <w:t>本合同</w:t>
      </w:r>
      <w:r>
        <w:rPr>
          <w:b/>
          <w:szCs w:val="21"/>
        </w:rPr>
        <w:t>，不承担赔偿或者给付保险金的责任，也不退还保险费。</w:t>
      </w:r>
    </w:p>
    <w:p>
      <w:pPr>
        <w:adjustRightInd w:val="0"/>
        <w:snapToGrid w:val="0"/>
        <w:spacing w:after="120" w:afterLines="50"/>
        <w:ind w:firstLine="422" w:firstLineChars="200"/>
        <w:rPr>
          <w:szCs w:val="21"/>
        </w:rPr>
      </w:pPr>
      <w:r>
        <w:rPr>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20" w:afterLines="50"/>
        <w:ind w:firstLine="422" w:firstLineChars="200"/>
        <w:rPr>
          <w:b/>
          <w:szCs w:val="21"/>
        </w:rPr>
      </w:pPr>
      <w:r>
        <w:rPr>
          <w:b/>
          <w:szCs w:val="21"/>
        </w:rPr>
        <w:t>投保人、被保险人或者受益人有前三款规定行为之一，致使保险人支付保险金或者支出费用的，应当予以退还或者赔偿。</w:t>
      </w:r>
    </w:p>
    <w:p>
      <w:pPr>
        <w:adjustRightInd w:val="0"/>
        <w:snapToGrid w:val="0"/>
        <w:spacing w:after="120" w:afterLines="50"/>
        <w:ind w:firstLine="422" w:firstLineChars="200"/>
        <w:rPr>
          <w:rFonts w:ascii="宋体" w:hAnsi="宋体" w:cs="宋体"/>
          <w:szCs w:val="21"/>
        </w:rPr>
      </w:pPr>
      <w:r>
        <w:rPr>
          <w:b/>
          <w:szCs w:val="21"/>
        </w:rPr>
        <w:t>第二十</w:t>
      </w:r>
      <w:r>
        <w:rPr>
          <w:rFonts w:hint="eastAsia"/>
          <w:b/>
          <w:szCs w:val="21"/>
        </w:rPr>
        <w:t>二</w:t>
      </w:r>
      <w:r>
        <w:rPr>
          <w:b/>
          <w:szCs w:val="21"/>
        </w:rPr>
        <w:t xml:space="preserve">条  </w:t>
      </w:r>
      <w:r>
        <w:rPr>
          <w:rFonts w:hint="eastAsia" w:ascii="宋体" w:hAnsi="宋体" w:cs="宋体"/>
          <w:szCs w:val="21"/>
        </w:rPr>
        <w:t>保险金申请人向保险人请求给付保险金的诉讼时效依据中华人民共和国法律（</w:t>
      </w:r>
      <w:bookmarkStart w:id="6" w:name="_Hlk22029879"/>
      <w:r>
        <w:rPr>
          <w:rFonts w:hint="eastAsia" w:ascii="宋体" w:hAnsi="宋体" w:cs="宋体"/>
          <w:szCs w:val="21"/>
        </w:rPr>
        <w:t>为本合同之目的，</w:t>
      </w:r>
      <w:r>
        <w:rPr>
          <w:rFonts w:hint="eastAsia" w:ascii="宋体" w:hAnsi="宋体" w:cs="宋体"/>
          <w:b/>
          <w:bCs/>
          <w:szCs w:val="21"/>
        </w:rPr>
        <w:t>不包括香港、澳门</w:t>
      </w:r>
      <w:r>
        <w:rPr>
          <w:rFonts w:hint="eastAsia" w:hAnsi="宋体" w:cs="宋体"/>
          <w:b/>
          <w:bCs/>
          <w:szCs w:val="21"/>
        </w:rPr>
        <w:t>及</w:t>
      </w:r>
      <w:r>
        <w:rPr>
          <w:rFonts w:hint="eastAsia" w:ascii="宋体" w:hAnsi="宋体" w:cs="宋体"/>
          <w:b/>
          <w:bCs/>
          <w:szCs w:val="21"/>
        </w:rPr>
        <w:t>台湾地区的法律</w:t>
      </w:r>
      <w:bookmarkEnd w:id="6"/>
      <w:r>
        <w:rPr>
          <w:rFonts w:hint="eastAsia" w:ascii="宋体" w:hAnsi="宋体" w:cs="宋体"/>
          <w:szCs w:val="21"/>
        </w:rPr>
        <w:t>）确定，自其知道或者应当知道保险事故发生之日起计算。</w:t>
      </w:r>
    </w:p>
    <w:p>
      <w:pPr>
        <w:adjustRightInd w:val="0"/>
        <w:spacing w:after="120" w:afterLines="50"/>
        <w:ind w:firstLine="315" w:firstLineChars="150"/>
        <w:rPr>
          <w:rFonts w:ascii="宋体" w:hAnsi="宋体"/>
          <w:color w:val="000000" w:themeColor="text1"/>
          <w:szCs w:val="21"/>
          <w14:textFill>
            <w14:solidFill>
              <w14:schemeClr w14:val="tx1"/>
            </w14:solidFill>
          </w14:textFill>
        </w:rPr>
      </w:pPr>
    </w:p>
    <w:p>
      <w:pPr>
        <w:tabs>
          <w:tab w:val="left" w:pos="840"/>
        </w:tabs>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争议处理和法律适用</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第二十三条</w:t>
      </w:r>
      <w:r>
        <w:rPr>
          <w:rFonts w:hint="eastAsia" w:ascii="宋体" w:hAnsi="宋体" w:cs="宋体"/>
          <w:color w:val="000000" w:themeColor="text1"/>
          <w:szCs w:val="21"/>
          <w14:textFill>
            <w14:solidFill>
              <w14:schemeClr w14:val="tx1"/>
            </w14:solidFill>
          </w14:textFill>
        </w:rPr>
        <w:t xml:space="preserve">  因履行本合同发生的争议，由当事人协商解决。协商不成的，提交保险单载明的仲裁机构仲裁；保险单未载明仲裁机构或者争议发生后未达成仲裁协议的，依法向中华人民共和国（</w:t>
      </w:r>
      <w:r>
        <w:rPr>
          <w:rFonts w:hint="eastAsia" w:ascii="宋体" w:hAnsi="宋体" w:cs="宋体"/>
          <w:b/>
          <w:bCs/>
          <w:color w:val="000000" w:themeColor="text1"/>
          <w:szCs w:val="21"/>
          <w14:textFill>
            <w14:solidFill>
              <w14:schemeClr w14:val="tx1"/>
            </w14:solidFill>
          </w14:textFill>
        </w:rPr>
        <w:t>不包括香港、澳门、台湾地区</w:t>
      </w:r>
      <w:r>
        <w:rPr>
          <w:rFonts w:hint="eastAsia" w:ascii="宋体" w:hAnsi="宋体" w:cs="宋体"/>
          <w:color w:val="000000" w:themeColor="text1"/>
          <w:szCs w:val="21"/>
          <w14:textFill>
            <w14:solidFill>
              <w14:schemeClr w14:val="tx1"/>
            </w14:solidFill>
          </w14:textFill>
        </w:rPr>
        <w:t>）有管辖权的人民法院起诉。</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第二十四条</w:t>
      </w:r>
      <w:r>
        <w:rPr>
          <w:rFonts w:hint="eastAsia" w:ascii="宋体" w:hAnsi="宋体" w:cs="宋体"/>
          <w:color w:val="000000" w:themeColor="text1"/>
          <w:szCs w:val="21"/>
          <w14:textFill>
            <w14:solidFill>
              <w14:schemeClr w14:val="tx1"/>
            </w14:solidFill>
          </w14:textFill>
        </w:rPr>
        <w:t xml:space="preserve">  与本合同有关的以及履行本合同产生的一切争议处理适用中华人民共和国法律</w:t>
      </w:r>
      <w:r>
        <w:rPr>
          <w:rFonts w:hint="eastAsia" w:ascii="宋体" w:hAnsi="宋体" w:cs="宋体"/>
          <w:b/>
          <w:bCs/>
          <w:color w:val="000000" w:themeColor="text1"/>
          <w:szCs w:val="21"/>
          <w14:textFill>
            <w14:solidFill>
              <w14:schemeClr w14:val="tx1"/>
            </w14:solidFill>
          </w14:textFill>
        </w:rPr>
        <w:t>（不包括港澳台地区法律）</w:t>
      </w:r>
      <w:r>
        <w:rPr>
          <w:rFonts w:hint="eastAsia" w:ascii="宋体" w:hAnsi="宋体" w:cs="宋体"/>
          <w:color w:val="000000" w:themeColor="text1"/>
          <w:szCs w:val="21"/>
          <w14:textFill>
            <w14:solidFill>
              <w14:schemeClr w14:val="tx1"/>
            </w14:solidFill>
          </w14:textFill>
        </w:rPr>
        <w:t>。</w:t>
      </w:r>
    </w:p>
    <w:p>
      <w:pPr>
        <w:adjustRightInd w:val="0"/>
        <w:snapToGri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其它事项</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第二十五条</w:t>
      </w:r>
      <w:r>
        <w:rPr>
          <w:rFonts w:hint="eastAsia" w:ascii="宋体" w:hAnsi="宋体" w:cs="宋体"/>
          <w:color w:val="000000" w:themeColor="text1"/>
          <w:szCs w:val="21"/>
          <w14:textFill>
            <w14:solidFill>
              <w14:schemeClr w14:val="tx1"/>
            </w14:solidFill>
          </w14:textFill>
        </w:rPr>
        <w:t xml:space="preserve">  投保人和保险人可以协商变更合同内容。</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变更保险合同的，应当由保险人在保险单或者其他保险凭证上批注或附贴批单，或者投保人和保险人订立变更的书面协议。</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第二十六条</w:t>
      </w:r>
      <w:r>
        <w:rPr>
          <w:rFonts w:hint="eastAsia" w:ascii="宋体" w:hAnsi="宋体" w:cs="宋体"/>
          <w:color w:val="000000" w:themeColor="text1"/>
          <w:szCs w:val="21"/>
          <w14:textFill>
            <w14:solidFill>
              <w14:schemeClr w14:val="tx1"/>
            </w14:solidFill>
          </w14:textFill>
        </w:rPr>
        <w:t xml:space="preserve">  在本合同成立后，投保人可以书面形式通知保险人解除合同，但保险人已根据本合同约定给付保险金的除外。</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投保人解除本合同时，应提供下列证明文件和资料：</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（一）保险合同解除申请书；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（二）保险单原件；</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（三）保险费交付凭证；</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（四）投保人身份证明。</w:t>
      </w:r>
    </w:p>
    <w:p>
      <w:pPr>
        <w:adjustRightInd w:val="0"/>
        <w:spacing w:after="120"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投保人要求解除本合同，自保险人接到保险合同解除申请书之时起，本合同的效力终止。</w:t>
      </w:r>
      <w:r>
        <w:rPr>
          <w:rFonts w:hint="eastAsia" w:ascii="宋体" w:hAnsi="宋体" w:cs="宋体"/>
          <w:color w:val="000000" w:themeColor="text1"/>
          <w:szCs w:val="21"/>
          <w14:textFill>
            <w14:solidFill>
              <w14:schemeClr w14:val="tx1"/>
            </w14:solidFill>
          </w14:textFill>
        </w:rPr>
        <w:t>保险人收到上述证明文件和资料之日起30日内退还保险单的未满期保险费。</w:t>
      </w:r>
    </w:p>
    <w:p>
      <w:pPr>
        <w:adjustRightInd w:val="0"/>
        <w:spacing w:after="120" w:afterLines="50"/>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释义</w:t>
      </w:r>
    </w:p>
    <w:p>
      <w:pPr>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1、周岁：</w:t>
      </w:r>
      <w:r>
        <w:rPr>
          <w:rFonts w:hint="eastAsia" w:ascii="宋体" w:hAnsi="宋体" w:cs="宋体"/>
          <w:color w:val="000000" w:themeColor="text1"/>
          <w:szCs w:val="21"/>
          <w14:textFill>
            <w14:solidFill>
              <w14:schemeClr w14:val="tx1"/>
            </w14:solidFill>
          </w14:textFill>
        </w:rPr>
        <w:t>以法定身份证明文件中记载的出生日期为基础计算的实足年龄。</w:t>
      </w:r>
    </w:p>
    <w:p>
      <w:pPr>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2、保险人：</w:t>
      </w:r>
      <w:r>
        <w:rPr>
          <w:rFonts w:hint="eastAsia" w:ascii="宋体" w:hAnsi="宋体" w:cs="宋体"/>
          <w:color w:val="000000" w:themeColor="text1"/>
          <w:szCs w:val="21"/>
          <w14:textFill>
            <w14:solidFill>
              <w14:schemeClr w14:val="tx1"/>
            </w14:solidFill>
          </w14:textFill>
        </w:rPr>
        <w:t>华农财产保险股份有限公司。</w:t>
      </w:r>
    </w:p>
    <w:p>
      <w:pPr>
        <w:tabs>
          <w:tab w:val="left" w:pos="420"/>
          <w:tab w:val="left" w:pos="840"/>
        </w:tabs>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3、意外伤害：</w:t>
      </w:r>
      <w:r>
        <w:rPr>
          <w:rFonts w:hint="eastAsia" w:ascii="宋体" w:hAnsi="宋体" w:cs="宋体"/>
          <w:color w:val="000000" w:themeColor="text1"/>
          <w:szCs w:val="21"/>
          <w14:textFill>
            <w14:solidFill>
              <w14:schemeClr w14:val="tx1"/>
            </w14:solidFill>
          </w14:textFill>
        </w:rPr>
        <w:t>指以外来的、突发的、非本意的和非疾病的客观事件为直接且单独的原因致使身体受到的伤害。</w:t>
      </w:r>
    </w:p>
    <w:p>
      <w:pPr>
        <w:tabs>
          <w:tab w:val="left" w:pos="420"/>
          <w:tab w:val="left" w:pos="840"/>
        </w:tabs>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4、无有效驾驶证（被保险人存在下列情形之一者）</w:t>
      </w:r>
      <w:r>
        <w:rPr>
          <w:rFonts w:hint="eastAsia" w:ascii="宋体" w:hAnsi="宋体" w:cs="宋体"/>
          <w:color w:val="000000" w:themeColor="text1"/>
          <w:szCs w:val="21"/>
          <w14:textFill>
            <w14:solidFill>
              <w14:schemeClr w14:val="tx1"/>
            </w14:solidFill>
          </w14:textFill>
        </w:rPr>
        <w:t>：</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（1）无驾驶证或驾驶证有效期已届满；</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（2）驾驶的机动车与驾驶证载明的准驾车型不符；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（3）实习期内驾驶公共汽车、营运客车或者载有爆炸物品、易燃易爆化学物品、剧毒或者放射性等危险物品的机动车，实习期内驾驶的机动车牵引挂车；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（4）持未按规定审验的驾驶证，以及在暂扣、扣留、吊销、注销驾驶证期间驾驶机动车；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（5）使用各种专用机械车、特种车的人员无国家有关部门核发的有效操作证，驾驶营业性客车的驾驶人无国家有关部门核发的有效资格证书；</w:t>
      </w:r>
    </w:p>
    <w:p>
      <w:pPr>
        <w:adjustRightInd w:val="0"/>
        <w:spacing w:after="120"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（6）依照法律法规或公安机关交通管理部门有关规定不允许驾驶机动车的其他情况下驾车。</w:t>
      </w:r>
    </w:p>
    <w:p>
      <w:pPr>
        <w:adjustRightInd w:val="0"/>
        <w:spacing w:after="120" w:afterLines="50"/>
        <w:ind w:firstLine="316" w:firstLineChars="150"/>
        <w:rPr>
          <w:rFonts w:ascii="宋体" w:hAnsi="宋体" w:cs="宋体"/>
          <w:color w:val="000000" w:themeColor="text1"/>
          <w:szCs w:val="21"/>
          <w14:textFill>
            <w14:solidFill>
              <w14:schemeClr w14:val="tx1"/>
            </w14:solidFill>
          </w14:textFill>
        </w:rPr>
      </w:pPr>
      <w:r>
        <w:rPr>
          <w:rFonts w:ascii="宋体" w:hAnsi="宋体" w:cs="宋体"/>
          <w:b/>
          <w:color w:val="000000" w:themeColor="text1"/>
          <w:szCs w:val="21"/>
          <w14:textFill>
            <w14:solidFill>
              <w14:schemeClr w14:val="tx1"/>
            </w14:solidFill>
          </w14:textFill>
        </w:rPr>
        <w:t>5</w:t>
      </w:r>
      <w:r>
        <w:rPr>
          <w:rFonts w:hint="eastAsia" w:ascii="宋体" w:hAnsi="宋体" w:cs="宋体"/>
          <w:b/>
          <w:color w:val="000000" w:themeColor="text1"/>
          <w:szCs w:val="21"/>
          <w14:textFill>
            <w14:solidFill>
              <w14:schemeClr w14:val="tx1"/>
            </w14:solidFill>
          </w14:textFill>
        </w:rPr>
        <w:t>、无有效行驶证（指下列情形之一）</w:t>
      </w:r>
      <w:r>
        <w:rPr>
          <w:rFonts w:hint="eastAsia" w:ascii="宋体" w:hAnsi="宋体" w:cs="宋体"/>
          <w:color w:val="000000" w:themeColor="text1"/>
          <w:szCs w:val="21"/>
          <w14:textFill>
            <w14:solidFill>
              <w14:schemeClr w14:val="tx1"/>
            </w14:solidFill>
          </w14:textFill>
        </w:rPr>
        <w:t>：</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（1）机动车被依法注销登记的；</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（2）无公安机关交通管理部门核发的行驶证、号牌，或临时号牌或临时移动证的机动交通工具；</w:t>
      </w:r>
    </w:p>
    <w:p>
      <w:pPr>
        <w:adjustRightInd w:val="0"/>
        <w:spacing w:after="120"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（3）未在规定检验期限内进行机动车安全技术检验或检验未通过的机动交通工具。</w:t>
      </w:r>
    </w:p>
    <w:p>
      <w:pPr>
        <w:spacing w:after="120" w:afterLines="50"/>
        <w:ind w:firstLine="422" w:firstLineChars="200"/>
        <w:rPr>
          <w:rFonts w:ascii="宋体" w:hAnsi="宋体" w:cs="宋体"/>
          <w:szCs w:val="21"/>
        </w:rPr>
      </w:pPr>
      <w:r>
        <w:rPr>
          <w:rFonts w:ascii="宋体" w:hAnsi="宋体" w:cs="宋体"/>
          <w:b/>
          <w:color w:val="000000" w:themeColor="text1"/>
          <w:szCs w:val="21"/>
          <w14:textFill>
            <w14:solidFill>
              <w14:schemeClr w14:val="tx1"/>
            </w14:solidFill>
          </w14:textFill>
        </w:rPr>
        <w:t>6</w:t>
      </w:r>
      <w:r>
        <w:rPr>
          <w:rFonts w:hint="eastAsia" w:ascii="宋体" w:hAnsi="宋体" w:cs="宋体"/>
          <w:b/>
          <w:color w:val="000000" w:themeColor="text1"/>
          <w:szCs w:val="21"/>
          <w14:textFill>
            <w14:solidFill>
              <w14:schemeClr w14:val="tx1"/>
            </w14:solidFill>
          </w14:textFill>
        </w:rPr>
        <w:t>、未满期保险费</w:t>
      </w:r>
      <w:r>
        <w:rPr>
          <w:rFonts w:hint="eastAsia" w:ascii="宋体" w:hAnsi="宋体" w:cs="宋体"/>
          <w:color w:val="000000" w:themeColor="text1"/>
          <w:szCs w:val="21"/>
          <w14:textFill>
            <w14:solidFill>
              <w14:schemeClr w14:val="tx1"/>
            </w14:solidFill>
          </w14:textFill>
        </w:rPr>
        <w:t>：</w:t>
      </w:r>
      <w:r>
        <w:rPr>
          <w:rFonts w:hint="eastAsia" w:ascii="宋体" w:hAnsi="宋体" w:cs="宋体"/>
          <w:szCs w:val="21"/>
        </w:rPr>
        <w:t>除另有约定外，按下述公式计算未满期保险费：</w:t>
      </w:r>
    </w:p>
    <w:p>
      <w:pPr>
        <w:spacing w:after="120" w:afterLines="50"/>
        <w:ind w:firstLine="420" w:firstLineChars="200"/>
        <w:rPr>
          <w:rFonts w:ascii="宋体" w:hAnsi="宋体" w:cs="宋体"/>
          <w:szCs w:val="21"/>
        </w:rPr>
      </w:pPr>
      <w:r>
        <w:rPr>
          <w:rFonts w:hint="eastAsia" w:ascii="宋体" w:hAnsi="宋体" w:cs="宋体"/>
          <w:szCs w:val="21"/>
        </w:rPr>
        <w:t>若选择一次性缴付保险费，未满期保险费</w:t>
      </w:r>
      <w:r>
        <w:rPr>
          <w:rFonts w:ascii="宋体" w:hAnsi="宋体" w:cs="宋体"/>
          <w:szCs w:val="21"/>
        </w:rPr>
        <w:t>=保费×（1-m/n），其中，m为已生效天数，n为保险期间的天数，经过日期不足一日的按一日计算。</w:t>
      </w:r>
    </w:p>
    <w:p>
      <w:pPr>
        <w:spacing w:after="120" w:afterLines="50"/>
        <w:ind w:firstLine="420" w:firstLineChars="200"/>
        <w:rPr>
          <w:rFonts w:ascii="宋体" w:hAnsi="宋体" w:cs="宋体"/>
          <w:szCs w:val="21"/>
        </w:rPr>
      </w:pPr>
      <w:r>
        <w:rPr>
          <w:rFonts w:hint="eastAsia" w:ascii="宋体" w:hAnsi="宋体" w:cs="宋体"/>
          <w:szCs w:val="21"/>
        </w:rPr>
        <w:t>若选择分期缴付保险费，未满期保险费</w:t>
      </w:r>
      <w:r>
        <w:rPr>
          <w:rFonts w:ascii="宋体" w:hAnsi="宋体" w:cs="宋体"/>
          <w:szCs w:val="21"/>
        </w:rPr>
        <w:t>=当期保费×（1-m/n）,其中，m为当期已生效天数，n为当期天数，经过日期不足一日的按一日计算。</w:t>
      </w:r>
    </w:p>
    <w:p>
      <w:pPr>
        <w:tabs>
          <w:tab w:val="left" w:pos="420"/>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7</w:t>
      </w:r>
      <w:r>
        <w:rPr>
          <w:rFonts w:hint="eastAsia" w:ascii="宋体" w:hAnsi="宋体" w:cs="宋体"/>
          <w:b/>
          <w:bCs/>
          <w:color w:val="000000" w:themeColor="text1"/>
          <w:szCs w:val="21"/>
          <w14:textFill>
            <w14:solidFill>
              <w14:schemeClr w14:val="tx1"/>
            </w14:solidFill>
          </w14:textFill>
        </w:rPr>
        <w:t>、不可抗力</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指不能预见、不能避免并不能克服的客观情况。</w:t>
      </w:r>
    </w:p>
    <w:p>
      <w:pPr>
        <w:tabs>
          <w:tab w:val="left" w:pos="420"/>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8</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保险金申请人</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指受益人或被保险人的继承人或依法享有保险金请求权的其他自然人。</w:t>
      </w:r>
    </w:p>
    <w:p>
      <w:pPr>
        <w:tabs>
          <w:tab w:val="left" w:pos="420"/>
          <w:tab w:val="left" w:pos="840"/>
        </w:tabs>
        <w:adjustRightInd w:val="0"/>
        <w:spacing w:after="120" w:afterLines="50"/>
        <w:ind w:firstLine="413" w:firstLineChars="196"/>
        <w:rPr>
          <w:rFonts w:ascii="宋体" w:hAnsi="宋体" w:cs="宋体"/>
          <w:color w:val="000000" w:themeColor="text1"/>
          <w:szCs w:val="21"/>
          <w14:textFill>
            <w14:solidFill>
              <w14:schemeClr w14:val="tx1"/>
            </w14:solidFill>
          </w14:textFill>
        </w:rPr>
      </w:pPr>
      <w:r>
        <w:rPr>
          <w:rFonts w:ascii="宋体" w:hAnsi="宋体" w:cs="宋体"/>
          <w:b/>
          <w:color w:val="000000" w:themeColor="text1"/>
          <w:szCs w:val="21"/>
          <w14:textFill>
            <w14:solidFill>
              <w14:schemeClr w14:val="tx1"/>
            </w14:solidFill>
          </w14:textFill>
        </w:rPr>
        <w:t>9</w:t>
      </w:r>
      <w:r>
        <w:rPr>
          <w:rFonts w:hint="eastAsia" w:ascii="宋体" w:hAnsi="宋体" w:cs="宋体"/>
          <w:b/>
          <w:color w:val="000000" w:themeColor="text1"/>
          <w:szCs w:val="21"/>
          <w14:textFill>
            <w14:solidFill>
              <w14:schemeClr w14:val="tx1"/>
            </w14:solidFill>
          </w14:textFill>
        </w:rPr>
        <w:t>、高风险运动</w:t>
      </w:r>
      <w:r>
        <w:rPr>
          <w:rFonts w:hint="eastAsia" w:ascii="宋体" w:hAnsi="宋体" w:cs="宋体"/>
          <w:color w:val="000000" w:themeColor="text1"/>
          <w:szCs w:val="21"/>
          <w14:textFill>
            <w14:solidFill>
              <w14:schemeClr w14:val="tx1"/>
            </w14:solidFill>
          </w14:textFill>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pPr>
        <w:spacing w:after="120" w:afterLines="50"/>
        <w:ind w:firstLine="422" w:firstLineChars="200"/>
        <w:rPr>
          <w:rFonts w:ascii="宋体" w:hAnsi="宋体" w:cs="宋体"/>
          <w:szCs w:val="21"/>
        </w:rPr>
      </w:pPr>
      <w:r>
        <w:rPr>
          <w:rFonts w:ascii="宋体" w:hAnsi="宋体" w:cs="宋体"/>
          <w:b/>
          <w:bCs/>
          <w:color w:val="000000" w:themeColor="text1"/>
          <w:szCs w:val="21"/>
          <w14:textFill>
            <w14:solidFill>
              <w14:schemeClr w14:val="tx1"/>
            </w14:solidFill>
          </w14:textFill>
        </w:rPr>
        <w:t>10、</w:t>
      </w:r>
      <w:r>
        <w:rPr>
          <w:rFonts w:ascii="宋体" w:hAnsi="宋体" w:cs="宋体"/>
          <w:b/>
          <w:szCs w:val="21"/>
        </w:rPr>
        <w:t>职业分类</w:t>
      </w:r>
      <w:r>
        <w:rPr>
          <w:rFonts w:hint="eastAsia" w:ascii="宋体" w:hAnsi="宋体" w:cs="宋体"/>
          <w:b/>
          <w:szCs w:val="21"/>
        </w:rPr>
        <w:t>：</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tabs>
          <w:tab w:val="left" w:pos="420"/>
          <w:tab w:val="left" w:pos="840"/>
        </w:tabs>
        <w:adjustRightInd w:val="0"/>
        <w:spacing w:after="120" w:afterLines="50"/>
        <w:ind w:firstLine="411" w:firstLineChars="196"/>
        <w:rPr>
          <w:rFonts w:ascii="宋体" w:hAnsi="宋体" w:cs="宋体"/>
          <w:color w:val="000000" w:themeColor="text1"/>
          <w:szCs w:val="21"/>
          <w14:textFill>
            <w14:solidFill>
              <w14:schemeClr w14:val="tx1"/>
            </w14:solidFill>
          </w14:textFill>
        </w:rPr>
      </w:pPr>
    </w:p>
    <w:p>
      <w:pPr>
        <w:widowControl/>
        <w:jc w:val="left"/>
        <w:rPr>
          <w:sz w:val="20"/>
        </w:rPr>
      </w:pPr>
    </w:p>
    <w:sectPr>
      <w:footerReference r:id="rId5" w:type="first"/>
      <w:headerReference r:id="rId3" w:type="default"/>
      <w:footerReference r:id="rId4" w:type="default"/>
      <w:pgSz w:w="11910" w:h="16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36" name="文本框75"/>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5"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D5X5J0AAAAAMBAAAPAAAAAAAAAAEAIAAAACIA&#10;AABkcnMvZG93bnJldi54bWxQSwECFAAUAAAACACHTuJA43KsMRECAAARBAAADgAAAAAAAAABACAA&#10;AAAfAQAAZHJzL2Uyb0RvYy54bWxQSwUGAAAAAAYABgBZAQAAo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76"/>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7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E2znfUKAgAAEwQAAA4AAAAAAAAAAQAgAAAAHgEAAGRy&#10;cy9lMm9Eb2MueG1sUEsFBgAAAAAGAAYAWQEAAJo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F3B780"/>
    <w:multiLevelType w:val="singleLevel"/>
    <w:tmpl w:val="CEF3B780"/>
    <w:lvl w:ilvl="0" w:tentative="0">
      <w:start w:val="1"/>
      <w:numFmt w:val="chineseCounting"/>
      <w:suff w:val="nothing"/>
      <w:lvlText w:val="（%1）"/>
      <w:lvlJc w:val="left"/>
      <w:rPr>
        <w:rFonts w:hint="eastAsia"/>
      </w:rPr>
    </w:lvl>
  </w:abstractNum>
  <w:abstractNum w:abstractNumId="1">
    <w:nsid w:val="618E1606"/>
    <w:multiLevelType w:val="singleLevel"/>
    <w:tmpl w:val="618E1606"/>
    <w:lvl w:ilvl="0" w:tentative="0">
      <w:start w:val="15"/>
      <w:numFmt w:val="chineseCounting"/>
      <w:suff w:val="space"/>
      <w:lvlText w:val="第%1条"/>
      <w:lvlJc w:val="left"/>
      <w:rPr>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A82"/>
    <w:rsid w:val="00002830"/>
    <w:rsid w:val="000051EC"/>
    <w:rsid w:val="000218C0"/>
    <w:rsid w:val="00032556"/>
    <w:rsid w:val="00053D05"/>
    <w:rsid w:val="0005633E"/>
    <w:rsid w:val="0006402A"/>
    <w:rsid w:val="00066560"/>
    <w:rsid w:val="00072AF1"/>
    <w:rsid w:val="00072DE7"/>
    <w:rsid w:val="000954BA"/>
    <w:rsid w:val="000A097E"/>
    <w:rsid w:val="000A64DF"/>
    <w:rsid w:val="000B2DE8"/>
    <w:rsid w:val="000B71C9"/>
    <w:rsid w:val="000C256C"/>
    <w:rsid w:val="000D2DE1"/>
    <w:rsid w:val="000E222C"/>
    <w:rsid w:val="00131139"/>
    <w:rsid w:val="00135103"/>
    <w:rsid w:val="0016586E"/>
    <w:rsid w:val="001761C8"/>
    <w:rsid w:val="00176856"/>
    <w:rsid w:val="0018189D"/>
    <w:rsid w:val="00193108"/>
    <w:rsid w:val="00195761"/>
    <w:rsid w:val="00197DC0"/>
    <w:rsid w:val="001A31EC"/>
    <w:rsid w:val="001E0810"/>
    <w:rsid w:val="001F76C6"/>
    <w:rsid w:val="00210BC8"/>
    <w:rsid w:val="002246EB"/>
    <w:rsid w:val="00224C33"/>
    <w:rsid w:val="00234092"/>
    <w:rsid w:val="002343CB"/>
    <w:rsid w:val="00260D53"/>
    <w:rsid w:val="0027754B"/>
    <w:rsid w:val="00283C90"/>
    <w:rsid w:val="00291406"/>
    <w:rsid w:val="002B072C"/>
    <w:rsid w:val="002B592C"/>
    <w:rsid w:val="002F10C3"/>
    <w:rsid w:val="002F7ACB"/>
    <w:rsid w:val="003122A4"/>
    <w:rsid w:val="003347E1"/>
    <w:rsid w:val="0036290A"/>
    <w:rsid w:val="003863B5"/>
    <w:rsid w:val="003A7E4E"/>
    <w:rsid w:val="003F4BFE"/>
    <w:rsid w:val="003F7178"/>
    <w:rsid w:val="004050B5"/>
    <w:rsid w:val="004656EA"/>
    <w:rsid w:val="00474637"/>
    <w:rsid w:val="00475900"/>
    <w:rsid w:val="00492E2B"/>
    <w:rsid w:val="004B3C22"/>
    <w:rsid w:val="004D5737"/>
    <w:rsid w:val="004E3D54"/>
    <w:rsid w:val="004E48E7"/>
    <w:rsid w:val="00505D2F"/>
    <w:rsid w:val="0054100A"/>
    <w:rsid w:val="00553A06"/>
    <w:rsid w:val="005674B4"/>
    <w:rsid w:val="005C6B71"/>
    <w:rsid w:val="005D53E1"/>
    <w:rsid w:val="005E287F"/>
    <w:rsid w:val="00600198"/>
    <w:rsid w:val="00606672"/>
    <w:rsid w:val="00614B36"/>
    <w:rsid w:val="00625D78"/>
    <w:rsid w:val="0063468F"/>
    <w:rsid w:val="00647D71"/>
    <w:rsid w:val="0066467A"/>
    <w:rsid w:val="006812DE"/>
    <w:rsid w:val="00686E34"/>
    <w:rsid w:val="00694BF9"/>
    <w:rsid w:val="006A63D1"/>
    <w:rsid w:val="006F1E4A"/>
    <w:rsid w:val="006F7A82"/>
    <w:rsid w:val="00707071"/>
    <w:rsid w:val="00760B47"/>
    <w:rsid w:val="00785D80"/>
    <w:rsid w:val="00792B13"/>
    <w:rsid w:val="007948AC"/>
    <w:rsid w:val="007B5681"/>
    <w:rsid w:val="007B7C75"/>
    <w:rsid w:val="007C107C"/>
    <w:rsid w:val="007C41A9"/>
    <w:rsid w:val="007F1EF8"/>
    <w:rsid w:val="007F4B81"/>
    <w:rsid w:val="00804CF9"/>
    <w:rsid w:val="008206D4"/>
    <w:rsid w:val="0082345B"/>
    <w:rsid w:val="00826DAE"/>
    <w:rsid w:val="00836230"/>
    <w:rsid w:val="0086471D"/>
    <w:rsid w:val="00881624"/>
    <w:rsid w:val="00883B3F"/>
    <w:rsid w:val="008A185A"/>
    <w:rsid w:val="008A5D80"/>
    <w:rsid w:val="008C0D91"/>
    <w:rsid w:val="008E7BA3"/>
    <w:rsid w:val="009370A9"/>
    <w:rsid w:val="00981C06"/>
    <w:rsid w:val="009C16AA"/>
    <w:rsid w:val="00A22A86"/>
    <w:rsid w:val="00A6678A"/>
    <w:rsid w:val="00A8383B"/>
    <w:rsid w:val="00A86B9F"/>
    <w:rsid w:val="00AB57DA"/>
    <w:rsid w:val="00AD5006"/>
    <w:rsid w:val="00AF01DE"/>
    <w:rsid w:val="00AF64AA"/>
    <w:rsid w:val="00B14677"/>
    <w:rsid w:val="00B32B9A"/>
    <w:rsid w:val="00B47F52"/>
    <w:rsid w:val="00B50D04"/>
    <w:rsid w:val="00B77234"/>
    <w:rsid w:val="00B861D7"/>
    <w:rsid w:val="00B94DF0"/>
    <w:rsid w:val="00BC7D18"/>
    <w:rsid w:val="00BE7A27"/>
    <w:rsid w:val="00BF5791"/>
    <w:rsid w:val="00C108CE"/>
    <w:rsid w:val="00C11085"/>
    <w:rsid w:val="00C355A2"/>
    <w:rsid w:val="00C37E38"/>
    <w:rsid w:val="00C561F4"/>
    <w:rsid w:val="00C62D85"/>
    <w:rsid w:val="00C7155A"/>
    <w:rsid w:val="00C733BA"/>
    <w:rsid w:val="00CA3525"/>
    <w:rsid w:val="00CB03C6"/>
    <w:rsid w:val="00CE5630"/>
    <w:rsid w:val="00CE6E77"/>
    <w:rsid w:val="00D04E24"/>
    <w:rsid w:val="00D22BC4"/>
    <w:rsid w:val="00D26B05"/>
    <w:rsid w:val="00D428A8"/>
    <w:rsid w:val="00D42CB6"/>
    <w:rsid w:val="00D47393"/>
    <w:rsid w:val="00D47837"/>
    <w:rsid w:val="00D64F08"/>
    <w:rsid w:val="00D71443"/>
    <w:rsid w:val="00D73C54"/>
    <w:rsid w:val="00DA120D"/>
    <w:rsid w:val="00DB7C5C"/>
    <w:rsid w:val="00DE5B22"/>
    <w:rsid w:val="00DF4EF5"/>
    <w:rsid w:val="00E018B9"/>
    <w:rsid w:val="00E03A2E"/>
    <w:rsid w:val="00E058CB"/>
    <w:rsid w:val="00E10ED3"/>
    <w:rsid w:val="00E14149"/>
    <w:rsid w:val="00E3549C"/>
    <w:rsid w:val="00E4206F"/>
    <w:rsid w:val="00E42EEA"/>
    <w:rsid w:val="00E91101"/>
    <w:rsid w:val="00EA47E8"/>
    <w:rsid w:val="00EA77B0"/>
    <w:rsid w:val="00EC086F"/>
    <w:rsid w:val="00ED5F4A"/>
    <w:rsid w:val="00F11806"/>
    <w:rsid w:val="00F23721"/>
    <w:rsid w:val="00F30E68"/>
    <w:rsid w:val="00F35FCF"/>
    <w:rsid w:val="00F414F6"/>
    <w:rsid w:val="00F4283F"/>
    <w:rsid w:val="00F56AD7"/>
    <w:rsid w:val="00F62A4E"/>
    <w:rsid w:val="00F87E0A"/>
    <w:rsid w:val="00F959C3"/>
    <w:rsid w:val="00F971AA"/>
    <w:rsid w:val="00FD45B0"/>
    <w:rsid w:val="00FD6520"/>
    <w:rsid w:val="01D25AC7"/>
    <w:rsid w:val="03352A65"/>
    <w:rsid w:val="098E62EA"/>
    <w:rsid w:val="0B887691"/>
    <w:rsid w:val="0EDD2219"/>
    <w:rsid w:val="158B7894"/>
    <w:rsid w:val="165E41C0"/>
    <w:rsid w:val="2588196B"/>
    <w:rsid w:val="283F5282"/>
    <w:rsid w:val="2ED5485C"/>
    <w:rsid w:val="39F45FE7"/>
    <w:rsid w:val="42C27A08"/>
    <w:rsid w:val="43F94E63"/>
    <w:rsid w:val="44FF79C9"/>
    <w:rsid w:val="462F0097"/>
    <w:rsid w:val="4A33157C"/>
    <w:rsid w:val="4ADE3835"/>
    <w:rsid w:val="535F5B3F"/>
    <w:rsid w:val="5EE87127"/>
    <w:rsid w:val="5EF1143C"/>
    <w:rsid w:val="5F732E83"/>
    <w:rsid w:val="62521043"/>
    <w:rsid w:val="65595822"/>
    <w:rsid w:val="67307412"/>
    <w:rsid w:val="69EF3315"/>
    <w:rsid w:val="6C5C1BE2"/>
    <w:rsid w:val="6C7A6116"/>
    <w:rsid w:val="6CCB2963"/>
    <w:rsid w:val="71A06455"/>
    <w:rsid w:val="79AA131C"/>
    <w:rsid w:val="79C61E83"/>
    <w:rsid w:val="79EA0C45"/>
    <w:rsid w:val="7B881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annotation text"/>
    <w:basedOn w:val="1"/>
    <w:link w:val="71"/>
    <w:unhideWhenUsed/>
    <w:qFormat/>
    <w:uiPriority w:val="99"/>
    <w:pPr>
      <w:jc w:val="left"/>
    </w:pPr>
  </w:style>
  <w:style w:type="paragraph" w:styleId="7">
    <w:name w:val="Body Text"/>
    <w:basedOn w:val="1"/>
    <w:link w:val="52"/>
    <w:qFormat/>
    <w:uiPriority w:val="1"/>
    <w:pPr>
      <w:spacing w:after="120"/>
    </w:pPr>
  </w:style>
  <w:style w:type="paragraph" w:styleId="8">
    <w:name w:val="Body Text Indent"/>
    <w:basedOn w:val="1"/>
    <w:link w:val="47"/>
    <w:qFormat/>
    <w:uiPriority w:val="0"/>
    <w:pPr>
      <w:spacing w:line="360" w:lineRule="auto"/>
      <w:ind w:firstLine="480" w:firstLineChars="200"/>
    </w:pPr>
    <w:rPr>
      <w:rFonts w:ascii="仿宋_GB2312" w:eastAsia="仿宋_GB2312"/>
      <w:kern w:val="0"/>
      <w:sz w:val="24"/>
    </w:rPr>
  </w:style>
  <w:style w:type="paragraph" w:styleId="9">
    <w:name w:val="Block Text"/>
    <w:basedOn w:val="1"/>
    <w:qFormat/>
    <w:uiPriority w:val="0"/>
    <w:pPr>
      <w:spacing w:before="120"/>
      <w:ind w:left="79" w:right="57"/>
    </w:pPr>
    <w:rPr>
      <w:rFonts w:ascii="宋体" w:hAnsi="宋体"/>
      <w:szCs w:val="20"/>
    </w:rPr>
  </w:style>
  <w:style w:type="paragraph" w:styleId="10">
    <w:name w:val="toc 5"/>
    <w:basedOn w:val="1"/>
    <w:next w:val="1"/>
    <w:qFormat/>
    <w:uiPriority w:val="0"/>
    <w:pPr>
      <w:ind w:left="1680" w:leftChars="800"/>
    </w:pPr>
  </w:style>
  <w:style w:type="paragraph" w:styleId="11">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2">
    <w:name w:val="Plain Text"/>
    <w:basedOn w:val="1"/>
    <w:link w:val="57"/>
    <w:qFormat/>
    <w:uiPriority w:val="0"/>
    <w:rPr>
      <w:rFonts w:ascii="宋体" w:hAnsi="Courier New"/>
      <w:szCs w:val="20"/>
    </w:rPr>
  </w:style>
  <w:style w:type="paragraph" w:styleId="13">
    <w:name w:val="toc 8"/>
    <w:basedOn w:val="1"/>
    <w:next w:val="1"/>
    <w:qFormat/>
    <w:uiPriority w:val="0"/>
    <w:pPr>
      <w:ind w:left="2940" w:leftChars="1400"/>
    </w:pPr>
  </w:style>
  <w:style w:type="paragraph" w:styleId="14">
    <w:name w:val="Body Text Indent 2"/>
    <w:basedOn w:val="1"/>
    <w:link w:val="46"/>
    <w:qFormat/>
    <w:uiPriority w:val="0"/>
    <w:pPr>
      <w:ind w:firstLine="422"/>
    </w:pPr>
    <w:rPr>
      <w:rFonts w:ascii="仿宋_GB2312" w:eastAsia="仿宋_GB2312"/>
      <w:b/>
      <w:kern w:val="0"/>
      <w:szCs w:val="20"/>
    </w:rPr>
  </w:style>
  <w:style w:type="paragraph" w:styleId="15">
    <w:name w:val="Balloon Text"/>
    <w:basedOn w:val="1"/>
    <w:link w:val="66"/>
    <w:unhideWhenUsed/>
    <w:qFormat/>
    <w:uiPriority w:val="99"/>
    <w:rPr>
      <w:sz w:val="18"/>
      <w:szCs w:val="18"/>
    </w:rPr>
  </w:style>
  <w:style w:type="paragraph" w:styleId="16">
    <w:name w:val="footer"/>
    <w:basedOn w:val="1"/>
    <w:link w:val="35"/>
    <w:unhideWhenUsed/>
    <w:qFormat/>
    <w:uiPriority w:val="99"/>
    <w:pPr>
      <w:tabs>
        <w:tab w:val="center" w:pos="4153"/>
        <w:tab w:val="right" w:pos="8306"/>
      </w:tabs>
      <w:snapToGrid w:val="0"/>
      <w:jc w:val="left"/>
    </w:pPr>
    <w:rPr>
      <w:sz w:val="18"/>
      <w:szCs w:val="18"/>
    </w:rPr>
  </w:style>
  <w:style w:type="paragraph" w:styleId="17">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pPr>
      <w:widowControl/>
      <w:jc w:val="left"/>
    </w:pPr>
    <w:rPr>
      <w:rFonts w:ascii="宋体" w:hAnsi="宋体" w:cs="宋体"/>
      <w:kern w:val="0"/>
      <w:sz w:val="28"/>
      <w:szCs w:val="24"/>
    </w:rPr>
  </w:style>
  <w:style w:type="paragraph" w:styleId="19">
    <w:name w:val="toc 4"/>
    <w:basedOn w:val="1"/>
    <w:next w:val="1"/>
    <w:qFormat/>
    <w:uiPriority w:val="0"/>
    <w:pPr>
      <w:ind w:left="1260" w:leftChars="600"/>
    </w:pPr>
  </w:style>
  <w:style w:type="paragraph" w:styleId="20">
    <w:name w:val="Subtitle"/>
    <w:basedOn w:val="1"/>
    <w:next w:val="1"/>
    <w:link w:val="59"/>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1">
    <w:name w:val="toc 6"/>
    <w:basedOn w:val="1"/>
    <w:next w:val="1"/>
    <w:qFormat/>
    <w:uiPriority w:val="0"/>
    <w:pPr>
      <w:ind w:left="2100" w:leftChars="1000"/>
    </w:pPr>
  </w:style>
  <w:style w:type="paragraph" w:styleId="22">
    <w:name w:val="Body Text Indent 3"/>
    <w:basedOn w:val="1"/>
    <w:link w:val="51"/>
    <w:qFormat/>
    <w:uiPriority w:val="0"/>
    <w:pPr>
      <w:spacing w:after="120"/>
      <w:ind w:left="420" w:leftChars="200"/>
    </w:pPr>
    <w:rPr>
      <w:sz w:val="16"/>
      <w:szCs w:val="16"/>
    </w:rPr>
  </w:style>
  <w:style w:type="paragraph" w:styleId="23">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4">
    <w:name w:val="toc 9"/>
    <w:basedOn w:val="1"/>
    <w:next w:val="1"/>
    <w:qFormat/>
    <w:uiPriority w:val="0"/>
    <w:pPr>
      <w:ind w:left="3360" w:leftChars="1600"/>
    </w:pPr>
  </w:style>
  <w:style w:type="paragraph" w:styleId="25">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6">
    <w:name w:val="Title"/>
    <w:basedOn w:val="2"/>
    <w:next w:val="1"/>
    <w:link w:val="56"/>
    <w:qFormat/>
    <w:uiPriority w:val="0"/>
    <w:pPr>
      <w:spacing w:before="240" w:after="60"/>
      <w:jc w:val="center"/>
    </w:pPr>
    <w:rPr>
      <w:rFonts w:ascii="Cambria" w:hAnsi="Cambria"/>
      <w:kern w:val="2"/>
      <w:sz w:val="32"/>
      <w:szCs w:val="32"/>
    </w:rPr>
  </w:style>
  <w:style w:type="paragraph" w:styleId="27">
    <w:name w:val="annotation subject"/>
    <w:basedOn w:val="6"/>
    <w:next w:val="6"/>
    <w:link w:val="72"/>
    <w:unhideWhenUsed/>
    <w:qFormat/>
    <w:uiPriority w:val="99"/>
    <w:rPr>
      <w:b/>
      <w:bCs/>
    </w:rPr>
  </w:style>
  <w:style w:type="table" w:styleId="29">
    <w:name w:val="Table Grid"/>
    <w:basedOn w:val="28"/>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1">
    <w:name w:val="page number"/>
    <w:basedOn w:val="30"/>
    <w:qFormat/>
    <w:uiPriority w:val="0"/>
  </w:style>
  <w:style w:type="character" w:styleId="32">
    <w:name w:val="Hyperlink"/>
    <w:qFormat/>
    <w:uiPriority w:val="0"/>
    <w:rPr>
      <w:color w:val="0000FF"/>
      <w:u w:val="single"/>
    </w:rPr>
  </w:style>
  <w:style w:type="character" w:styleId="33">
    <w:name w:val="annotation reference"/>
    <w:basedOn w:val="30"/>
    <w:unhideWhenUsed/>
    <w:qFormat/>
    <w:uiPriority w:val="99"/>
    <w:rPr>
      <w:sz w:val="21"/>
      <w:szCs w:val="21"/>
    </w:rPr>
  </w:style>
  <w:style w:type="character" w:customStyle="1" w:styleId="34">
    <w:name w:val="页眉 Char"/>
    <w:basedOn w:val="30"/>
    <w:link w:val="17"/>
    <w:qFormat/>
    <w:uiPriority w:val="99"/>
    <w:rPr>
      <w:sz w:val="18"/>
      <w:szCs w:val="18"/>
    </w:rPr>
  </w:style>
  <w:style w:type="character" w:customStyle="1" w:styleId="35">
    <w:name w:val="页脚 Char"/>
    <w:basedOn w:val="30"/>
    <w:link w:val="16"/>
    <w:qFormat/>
    <w:uiPriority w:val="99"/>
    <w:rPr>
      <w:sz w:val="18"/>
      <w:szCs w:val="18"/>
    </w:rPr>
  </w:style>
  <w:style w:type="character" w:customStyle="1" w:styleId="36">
    <w:name w:val="标题 1 Char"/>
    <w:basedOn w:val="30"/>
    <w:link w:val="2"/>
    <w:qFormat/>
    <w:uiPriority w:val="0"/>
    <w:rPr>
      <w:rFonts w:ascii="Times New Roman" w:hAnsi="Times New Roman" w:eastAsia="宋体" w:cs="Times New Roman"/>
      <w:b/>
      <w:bCs/>
      <w:kern w:val="44"/>
      <w:sz w:val="44"/>
      <w:szCs w:val="44"/>
    </w:rPr>
  </w:style>
  <w:style w:type="character" w:customStyle="1" w:styleId="37">
    <w:name w:val="标题 2 Char"/>
    <w:basedOn w:val="30"/>
    <w:link w:val="3"/>
    <w:qFormat/>
    <w:uiPriority w:val="0"/>
    <w:rPr>
      <w:rFonts w:ascii="Arial" w:hAnsi="Arial" w:eastAsia="黑体" w:cs="Times New Roman"/>
      <w:b/>
      <w:bCs/>
      <w:sz w:val="32"/>
      <w:szCs w:val="32"/>
    </w:rPr>
  </w:style>
  <w:style w:type="character" w:customStyle="1" w:styleId="38">
    <w:name w:val="标题 3 Char"/>
    <w:basedOn w:val="30"/>
    <w:link w:val="4"/>
    <w:qFormat/>
    <w:uiPriority w:val="0"/>
    <w:rPr>
      <w:rFonts w:ascii="宋体" w:hAnsi="宋体" w:eastAsia="宋体" w:cs="Times New Roman"/>
      <w:b/>
      <w:bCs/>
      <w:sz w:val="24"/>
      <w:szCs w:val="24"/>
    </w:rPr>
  </w:style>
  <w:style w:type="character" w:customStyle="1" w:styleId="39">
    <w:name w:val="副标题 Char"/>
    <w:basedOn w:val="30"/>
    <w:qFormat/>
    <w:uiPriority w:val="11"/>
    <w:rPr>
      <w:rFonts w:ascii="Cambria" w:hAnsi="Cambria" w:cs="Times New Roman"/>
      <w:b/>
      <w:bCs/>
      <w:kern w:val="28"/>
      <w:sz w:val="32"/>
      <w:szCs w:val="32"/>
    </w:rPr>
  </w:style>
  <w:style w:type="character" w:customStyle="1" w:styleId="40">
    <w:name w:val="标题 Char"/>
    <w:basedOn w:val="30"/>
    <w:qFormat/>
    <w:uiPriority w:val="0"/>
    <w:rPr>
      <w:rFonts w:ascii="Cambria" w:hAnsi="Cambria" w:eastAsia="宋体" w:cs="Times New Roman"/>
      <w:b/>
      <w:bCs/>
      <w:sz w:val="32"/>
      <w:szCs w:val="32"/>
    </w:rPr>
  </w:style>
  <w:style w:type="character" w:customStyle="1" w:styleId="41">
    <w:name w:val="tb"/>
    <w:basedOn w:val="30"/>
    <w:qFormat/>
    <w:uiPriority w:val="0"/>
  </w:style>
  <w:style w:type="character" w:customStyle="1" w:styleId="42">
    <w:name w:val="apple-style-span"/>
    <w:basedOn w:val="30"/>
    <w:qFormat/>
    <w:uiPriority w:val="0"/>
  </w:style>
  <w:style w:type="character" w:customStyle="1" w:styleId="43">
    <w:name w:val="tf1"/>
    <w:basedOn w:val="30"/>
    <w:qFormat/>
    <w:uiPriority w:val="0"/>
    <w:rPr>
      <w:spacing w:val="300"/>
      <w:sz w:val="18"/>
      <w:szCs w:val="18"/>
    </w:rPr>
  </w:style>
  <w:style w:type="paragraph" w:customStyle="1" w:styleId="44">
    <w:name w:val="注解（小四，楷体）"/>
    <w:basedOn w:val="1"/>
    <w:qFormat/>
    <w:uiPriority w:val="0"/>
    <w:pPr>
      <w:widowControl/>
      <w:contextualSpacing/>
      <w:jc w:val="left"/>
    </w:pPr>
    <w:rPr>
      <w:rFonts w:ascii="楷体" w:hAnsi="楷体" w:eastAsia="楷体"/>
      <w:kern w:val="0"/>
      <w:sz w:val="24"/>
      <w:szCs w:val="24"/>
    </w:rPr>
  </w:style>
  <w:style w:type="paragraph" w:customStyle="1" w:styleId="45">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6">
    <w:name w:val="正文文本缩进 2 Char"/>
    <w:basedOn w:val="30"/>
    <w:link w:val="14"/>
    <w:qFormat/>
    <w:uiPriority w:val="0"/>
    <w:rPr>
      <w:rFonts w:ascii="仿宋_GB2312" w:hAnsi="Times New Roman" w:eastAsia="仿宋_GB2312" w:cs="Times New Roman"/>
      <w:b/>
      <w:kern w:val="0"/>
      <w:szCs w:val="20"/>
    </w:rPr>
  </w:style>
  <w:style w:type="character" w:customStyle="1" w:styleId="47">
    <w:name w:val="正文文本缩进 Char"/>
    <w:basedOn w:val="30"/>
    <w:link w:val="8"/>
    <w:qFormat/>
    <w:uiPriority w:val="0"/>
    <w:rPr>
      <w:rFonts w:ascii="仿宋_GB2312" w:hAnsi="Times New Roman" w:eastAsia="仿宋_GB2312" w:cs="Times New Roman"/>
      <w:kern w:val="0"/>
      <w:sz w:val="24"/>
    </w:rPr>
  </w:style>
  <w:style w:type="paragraph" w:customStyle="1" w:styleId="48">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表格（小四，宋体）"/>
    <w:basedOn w:val="1"/>
    <w:qFormat/>
    <w:uiPriority w:val="0"/>
    <w:pPr>
      <w:widowControl/>
      <w:contextualSpacing/>
      <w:jc w:val="left"/>
    </w:pPr>
    <w:rPr>
      <w:rFonts w:ascii="宋体" w:hAnsi="宋体"/>
      <w:kern w:val="0"/>
      <w:sz w:val="24"/>
      <w:szCs w:val="24"/>
    </w:rPr>
  </w:style>
  <w:style w:type="paragraph" w:customStyle="1" w:styleId="50">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1">
    <w:name w:val="正文文本缩进 3 Char"/>
    <w:basedOn w:val="30"/>
    <w:link w:val="22"/>
    <w:qFormat/>
    <w:uiPriority w:val="0"/>
    <w:rPr>
      <w:rFonts w:ascii="Times New Roman" w:hAnsi="Times New Roman" w:eastAsia="宋体" w:cs="Times New Roman"/>
      <w:sz w:val="16"/>
      <w:szCs w:val="16"/>
    </w:rPr>
  </w:style>
  <w:style w:type="character" w:customStyle="1" w:styleId="52">
    <w:name w:val="正文文本 Char"/>
    <w:basedOn w:val="30"/>
    <w:link w:val="7"/>
    <w:qFormat/>
    <w:uiPriority w:val="0"/>
    <w:rPr>
      <w:rFonts w:ascii="Times New Roman" w:hAnsi="Times New Roman" w:eastAsia="宋体" w:cs="Times New Roman"/>
    </w:rPr>
  </w:style>
  <w:style w:type="paragraph" w:customStyle="1" w:styleId="53">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54">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5">
    <w:name w:val="无间隔1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6">
    <w:name w:val="标题 Char2"/>
    <w:basedOn w:val="30"/>
    <w:link w:val="26"/>
    <w:qFormat/>
    <w:uiPriority w:val="0"/>
    <w:rPr>
      <w:rFonts w:eastAsia="宋体" w:asciiTheme="majorHAnsi" w:hAnsiTheme="majorHAnsi" w:cstheme="majorBidi"/>
      <w:b/>
      <w:bCs/>
      <w:sz w:val="32"/>
      <w:szCs w:val="32"/>
    </w:rPr>
  </w:style>
  <w:style w:type="character" w:customStyle="1" w:styleId="57">
    <w:name w:val="纯文本 Char"/>
    <w:basedOn w:val="30"/>
    <w:link w:val="12"/>
    <w:qFormat/>
    <w:uiPriority w:val="0"/>
    <w:rPr>
      <w:rFonts w:ascii="宋体" w:hAnsi="Courier New" w:eastAsia="宋体" w:cs="Times New Roman"/>
      <w:szCs w:val="20"/>
    </w:rPr>
  </w:style>
  <w:style w:type="paragraph" w:customStyle="1" w:styleId="58">
    <w:name w:val="TOC 标题1"/>
    <w:basedOn w:val="2"/>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59">
    <w:name w:val="副标题 Char2"/>
    <w:basedOn w:val="30"/>
    <w:link w:val="20"/>
    <w:qFormat/>
    <w:uiPriority w:val="11"/>
    <w:rPr>
      <w:rFonts w:eastAsia="宋体" w:asciiTheme="majorHAnsi" w:hAnsiTheme="majorHAnsi" w:cstheme="majorBidi"/>
      <w:b/>
      <w:bCs/>
      <w:kern w:val="28"/>
      <w:sz w:val="32"/>
      <w:szCs w:val="32"/>
    </w:rPr>
  </w:style>
  <w:style w:type="paragraph" w:customStyle="1" w:styleId="60">
    <w:name w:val="列出段落1"/>
    <w:basedOn w:val="1"/>
    <w:qFormat/>
    <w:uiPriority w:val="34"/>
    <w:pPr>
      <w:ind w:firstLine="420" w:firstLineChars="200"/>
    </w:pPr>
  </w:style>
  <w:style w:type="paragraph" w:customStyle="1" w:styleId="61">
    <w:name w:val="条款大标题"/>
    <w:basedOn w:val="26"/>
    <w:link w:val="65"/>
    <w:qFormat/>
    <w:uiPriority w:val="0"/>
    <w:pPr>
      <w:snapToGrid w:val="0"/>
    </w:pPr>
  </w:style>
  <w:style w:type="paragraph" w:customStyle="1" w:styleId="62">
    <w:name w:val="条款标题"/>
    <w:basedOn w:val="1"/>
    <w:qFormat/>
    <w:uiPriority w:val="0"/>
    <w:pPr>
      <w:tabs>
        <w:tab w:val="left" w:pos="840"/>
      </w:tabs>
    </w:pPr>
    <w:rPr>
      <w:b/>
    </w:rPr>
  </w:style>
  <w:style w:type="paragraph" w:customStyle="1" w:styleId="63">
    <w:name w:val="条款正文"/>
    <w:basedOn w:val="1"/>
    <w:qFormat/>
    <w:uiPriority w:val="0"/>
    <w:pPr>
      <w:adjustRightInd w:val="0"/>
      <w:snapToGrid w:val="0"/>
      <w:ind w:left="840" w:leftChars="400" w:firstLine="420" w:firstLineChars="200"/>
    </w:pPr>
    <w:rPr>
      <w:szCs w:val="24"/>
    </w:rPr>
  </w:style>
  <w:style w:type="paragraph" w:customStyle="1" w:styleId="64">
    <w:name w:val="列出段落2"/>
    <w:basedOn w:val="1"/>
    <w:qFormat/>
    <w:uiPriority w:val="34"/>
    <w:pPr>
      <w:ind w:firstLine="420" w:firstLineChars="200"/>
    </w:pPr>
  </w:style>
  <w:style w:type="character" w:customStyle="1" w:styleId="65">
    <w:name w:val="条款大标题 Char"/>
    <w:basedOn w:val="30"/>
    <w:link w:val="61"/>
    <w:qFormat/>
    <w:uiPriority w:val="0"/>
    <w:rPr>
      <w:rFonts w:ascii="Cambria" w:hAnsi="Cambria" w:eastAsia="宋体" w:cs="Times New Roman"/>
      <w:b/>
      <w:bCs/>
      <w:sz w:val="32"/>
      <w:szCs w:val="32"/>
    </w:rPr>
  </w:style>
  <w:style w:type="character" w:customStyle="1" w:styleId="66">
    <w:name w:val="批注框文本 Char"/>
    <w:basedOn w:val="30"/>
    <w:link w:val="15"/>
    <w:semiHidden/>
    <w:qFormat/>
    <w:uiPriority w:val="99"/>
    <w:rPr>
      <w:rFonts w:ascii="Times New Roman" w:hAnsi="Times New Roman" w:eastAsia="宋体" w:cs="Times New Roman"/>
      <w:kern w:val="2"/>
      <w:sz w:val="18"/>
      <w:szCs w:val="18"/>
    </w:rPr>
  </w:style>
  <w:style w:type="character" w:customStyle="1" w:styleId="67">
    <w:name w:val="副标题 Char1"/>
    <w:qFormat/>
    <w:uiPriority w:val="11"/>
    <w:rPr>
      <w:rFonts w:ascii="Cambria" w:hAnsi="Cambria" w:eastAsia="宋体" w:cs="Times New Roman"/>
      <w:b/>
      <w:bCs/>
      <w:kern w:val="28"/>
      <w:sz w:val="32"/>
      <w:szCs w:val="32"/>
    </w:rPr>
  </w:style>
  <w:style w:type="character" w:customStyle="1" w:styleId="68">
    <w:name w:val="标题 Char1"/>
    <w:qFormat/>
    <w:uiPriority w:val="10"/>
    <w:rPr>
      <w:rFonts w:ascii="Cambria" w:hAnsi="Cambria" w:eastAsia="宋体" w:cs="Times New Roman"/>
      <w:b/>
      <w:bCs/>
      <w:sz w:val="32"/>
      <w:szCs w:val="32"/>
    </w:rPr>
  </w:style>
  <w:style w:type="paragraph" w:customStyle="1" w:styleId="69">
    <w:name w:val="无间隔2"/>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70">
    <w:name w:val="列表段落1"/>
    <w:basedOn w:val="1"/>
    <w:qFormat/>
    <w:uiPriority w:val="1"/>
    <w:pPr>
      <w:ind w:firstLine="420" w:firstLineChars="200"/>
    </w:pPr>
  </w:style>
  <w:style w:type="character" w:customStyle="1" w:styleId="71">
    <w:name w:val="批注文字 Char"/>
    <w:basedOn w:val="30"/>
    <w:link w:val="6"/>
    <w:semiHidden/>
    <w:qFormat/>
    <w:uiPriority w:val="99"/>
    <w:rPr>
      <w:rFonts w:ascii="Times New Roman" w:hAnsi="Times New Roman" w:eastAsia="宋体" w:cs="Times New Roman"/>
      <w:kern w:val="2"/>
      <w:sz w:val="21"/>
      <w:szCs w:val="22"/>
    </w:rPr>
  </w:style>
  <w:style w:type="character" w:customStyle="1" w:styleId="72">
    <w:name w:val="批注主题 Char"/>
    <w:basedOn w:val="71"/>
    <w:link w:val="27"/>
    <w:semiHidden/>
    <w:qFormat/>
    <w:uiPriority w:val="99"/>
    <w:rPr>
      <w:rFonts w:ascii="Times New Roman" w:hAnsi="Times New Roman" w:eastAsia="宋体" w:cs="Times New Roman"/>
      <w:b/>
      <w:bCs/>
      <w:kern w:val="2"/>
      <w:sz w:val="21"/>
      <w:szCs w:val="22"/>
    </w:rPr>
  </w:style>
  <w:style w:type="paragraph" w:customStyle="1" w:styleId="73">
    <w:name w:val="修订1"/>
    <w:hidden/>
    <w:semiHidden/>
    <w:qFormat/>
    <w:uiPriority w:val="99"/>
    <w:rPr>
      <w:rFonts w:ascii="Times New Roman" w:hAnsi="Times New Roman" w:eastAsia="宋体" w:cs="Times New Roman"/>
      <w:kern w:val="2"/>
      <w:sz w:val="21"/>
      <w:szCs w:val="22"/>
      <w:lang w:val="en-US" w:eastAsia="zh-CN" w:bidi="ar-SA"/>
    </w:rPr>
  </w:style>
  <w:style w:type="table" w:customStyle="1" w:styleId="74">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75">
    <w:name w:val="目录 11"/>
    <w:basedOn w:val="1"/>
    <w:qFormat/>
    <w:uiPriority w:val="1"/>
    <w:pPr>
      <w:autoSpaceDE w:val="0"/>
      <w:autoSpaceDN w:val="0"/>
      <w:spacing w:before="100"/>
      <w:ind w:left="116" w:hanging="370"/>
      <w:jc w:val="left"/>
    </w:pPr>
    <w:rPr>
      <w:rFonts w:ascii="宋体" w:hAnsi="宋体" w:cs="宋体"/>
      <w:kern w:val="0"/>
      <w:szCs w:val="21"/>
      <w:lang w:eastAsia="en-US"/>
    </w:rPr>
  </w:style>
  <w:style w:type="paragraph" w:customStyle="1" w:styleId="76">
    <w:name w:val="标题 11"/>
    <w:basedOn w:val="1"/>
    <w:qFormat/>
    <w:uiPriority w:val="1"/>
    <w:pPr>
      <w:autoSpaceDE w:val="0"/>
      <w:autoSpaceDN w:val="0"/>
      <w:ind w:right="1"/>
      <w:jc w:val="center"/>
      <w:outlineLvl w:val="1"/>
    </w:pPr>
    <w:rPr>
      <w:rFonts w:ascii="黑体" w:hAnsi="黑体" w:eastAsia="黑体" w:cs="黑体"/>
      <w:kern w:val="0"/>
      <w:sz w:val="32"/>
      <w:szCs w:val="32"/>
      <w:lang w:eastAsia="en-US"/>
    </w:rPr>
  </w:style>
  <w:style w:type="paragraph" w:customStyle="1" w:styleId="77">
    <w:name w:val="Table Paragraph"/>
    <w:basedOn w:val="1"/>
    <w:qFormat/>
    <w:uiPriority w:val="1"/>
    <w:pPr>
      <w:autoSpaceDE w:val="0"/>
      <w:autoSpaceDN w:val="0"/>
      <w:ind w:left="103"/>
      <w:jc w:val="left"/>
    </w:pPr>
    <w:rPr>
      <w:rFonts w:ascii="宋体" w:hAnsi="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5C1D04-3C64-4F87-B260-FE98E6CF584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1132</Words>
  <Characters>6457</Characters>
  <Lines>53</Lines>
  <Paragraphs>15</Paragraphs>
  <TotalTime>12</TotalTime>
  <ScaleCrop>false</ScaleCrop>
  <LinksUpToDate>false</LinksUpToDate>
  <CharactersWithSpaces>7574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2019-12-25T02:21:00Z</dcterms:created>
  <dc:creator>0000</dc:creator>
  <cp:lastModifiedBy>Zixuan Shen</cp:lastModifiedBy>
  <cp:lastPrinted>2013-12-26T09:47:00Z</cp:lastPrinted>
  <dcterms:modified xsi:type="dcterms:W3CDTF">2021-11-25T08:58:48Z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2F10D0CC802041A7B334F1C5DD91B619</vt:lpwstr>
  </property>
</Properties>
</file>