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Ansi="宋体" w:cs="Arial"/>
          <w:b/>
          <w:color w:val="000000"/>
          <w:kern w:val="2"/>
          <w:sz w:val="28"/>
          <w:szCs w:val="28"/>
        </w:rPr>
      </w:pPr>
      <w:r>
        <w:rPr>
          <w:rFonts w:hint="eastAsia" w:hAnsi="宋体" w:cs="宋体"/>
          <w:b/>
          <w:color w:val="000000"/>
          <w:kern w:val="2"/>
          <w:sz w:val="28"/>
          <w:szCs w:val="28"/>
        </w:rPr>
        <w:t>华农财产保险股份有限公司</w:t>
      </w:r>
    </w:p>
    <w:p>
      <w:pPr>
        <w:pStyle w:val="6"/>
        <w:adjustRightInd w:val="0"/>
        <w:snapToGrid w:val="0"/>
        <w:spacing w:after="156" w:afterLines="50" w:afterAutospacing="0"/>
        <w:jc w:val="center"/>
        <w:outlineLvl w:val="1"/>
        <w:rPr>
          <w:rFonts w:cs="Arial"/>
          <w:b/>
          <w:color w:val="000000"/>
          <w:kern w:val="2"/>
          <w:sz w:val="28"/>
          <w:szCs w:val="28"/>
        </w:rPr>
      </w:pPr>
      <w:r>
        <w:rPr>
          <w:rFonts w:hint="eastAsia"/>
          <w:b/>
          <w:sz w:val="28"/>
          <w:szCs w:val="28"/>
        </w:rPr>
        <w:t>互联网医院药品医疗费用保险</w:t>
      </w:r>
      <w:r>
        <w:rPr>
          <w:rFonts w:hint="eastAsia"/>
          <w:b/>
          <w:sz w:val="28"/>
          <w:szCs w:val="28"/>
          <w:lang w:val="en-US" w:eastAsia="zh-CN"/>
        </w:rPr>
        <w:t>B款</w:t>
      </w:r>
      <w:r>
        <w:rPr>
          <w:rFonts w:hint="eastAsia" w:cs="Arial"/>
          <w:b/>
          <w:color w:val="000000"/>
          <w:kern w:val="2"/>
          <w:sz w:val="28"/>
          <w:szCs w:val="28"/>
        </w:rPr>
        <w:t>费率表</w:t>
      </w:r>
      <w:r>
        <w:rPr>
          <w:rFonts w:hint="eastAsia"/>
          <w:b/>
          <w:sz w:val="28"/>
          <w:szCs w:val="28"/>
          <w:lang w:val="en-US" w:eastAsia="zh-CN"/>
        </w:rPr>
        <w:t>（互联网专属）</w:t>
      </w:r>
      <w:bookmarkStart w:id="7" w:name="_GoBack"/>
      <w:bookmarkEnd w:id="7"/>
    </w:p>
    <w:p>
      <w:pPr>
        <w:pStyle w:val="6"/>
        <w:adjustRightInd w:val="0"/>
        <w:snapToGrid w:val="0"/>
        <w:spacing w:after="156" w:afterLines="50" w:afterAutospacing="0"/>
        <w:jc w:val="center"/>
        <w:rPr>
          <w:rFonts w:cs="Arial"/>
          <w:b/>
          <w:color w:val="000000"/>
          <w:kern w:val="2"/>
          <w:sz w:val="21"/>
          <w:szCs w:val="21"/>
        </w:rPr>
      </w:pPr>
      <w:r>
        <w:rPr>
          <w:rFonts w:hint="eastAsia" w:cs="Arial"/>
          <w:b/>
          <w:color w:val="000000"/>
          <w:kern w:val="2"/>
          <w:sz w:val="21"/>
          <w:szCs w:val="21"/>
        </w:rPr>
        <w:t xml:space="preserve"> </w:t>
      </w:r>
    </w:p>
    <w:p>
      <w:pPr>
        <w:numPr>
          <w:ilvl w:val="0"/>
          <w:numId w:val="1"/>
        </w:num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/>
          <w:b/>
          <w:sz w:val="21"/>
        </w:rPr>
        <w:t>年基准费率</w:t>
      </w:r>
    </w:p>
    <w:tbl>
      <w:tblPr>
        <w:tblStyle w:val="8"/>
        <w:tblW w:w="76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4"/>
        <w:gridCol w:w="23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535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保险责任</w:t>
            </w:r>
          </w:p>
        </w:tc>
        <w:tc>
          <w:tcPr>
            <w:tcW w:w="2311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年基准费率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535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互联网医院药品医疗费用保险金</w:t>
            </w:r>
          </w:p>
        </w:tc>
        <w:tc>
          <w:tcPr>
            <w:tcW w:w="2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1"/>
              </w:rPr>
              <w:t>0.</w:t>
            </w:r>
            <w:r>
              <w:rPr>
                <w:rFonts w:hint="eastAsia"/>
                <w:color w:val="000000"/>
                <w:sz w:val="21"/>
                <w:lang w:val="en-US" w:eastAsia="zh-CN"/>
              </w:rPr>
              <w:t>2</w:t>
            </w:r>
            <w:r>
              <w:rPr>
                <w:rFonts w:hint="eastAsia"/>
                <w:color w:val="000000"/>
                <w:sz w:val="21"/>
              </w:rPr>
              <w:t>%</w:t>
            </w:r>
          </w:p>
        </w:tc>
      </w:tr>
    </w:tbl>
    <w:p>
      <w:pPr>
        <w:numPr>
          <w:ilvl w:val="255"/>
          <w:numId w:val="0"/>
        </w:numPr>
        <w:jc w:val="left"/>
        <w:rPr>
          <w:rFonts w:hAnsi="宋体" w:cs="宋体"/>
          <w:bCs/>
          <w:sz w:val="18"/>
          <w:szCs w:val="18"/>
        </w:rPr>
      </w:pPr>
    </w:p>
    <w:p>
      <w:pPr>
        <w:numPr>
          <w:ilvl w:val="255"/>
          <w:numId w:val="0"/>
        </w:numPr>
        <w:ind w:firstLine="420" w:firstLineChars="200"/>
        <w:jc w:val="left"/>
        <w:rPr>
          <w:rFonts w:hAnsi="宋体" w:cs="宋体"/>
          <w:bCs/>
          <w:sz w:val="18"/>
          <w:szCs w:val="18"/>
        </w:rPr>
      </w:pPr>
      <w:r>
        <w:rPr>
          <w:rFonts w:hint="eastAsia" w:hAnsi="宋体" w:cs="宋体"/>
          <w:bCs/>
          <w:sz w:val="21"/>
          <w:szCs w:val="21"/>
        </w:rPr>
        <w:t>注：因目前互联网在线平台问诊购药无法进行基本医疗保险结算，所以无论被保险人是否有基本医疗保险，其基准保险费一致</w:t>
      </w:r>
      <w:r>
        <w:rPr>
          <w:rFonts w:hint="eastAsia" w:hAnsi="宋体" w:cs="宋体"/>
          <w:bCs/>
          <w:sz w:val="18"/>
          <w:szCs w:val="18"/>
        </w:rPr>
        <w:t>。</w:t>
      </w: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二、费率调整系数</w:t>
      </w:r>
    </w:p>
    <w:p>
      <w:pPr>
        <w:numPr>
          <w:ilvl w:val="0"/>
          <w:numId w:val="2"/>
        </w:numPr>
        <w:rPr>
          <w:rFonts w:hAnsi="宋体" w:cs="Arial"/>
          <w:bCs/>
          <w:color w:val="000000"/>
          <w:kern w:val="2"/>
          <w:sz w:val="21"/>
          <w:szCs w:val="21"/>
        </w:rPr>
      </w:pPr>
      <w:bookmarkStart w:id="0" w:name="_Hlk40970434"/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等待期（天）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60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90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120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150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180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0.70</w:t>
            </w:r>
          </w:p>
        </w:tc>
      </w:tr>
    </w:tbl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0"/>
          <w:numId w:val="3"/>
        </w:numPr>
        <w:rPr>
          <w:rFonts w:hAnsi="宋体" w:cs="Arial"/>
          <w:bCs/>
          <w:color w:val="000000"/>
          <w:kern w:val="2"/>
          <w:sz w:val="21"/>
          <w:szCs w:val="21"/>
        </w:rPr>
      </w:pPr>
      <w:bookmarkStart w:id="1" w:name="OLE_LINK15"/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单次互联网医院药品医疗费用免赔额调整系数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单次免赔额（元）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[0，50）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（1.1,1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.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[50,10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[100,200)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0.9,1.0]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[200,30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[0.8,0.9]</w:t>
            </w:r>
          </w:p>
        </w:tc>
      </w:tr>
    </w:tbl>
    <w:p>
      <w:p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0"/>
          <w:numId w:val="3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互联网医院药品医疗费用赔付比例调整系数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赔付比例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（0%，30%]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[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.1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,0.3]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(30%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60%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0.3,0.6]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(60%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80%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0.6,0.8]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8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,10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0%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0.8,1.0]</w:t>
            </w:r>
          </w:p>
        </w:tc>
      </w:tr>
    </w:tbl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>4、单次互联网医院药品医疗费用给付限额调整系数</w:t>
      </w: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单次给付限额（元）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（0，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200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[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.1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,0.6]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(200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300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0.6,0.8]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(300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500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5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,8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1.0,1.3]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8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,10</w:t>
            </w:r>
            <w:r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  <w:t>00</w:t>
            </w: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（1.3,1.5]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不限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1.8</w:t>
            </w:r>
          </w:p>
        </w:tc>
      </w:tr>
    </w:tbl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</w:rPr>
      </w:pPr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  <w:lang w:val="en-US" w:eastAsia="zh-CN"/>
        </w:rPr>
        <w:t>5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、缴费方式调整系数</w:t>
      </w:r>
      <w:bookmarkEnd w:id="1"/>
    </w:p>
    <w:p>
      <w:pPr>
        <w:numPr>
          <w:ilvl w:val="255"/>
          <w:numId w:val="0"/>
        </w:numPr>
        <w:rPr>
          <w:rFonts w:hAnsi="宋体" w:cs="Arial"/>
          <w:bCs/>
          <w:color w:val="000000"/>
          <w:kern w:val="2"/>
          <w:sz w:val="21"/>
          <w:szCs w:val="21"/>
          <w:lang w:bidi="ar"/>
        </w:rPr>
      </w:pPr>
    </w:p>
    <w:tbl>
      <w:tblPr>
        <w:tblStyle w:val="8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bookmarkStart w:id="2" w:name="OLE_LINK3"/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hAnsi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kern w:val="2"/>
                <w:sz w:val="21"/>
                <w:szCs w:val="21"/>
              </w:rPr>
              <w:t>[0.95,1.0]</w:t>
            </w:r>
          </w:p>
        </w:tc>
      </w:tr>
      <w:bookmarkEnd w:id="2"/>
    </w:tbl>
    <w:p>
      <w:pPr>
        <w:ind w:firstLine="210" w:firstLineChars="100"/>
        <w:rPr>
          <w:rFonts w:hAnsi="宋体" w:cs="宋体"/>
          <w:sz w:val="21"/>
          <w:szCs w:val="21"/>
        </w:rPr>
      </w:pPr>
      <w:r>
        <w:rPr>
          <w:rFonts w:hint="eastAsia" w:hAnsi="宋体" w:cs="Arial"/>
          <w:bCs/>
          <w:color w:val="000000"/>
          <w:kern w:val="2"/>
          <w:sz w:val="21"/>
          <w:szCs w:val="21"/>
        </w:rPr>
        <w:t xml:space="preserve"> </w:t>
      </w:r>
    </w:p>
    <w:p>
      <w:pPr>
        <w:numPr>
          <w:ilvl w:val="255"/>
          <w:numId w:val="0"/>
        </w:numPr>
        <w:spacing w:line="312" w:lineRule="auto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6</w:t>
      </w:r>
      <w:r>
        <w:rPr>
          <w:rFonts w:hint="eastAsia" w:hAnsi="宋体" w:cs="宋体"/>
          <w:sz w:val="21"/>
          <w:szCs w:val="21"/>
        </w:rPr>
        <w:t>、预期/</w:t>
      </w:r>
      <w:r>
        <w:rPr>
          <w:rFonts w:hAnsi="宋体" w:cs="宋体"/>
          <w:sz w:val="21"/>
          <w:szCs w:val="21"/>
        </w:rPr>
        <w:t>历史赔付率调整系数</w:t>
      </w:r>
    </w:p>
    <w:tbl>
      <w:tblPr>
        <w:tblStyle w:val="8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预期/历史赔付率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[</w:t>
            </w:r>
            <w:r>
              <w:rPr>
                <w:rFonts w:hint="eastAsia" w:hAnsi="宋体" w:cs="宋体"/>
                <w:sz w:val="21"/>
                <w:szCs w:val="21"/>
              </w:rPr>
              <w:t>0.5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0.7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0.9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</w:rPr>
              <w:t>1.1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int="eastAsia" w:hAnsi="宋体" w:cs="宋体"/>
                <w:sz w:val="21"/>
                <w:szCs w:val="21"/>
              </w:rPr>
              <w:t>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1.0</w:t>
            </w:r>
          </w:p>
        </w:tc>
      </w:tr>
      <w:bookmarkEnd w:id="0"/>
    </w:tbl>
    <w:p>
      <w:pPr>
        <w:rPr>
          <w:rFonts w:hAnsi="宋体" w:cs="Arial"/>
          <w:b/>
          <w:color w:val="000000"/>
          <w:kern w:val="2"/>
          <w:sz w:val="21"/>
          <w:szCs w:val="21"/>
        </w:rPr>
      </w:pPr>
    </w:p>
    <w:p>
      <w:pPr>
        <w:spacing w:line="312" w:lineRule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 w:cs="Arial"/>
          <w:b/>
          <w:color w:val="000000"/>
          <w:kern w:val="2"/>
          <w:sz w:val="21"/>
          <w:szCs w:val="21"/>
        </w:rPr>
        <w:t>三、保险费计算</w:t>
      </w:r>
    </w:p>
    <w:p>
      <w:pPr>
        <w:numPr>
          <w:ilvl w:val="255"/>
          <w:numId w:val="0"/>
        </w:numPr>
        <w:spacing w:line="360" w:lineRule="auto"/>
        <w:ind w:firstLine="420" w:firstLineChars="200"/>
        <w:rPr>
          <w:rFonts w:hAnsi="宋体" w:cs="宋体"/>
          <w:bCs/>
          <w:sz w:val="21"/>
          <w:szCs w:val="21"/>
        </w:rPr>
      </w:pPr>
      <w:bookmarkStart w:id="3" w:name="_Hlk40970459"/>
      <w:r>
        <w:rPr>
          <w:rFonts w:hint="eastAsia" w:hAnsi="宋体" w:cs="宋体"/>
          <w:bCs/>
          <w:sz w:val="21"/>
          <w:szCs w:val="21"/>
        </w:rPr>
        <w:t>1、投保人选择</w:t>
      </w:r>
      <w:bookmarkStart w:id="4" w:name="OLE_LINK5"/>
      <w:r>
        <w:rPr>
          <w:rFonts w:hint="eastAsia" w:hAnsi="宋体" w:cs="宋体"/>
          <w:bCs/>
          <w:sz w:val="21"/>
          <w:szCs w:val="21"/>
        </w:rPr>
        <w:t>一次性缴付保险费</w:t>
      </w:r>
      <w:bookmarkEnd w:id="4"/>
    </w:p>
    <w:p>
      <w:pPr>
        <w:spacing w:line="360" w:lineRule="auto"/>
        <w:ind w:firstLine="420" w:firstLineChars="200"/>
        <w:rPr>
          <w:rFonts w:hAnsi="宋体" w:cs="宋体"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互联网医院药品医疗费用保险金年保险费</w:t>
      </w:r>
      <w:r>
        <w:rPr>
          <w:rFonts w:hint="eastAsia" w:hAnsi="宋体" w:cs="Arial"/>
          <w:color w:val="000000"/>
          <w:kern w:val="2"/>
          <w:sz w:val="21"/>
          <w:szCs w:val="21"/>
        </w:rPr>
        <w:t>=</w:t>
      </w:r>
      <w:r>
        <w:rPr>
          <w:rFonts w:hint="eastAsia" w:hAnsi="宋体" w:cs="宋体"/>
          <w:bCs/>
          <w:sz w:val="21"/>
          <w:szCs w:val="21"/>
        </w:rPr>
        <w:t>互联网医院药品医疗费用保险金年保险金额×年基准费率</w:t>
      </w:r>
      <w:r>
        <w:rPr>
          <w:rFonts w:hint="eastAsia"/>
          <w:sz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单次互联网医院药品医疗费用</w:t>
      </w:r>
      <w:r>
        <w:rPr>
          <w:rFonts w:hint="eastAsia" w:hAnsi="宋体" w:cs="Arial"/>
          <w:color w:val="000000"/>
          <w:kern w:val="2"/>
          <w:sz w:val="21"/>
          <w:szCs w:val="21"/>
        </w:rPr>
        <w:t>免赔额调整系数×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互联网医院药品医疗费用赔付比例调整系数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单次互联网医院药品医疗费用给付限额调整系数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缴费方式调整系数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宋体"/>
          <w:sz w:val="21"/>
          <w:szCs w:val="21"/>
        </w:rPr>
        <w:t>预期/</w:t>
      </w:r>
      <w:r>
        <w:rPr>
          <w:rFonts w:hAnsi="宋体" w:cs="宋体"/>
          <w:sz w:val="21"/>
          <w:szCs w:val="21"/>
        </w:rPr>
        <w:t>历史赔付率调整系数</w:t>
      </w:r>
    </w:p>
    <w:bookmarkEnd w:id="3"/>
    <w:p>
      <w:pPr>
        <w:spacing w:line="360" w:lineRule="auto"/>
        <w:ind w:firstLine="420" w:firstLineChars="200"/>
        <w:jc w:val="left"/>
        <w:rPr>
          <w:rFonts w:hAnsi="宋体"/>
          <w:sz w:val="21"/>
        </w:rPr>
      </w:pPr>
      <w:bookmarkStart w:id="5" w:name="OLE_LINK1"/>
      <w:r>
        <w:rPr>
          <w:rFonts w:hint="eastAsia" w:hAnsi="宋体"/>
          <w:sz w:val="21"/>
        </w:rPr>
        <w:t>2、投保人选择分期缴付保险费，保险人根据保险费分期缴费期数，计收每期保险费：</w:t>
      </w:r>
    </w:p>
    <w:bookmarkEnd w:id="5"/>
    <w:p>
      <w:pPr>
        <w:spacing w:line="360" w:lineRule="auto"/>
        <w:ind w:firstLine="420" w:firstLineChars="200"/>
        <w:rPr>
          <w:rFonts w:hAnsi="宋体" w:cs="宋体"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互联网医院药品医疗费用保险金年保险费</w:t>
      </w:r>
      <w:r>
        <w:rPr>
          <w:rFonts w:hint="eastAsia" w:hAnsi="宋体" w:cs="Arial"/>
          <w:color w:val="000000"/>
          <w:kern w:val="2"/>
          <w:sz w:val="21"/>
          <w:szCs w:val="21"/>
        </w:rPr>
        <w:t>=</w:t>
      </w:r>
      <w:r>
        <w:rPr>
          <w:rFonts w:hint="eastAsia" w:hAnsi="宋体" w:cs="宋体"/>
          <w:bCs/>
          <w:sz w:val="21"/>
          <w:szCs w:val="21"/>
        </w:rPr>
        <w:t>互联网医院药品医疗费用保险金年保险金额×年基准费率</w:t>
      </w:r>
      <w:r>
        <w:rPr>
          <w:rFonts w:hint="eastAsia"/>
          <w:sz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单次互联网医院药品医疗费用</w:t>
      </w:r>
      <w:r>
        <w:rPr>
          <w:rFonts w:hint="eastAsia" w:hAnsi="宋体" w:cs="Arial"/>
          <w:color w:val="000000"/>
          <w:kern w:val="2"/>
          <w:sz w:val="21"/>
          <w:szCs w:val="21"/>
        </w:rPr>
        <w:t>免赔额调整系数×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互联网医院药品医疗费用赔付比例调整系数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单次互联网医院药品医疗费用给付限额调整系数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缴费方式调整系数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宋体"/>
          <w:sz w:val="21"/>
          <w:szCs w:val="21"/>
        </w:rPr>
        <w:t>预期/</w:t>
      </w:r>
      <w:r>
        <w:rPr>
          <w:rFonts w:hAnsi="宋体" w:cs="宋体"/>
          <w:sz w:val="21"/>
          <w:szCs w:val="21"/>
        </w:rPr>
        <w:t>历史赔付率调整系数</w:t>
      </w:r>
    </w:p>
    <w:p>
      <w:pPr>
        <w:spacing w:line="360" w:lineRule="auto"/>
        <w:ind w:firstLine="420" w:firstLineChars="200"/>
        <w:jc w:val="left"/>
        <w:rPr>
          <w:rFonts w:hAnsi="宋体"/>
          <w:sz w:val="21"/>
        </w:rPr>
      </w:pPr>
      <w:r>
        <w:rPr>
          <w:rFonts w:hint="eastAsia" w:hAnsi="宋体" w:cs="宋体"/>
          <w:bCs/>
          <w:sz w:val="21"/>
          <w:szCs w:val="21"/>
        </w:rPr>
        <w:t>互联网医院药品医疗费用保险金每期保险费（按四舍五入计算）=互联网医院药品医疗费用保险金年保险费</w:t>
      </w:r>
      <w:r>
        <w:rPr>
          <w:rFonts w:hint="eastAsia" w:hAnsi="宋体"/>
          <w:sz w:val="21"/>
        </w:rPr>
        <w:t>÷分期缴费期数</w:t>
      </w:r>
    </w:p>
    <w:p>
      <w:pPr>
        <w:spacing w:line="360" w:lineRule="auto"/>
        <w:ind w:firstLine="420" w:firstLineChars="200"/>
        <w:jc w:val="left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int="eastAsia" w:hAnsi="宋体" w:cs="Arial"/>
          <w:color w:val="000000"/>
          <w:kern w:val="2"/>
          <w:sz w:val="21"/>
          <w:szCs w:val="21"/>
        </w:rPr>
        <w:t>年保险费=</w:t>
      </w:r>
      <w:r>
        <w:rPr>
          <w:rFonts w:hint="eastAsia" w:hAnsi="宋体"/>
          <w:sz w:val="21"/>
        </w:rPr>
        <w:t>每期保险费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/>
          <w:sz w:val="21"/>
        </w:rPr>
        <w:t>分期缴费期数</w:t>
      </w:r>
    </w:p>
    <w:p>
      <w:pPr>
        <w:spacing w:line="360" w:lineRule="auto"/>
        <w:ind w:firstLine="420" w:firstLineChars="200"/>
        <w:jc w:val="left"/>
        <w:rPr>
          <w:rFonts w:hAnsi="宋体"/>
          <w:sz w:val="21"/>
        </w:rPr>
      </w:pPr>
      <w:r>
        <w:rPr>
          <w:rFonts w:hint="eastAsia" w:hAnsi="宋体"/>
          <w:sz w:val="21"/>
        </w:rPr>
        <w:t>注：本产品涉及分期缴费，每期缴费金额一致。</w:t>
      </w:r>
    </w:p>
    <w:p>
      <w:pPr>
        <w:spacing w:line="312" w:lineRule="auto"/>
        <w:rPr>
          <w:rFonts w:hAnsi="宋体" w:cs="Arial"/>
          <w:color w:val="000000"/>
          <w:kern w:val="2"/>
          <w:sz w:val="21"/>
          <w:szCs w:val="21"/>
        </w:rPr>
      </w:pPr>
    </w:p>
    <w:p>
      <w:pPr>
        <w:spacing w:line="312" w:lineRule="auto"/>
        <w:ind w:firstLine="422" w:firstLineChars="200"/>
        <w:rPr>
          <w:rFonts w:hAnsi="宋体" w:cs="Arial"/>
          <w:b/>
          <w:color w:val="000000"/>
          <w:kern w:val="2"/>
          <w:sz w:val="21"/>
          <w:szCs w:val="21"/>
        </w:rPr>
      </w:pPr>
      <w:bookmarkStart w:id="6" w:name="_Hlk40869430"/>
      <w:r>
        <w:rPr>
          <w:rFonts w:hint="eastAsia" w:hAnsi="宋体" w:cs="Arial"/>
          <w:b/>
          <w:color w:val="000000"/>
          <w:kern w:val="2"/>
          <w:sz w:val="21"/>
          <w:szCs w:val="21"/>
        </w:rPr>
        <w:t>四、短期费率表</w:t>
      </w:r>
    </w:p>
    <w:p>
      <w:pPr>
        <w:spacing w:after="156" w:afterLines="50" w:line="312" w:lineRule="auto"/>
        <w:ind w:firstLine="470" w:firstLineChars="224"/>
        <w:rPr>
          <w:rFonts w:hAnsi="宋体" w:cs="Arial"/>
          <w:color w:val="000000"/>
          <w:kern w:val="2"/>
          <w:sz w:val="21"/>
          <w:szCs w:val="21"/>
        </w:rPr>
      </w:pPr>
      <w:r>
        <w:rPr>
          <w:rFonts w:hint="eastAsia" w:hAnsi="宋体" w:cs="Arial"/>
          <w:color w:val="000000"/>
          <w:kern w:val="2"/>
          <w:sz w:val="21"/>
          <w:szCs w:val="21"/>
        </w:rPr>
        <w:t>1、保险期间不足一年的，按以下标准计算短期保险费（按年保险费的百分比计算，保险期间在1个月以上的</w:t>
      </w:r>
      <w:r>
        <w:rPr>
          <w:rFonts w:hint="eastAsia" w:hAnsi="宋体" w:cs="Arial"/>
          <w:color w:val="000000"/>
          <w:kern w:val="2"/>
          <w:sz w:val="21"/>
          <w:szCs w:val="21"/>
          <w:lang w:eastAsia="zh-CN"/>
        </w:rPr>
        <w:t>）</w:t>
      </w:r>
      <w:r>
        <w:rPr>
          <w:rFonts w:hint="eastAsia" w:hAnsi="宋体" w:cs="Arial"/>
          <w:color w:val="000000"/>
          <w:kern w:val="2"/>
          <w:sz w:val="21"/>
          <w:szCs w:val="21"/>
        </w:rPr>
        <w:t>：</w:t>
      </w:r>
    </w:p>
    <w:tbl>
      <w:tblPr>
        <w:tblStyle w:val="8"/>
        <w:tblW w:w="94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保险期间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一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二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三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四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五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六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七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八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九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一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二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spacing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156" w:afterLines="50" w:line="312" w:lineRule="auto"/>
              <w:jc w:val="center"/>
              <w:rPr>
                <w:rFonts w:hAnsi="宋体" w:cs="Arial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color w:val="000000"/>
                <w:kern w:val="2"/>
                <w:sz w:val="21"/>
                <w:szCs w:val="21"/>
              </w:rPr>
              <w:t>100%</w:t>
            </w:r>
          </w:p>
        </w:tc>
      </w:tr>
      <w:bookmarkEnd w:id="6"/>
    </w:tbl>
    <w:p>
      <w:pPr>
        <w:adjustRightInd w:val="0"/>
        <w:snapToGrid w:val="0"/>
        <w:spacing w:line="360" w:lineRule="auto"/>
        <w:ind w:firstLine="482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2、保险期间不足一月的，按以下标准计算极短期保险费：</w:t>
      </w:r>
    </w:p>
    <w:p>
      <w:pPr>
        <w:adjustRightInd w:val="0"/>
        <w:snapToGrid w:val="0"/>
        <w:spacing w:line="360" w:lineRule="auto"/>
        <w:ind w:firstLine="482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极短期保险费=年保险费×保险天数÷365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42D28B"/>
    <w:multiLevelType w:val="singleLevel"/>
    <w:tmpl w:val="6142D28B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6142DB59"/>
    <w:multiLevelType w:val="singleLevel"/>
    <w:tmpl w:val="6142DB5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15305C3"/>
    <w:multiLevelType w:val="singleLevel"/>
    <w:tmpl w:val="615305C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EA9"/>
    <w:rsid w:val="000105E8"/>
    <w:rsid w:val="000526C5"/>
    <w:rsid w:val="0005385A"/>
    <w:rsid w:val="000860A7"/>
    <w:rsid w:val="000A313F"/>
    <w:rsid w:val="000A6CDB"/>
    <w:rsid w:val="000C7B51"/>
    <w:rsid w:val="000D71B1"/>
    <w:rsid w:val="001436B8"/>
    <w:rsid w:val="00152517"/>
    <w:rsid w:val="001615F8"/>
    <w:rsid w:val="00181006"/>
    <w:rsid w:val="00183679"/>
    <w:rsid w:val="00184CC1"/>
    <w:rsid w:val="001968FE"/>
    <w:rsid w:val="001976C7"/>
    <w:rsid w:val="001B4D13"/>
    <w:rsid w:val="001E00C1"/>
    <w:rsid w:val="00231530"/>
    <w:rsid w:val="002B7387"/>
    <w:rsid w:val="002C3D26"/>
    <w:rsid w:val="002E4BA2"/>
    <w:rsid w:val="00310925"/>
    <w:rsid w:val="0031495C"/>
    <w:rsid w:val="00396328"/>
    <w:rsid w:val="003A4F9F"/>
    <w:rsid w:val="003E53F1"/>
    <w:rsid w:val="003F029A"/>
    <w:rsid w:val="00471500"/>
    <w:rsid w:val="004855B0"/>
    <w:rsid w:val="004A56DF"/>
    <w:rsid w:val="004B606B"/>
    <w:rsid w:val="00513C05"/>
    <w:rsid w:val="0051705F"/>
    <w:rsid w:val="00567A01"/>
    <w:rsid w:val="0059086D"/>
    <w:rsid w:val="005A1F73"/>
    <w:rsid w:val="005A3C37"/>
    <w:rsid w:val="005D6127"/>
    <w:rsid w:val="005E6C18"/>
    <w:rsid w:val="00604EC4"/>
    <w:rsid w:val="00614A57"/>
    <w:rsid w:val="0062007F"/>
    <w:rsid w:val="00634A7C"/>
    <w:rsid w:val="006D7A85"/>
    <w:rsid w:val="006F3152"/>
    <w:rsid w:val="007448E8"/>
    <w:rsid w:val="00746647"/>
    <w:rsid w:val="00767B6C"/>
    <w:rsid w:val="007877A5"/>
    <w:rsid w:val="007B4505"/>
    <w:rsid w:val="007D4633"/>
    <w:rsid w:val="007D7523"/>
    <w:rsid w:val="007E2528"/>
    <w:rsid w:val="00800D98"/>
    <w:rsid w:val="008678A4"/>
    <w:rsid w:val="00897B55"/>
    <w:rsid w:val="008C24CF"/>
    <w:rsid w:val="009C279D"/>
    <w:rsid w:val="009D2EA9"/>
    <w:rsid w:val="009F28B5"/>
    <w:rsid w:val="009F5C7C"/>
    <w:rsid w:val="00A322C2"/>
    <w:rsid w:val="00AB28C3"/>
    <w:rsid w:val="00B64D2C"/>
    <w:rsid w:val="00B728FF"/>
    <w:rsid w:val="00BF42BB"/>
    <w:rsid w:val="00C006C5"/>
    <w:rsid w:val="00C3408A"/>
    <w:rsid w:val="00C3789F"/>
    <w:rsid w:val="00C87FB9"/>
    <w:rsid w:val="00C97891"/>
    <w:rsid w:val="00CB773E"/>
    <w:rsid w:val="00D16264"/>
    <w:rsid w:val="00D31F71"/>
    <w:rsid w:val="00D542FA"/>
    <w:rsid w:val="00D90B37"/>
    <w:rsid w:val="00D925DE"/>
    <w:rsid w:val="00DA13CC"/>
    <w:rsid w:val="00E058A8"/>
    <w:rsid w:val="00E12A41"/>
    <w:rsid w:val="00E265A2"/>
    <w:rsid w:val="00E35F1D"/>
    <w:rsid w:val="00E661F6"/>
    <w:rsid w:val="00ED53CA"/>
    <w:rsid w:val="00ED5725"/>
    <w:rsid w:val="00F0565D"/>
    <w:rsid w:val="00F4122C"/>
    <w:rsid w:val="00F75AFB"/>
    <w:rsid w:val="00FD062B"/>
    <w:rsid w:val="00FE1113"/>
    <w:rsid w:val="01160C25"/>
    <w:rsid w:val="01292EFD"/>
    <w:rsid w:val="03413741"/>
    <w:rsid w:val="03690011"/>
    <w:rsid w:val="037A79D4"/>
    <w:rsid w:val="04060867"/>
    <w:rsid w:val="04203ED0"/>
    <w:rsid w:val="04225EA6"/>
    <w:rsid w:val="057D53A7"/>
    <w:rsid w:val="05EB7128"/>
    <w:rsid w:val="08CA1E2A"/>
    <w:rsid w:val="0A20364D"/>
    <w:rsid w:val="0B7117B3"/>
    <w:rsid w:val="0BCD25F3"/>
    <w:rsid w:val="0C4A566D"/>
    <w:rsid w:val="0D3F6EA3"/>
    <w:rsid w:val="0E3F43A3"/>
    <w:rsid w:val="0E893F9F"/>
    <w:rsid w:val="0FAA7E32"/>
    <w:rsid w:val="10135E74"/>
    <w:rsid w:val="1195219F"/>
    <w:rsid w:val="12EE053A"/>
    <w:rsid w:val="13D80718"/>
    <w:rsid w:val="1566624B"/>
    <w:rsid w:val="159D7AC9"/>
    <w:rsid w:val="16A955FC"/>
    <w:rsid w:val="1710427C"/>
    <w:rsid w:val="17857DA8"/>
    <w:rsid w:val="18DB5F08"/>
    <w:rsid w:val="1BBF3482"/>
    <w:rsid w:val="1C570E89"/>
    <w:rsid w:val="1C804A2D"/>
    <w:rsid w:val="210E4263"/>
    <w:rsid w:val="225D0039"/>
    <w:rsid w:val="226E7CE6"/>
    <w:rsid w:val="23FC4684"/>
    <w:rsid w:val="25285D3D"/>
    <w:rsid w:val="26937DAE"/>
    <w:rsid w:val="2710271D"/>
    <w:rsid w:val="28781867"/>
    <w:rsid w:val="297214C3"/>
    <w:rsid w:val="2A2345B4"/>
    <w:rsid w:val="2A327258"/>
    <w:rsid w:val="2BDE0535"/>
    <w:rsid w:val="2CE86DA6"/>
    <w:rsid w:val="2E10227E"/>
    <w:rsid w:val="2EF1514C"/>
    <w:rsid w:val="2F1A1E99"/>
    <w:rsid w:val="2F3F6B2C"/>
    <w:rsid w:val="314158B5"/>
    <w:rsid w:val="34280D47"/>
    <w:rsid w:val="36800AC3"/>
    <w:rsid w:val="36C5274F"/>
    <w:rsid w:val="389A3241"/>
    <w:rsid w:val="389B4EDB"/>
    <w:rsid w:val="38B404F0"/>
    <w:rsid w:val="38EB7498"/>
    <w:rsid w:val="3AA8477D"/>
    <w:rsid w:val="3B3D0FF1"/>
    <w:rsid w:val="3BCC2E86"/>
    <w:rsid w:val="3F59368F"/>
    <w:rsid w:val="416F4C32"/>
    <w:rsid w:val="41D73CE9"/>
    <w:rsid w:val="42D74C54"/>
    <w:rsid w:val="433108D4"/>
    <w:rsid w:val="43CE5D6B"/>
    <w:rsid w:val="49924C7B"/>
    <w:rsid w:val="49AA17FE"/>
    <w:rsid w:val="4AC829AA"/>
    <w:rsid w:val="4AE44EBC"/>
    <w:rsid w:val="4B9A1072"/>
    <w:rsid w:val="4C510D14"/>
    <w:rsid w:val="4D2772C7"/>
    <w:rsid w:val="4E2F1811"/>
    <w:rsid w:val="4F8B78D6"/>
    <w:rsid w:val="4FEA5EAD"/>
    <w:rsid w:val="50A311A3"/>
    <w:rsid w:val="51BA40B3"/>
    <w:rsid w:val="52F4325B"/>
    <w:rsid w:val="530A0851"/>
    <w:rsid w:val="53B64284"/>
    <w:rsid w:val="54047BE2"/>
    <w:rsid w:val="558414E6"/>
    <w:rsid w:val="568611C3"/>
    <w:rsid w:val="56BA5B79"/>
    <w:rsid w:val="572E11A9"/>
    <w:rsid w:val="582C2F3B"/>
    <w:rsid w:val="5B115BE2"/>
    <w:rsid w:val="5BE43503"/>
    <w:rsid w:val="5CB63D34"/>
    <w:rsid w:val="5DC161D8"/>
    <w:rsid w:val="5E512215"/>
    <w:rsid w:val="5EA63791"/>
    <w:rsid w:val="5EB760E5"/>
    <w:rsid w:val="5F226459"/>
    <w:rsid w:val="5F9829C2"/>
    <w:rsid w:val="61D6330C"/>
    <w:rsid w:val="633F05F2"/>
    <w:rsid w:val="633F7E95"/>
    <w:rsid w:val="63F82B67"/>
    <w:rsid w:val="665A5BC1"/>
    <w:rsid w:val="694864B2"/>
    <w:rsid w:val="6A543013"/>
    <w:rsid w:val="6B706F0B"/>
    <w:rsid w:val="6C770C81"/>
    <w:rsid w:val="6CEB0119"/>
    <w:rsid w:val="6F820641"/>
    <w:rsid w:val="72C34A5E"/>
    <w:rsid w:val="744B73ED"/>
    <w:rsid w:val="747D21D1"/>
    <w:rsid w:val="74A03E02"/>
    <w:rsid w:val="758F2146"/>
    <w:rsid w:val="759A7160"/>
    <w:rsid w:val="770A3841"/>
    <w:rsid w:val="778A0F62"/>
    <w:rsid w:val="799D4BAC"/>
    <w:rsid w:val="79C1656E"/>
    <w:rsid w:val="7A006C6F"/>
    <w:rsid w:val="7A8F40D8"/>
    <w:rsid w:val="7ABD4B9C"/>
    <w:rsid w:val="7B2B534C"/>
    <w:rsid w:val="7ED7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7">
    <w:name w:val="annotation subject"/>
    <w:basedOn w:val="2"/>
    <w:next w:val="2"/>
    <w:link w:val="15"/>
    <w:qFormat/>
    <w:uiPriority w:val="0"/>
    <w:rPr>
      <w:b/>
      <w:bCs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批注框文本 字符"/>
    <w:basedOn w:val="10"/>
    <w:link w:val="3"/>
    <w:qFormat/>
    <w:uiPriority w:val="0"/>
    <w:rPr>
      <w:rFonts w:ascii="宋体"/>
      <w:sz w:val="18"/>
      <w:szCs w:val="18"/>
    </w:rPr>
  </w:style>
  <w:style w:type="character" w:customStyle="1" w:styleId="13">
    <w:name w:val="页眉 字符"/>
    <w:basedOn w:val="10"/>
    <w:link w:val="5"/>
    <w:qFormat/>
    <w:uiPriority w:val="0"/>
    <w:rPr>
      <w:rFonts w:ascii="宋体"/>
      <w:sz w:val="18"/>
      <w:szCs w:val="18"/>
    </w:rPr>
  </w:style>
  <w:style w:type="character" w:customStyle="1" w:styleId="14">
    <w:name w:val="批注文字 字符"/>
    <w:basedOn w:val="10"/>
    <w:link w:val="2"/>
    <w:qFormat/>
    <w:uiPriority w:val="0"/>
    <w:rPr>
      <w:rFonts w:ascii="宋体"/>
      <w:sz w:val="34"/>
      <w:szCs w:val="22"/>
    </w:rPr>
  </w:style>
  <w:style w:type="character" w:customStyle="1" w:styleId="15">
    <w:name w:val="批注主题 字符"/>
    <w:basedOn w:val="14"/>
    <w:link w:val="7"/>
    <w:qFormat/>
    <w:uiPriority w:val="0"/>
    <w:rPr>
      <w:rFonts w:ascii="宋体"/>
      <w:b/>
      <w:bCs/>
      <w:sz w:val="34"/>
      <w:szCs w:val="22"/>
    </w:rPr>
  </w:style>
  <w:style w:type="paragraph" w:customStyle="1" w:styleId="16">
    <w:name w:val="Revision"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1090</Words>
  <Characters>603</Characters>
  <Lines>5</Lines>
  <Paragraphs>3</Paragraphs>
  <TotalTime>0</TotalTime>
  <ScaleCrop>false</ScaleCrop>
  <LinksUpToDate>false</LinksUpToDate>
  <CharactersWithSpaces>1690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2021-09-08T10:47:00Z</dcterms:created>
  <dc:creator>Lenovo</dc:creator>
  <cp:lastModifiedBy>Zixuan Shen</cp:lastModifiedBy>
  <dcterms:modified xsi:type="dcterms:W3CDTF">2022-03-10T07:56:49Z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4D469A5FBDBC431D9A6BB734077CF732</vt:lpwstr>
  </property>
</Properties>
</file>