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DE675">
      <w:pPr>
        <w:snapToGrid w:val="0"/>
        <w:spacing w:line="360" w:lineRule="auto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bookmarkStart w:id="0" w:name="OLE_LINK4"/>
      <w:bookmarkStart w:id="9" w:name="_GoBack"/>
      <w:r>
        <w:rPr>
          <w:rFonts w:hint="eastAsia" w:ascii="宋体" w:hAnsi="宋体" w:cs="宋体"/>
          <w:b/>
          <w:bCs/>
          <w:sz w:val="28"/>
          <w:szCs w:val="28"/>
        </w:rPr>
        <w:t>华农财产保险股份有限公司</w:t>
      </w:r>
      <w:bookmarkStart w:id="1" w:name="OLE_LINK1"/>
      <w:r>
        <w:rPr>
          <w:rFonts w:hint="eastAsia" w:ascii="宋体" w:hAnsi="宋体" w:cs="宋体"/>
          <w:b/>
          <w:bCs/>
          <w:sz w:val="28"/>
          <w:szCs w:val="28"/>
        </w:rPr>
        <w:t>交通工具意外伤害保险</w:t>
      </w:r>
      <w:bookmarkEnd w:id="0"/>
      <w:bookmarkEnd w:id="9"/>
      <w:r>
        <w:rPr>
          <w:rFonts w:hint="eastAsia" w:ascii="宋体" w:hAnsi="宋体" w:cs="宋体"/>
          <w:b/>
          <w:bCs/>
          <w:sz w:val="28"/>
          <w:szCs w:val="28"/>
        </w:rPr>
        <w:t>C款</w:t>
      </w:r>
      <w:bookmarkEnd w:id="1"/>
      <w:r>
        <w:rPr>
          <w:rFonts w:hint="eastAsia" w:ascii="宋体" w:hAnsi="宋体" w:cs="宋体"/>
          <w:b/>
          <w:color w:val="000000"/>
          <w:sz w:val="28"/>
          <w:szCs w:val="28"/>
        </w:rPr>
        <w:t>费率表</w:t>
      </w:r>
    </w:p>
    <w:p w14:paraId="3C9B5A5A">
      <w:pPr>
        <w:snapToGrid w:val="0"/>
        <w:spacing w:line="360" w:lineRule="auto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</w:p>
    <w:p w14:paraId="009D6117">
      <w:pPr>
        <w:adjustRightInd w:val="0"/>
        <w:snapToGrid w:val="0"/>
        <w:spacing w:after="156" w:afterLine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一、基准费率</w:t>
      </w:r>
    </w:p>
    <w:tbl>
      <w:tblPr>
        <w:tblStyle w:val="28"/>
        <w:tblW w:w="82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2404"/>
        <w:gridCol w:w="2440"/>
      </w:tblGrid>
      <w:tr w14:paraId="75E82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12CC6">
            <w:pPr>
              <w:snapToGrid w:val="0"/>
              <w:jc w:val="center"/>
              <w:rPr>
                <w:rFonts w:hint="eastAsia" w:ascii="宋体" w:hAnsi="宋体" w:cs="仿宋_GB2312"/>
                <w:b/>
                <w:szCs w:val="21"/>
              </w:rPr>
            </w:pPr>
            <w:bookmarkStart w:id="2" w:name="OLE_LINK2" w:colFirst="0" w:colLast="2"/>
            <w:r>
              <w:rPr>
                <w:rFonts w:hint="eastAsia" w:ascii="宋体" w:hAnsi="宋体" w:cs="仿宋_GB2312"/>
                <w:b/>
                <w:szCs w:val="21"/>
              </w:rPr>
              <w:t>交通工具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BD514">
            <w:pPr>
              <w:snapToGrid w:val="0"/>
              <w:ind w:left="92" w:leftChars="44"/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bookmarkStart w:id="3" w:name="OLE_LINK13"/>
            <w:r>
              <w:rPr>
                <w:rFonts w:ascii="宋体" w:hAnsi="宋体" w:cs="宋体"/>
                <w:b/>
                <w:color w:val="auto"/>
                <w:szCs w:val="21"/>
              </w:rPr>
              <w:t>意外伤害身故</w:t>
            </w:r>
            <w:r>
              <w:rPr>
                <w:rFonts w:hint="eastAsia" w:ascii="宋体" w:hAnsi="宋体" w:cs="宋体"/>
                <w:b/>
                <w:color w:val="auto"/>
                <w:szCs w:val="21"/>
              </w:rPr>
              <w:t>保险金</w:t>
            </w:r>
            <w:bookmarkEnd w:id="3"/>
          </w:p>
          <w:p w14:paraId="19D7E978">
            <w:pPr>
              <w:snapToGrid w:val="0"/>
              <w:ind w:left="92" w:leftChars="44"/>
              <w:jc w:val="center"/>
              <w:rPr>
                <w:rFonts w:hint="eastAsia"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（</w:t>
            </w:r>
            <w:r>
              <w:rPr>
                <w:rFonts w:hint="eastAsia" w:ascii="宋体" w:hAnsi="宋体" w:cs="仿宋_GB2312"/>
                <w:b/>
                <w:szCs w:val="21"/>
              </w:rPr>
              <w:t>必选责任）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5B42A">
            <w:pPr>
              <w:snapToGrid w:val="0"/>
              <w:ind w:left="92" w:leftChars="44"/>
              <w:jc w:val="center"/>
              <w:rPr>
                <w:rFonts w:hint="eastAsia" w:ascii="宋体" w:hAnsi="宋体" w:cs="宋体"/>
                <w:b/>
                <w:color w:val="auto"/>
                <w:szCs w:val="21"/>
              </w:rPr>
            </w:pPr>
            <w:r>
              <w:rPr>
                <w:rFonts w:ascii="宋体" w:hAnsi="宋体" w:cs="宋体"/>
                <w:b/>
                <w:color w:val="auto"/>
                <w:szCs w:val="21"/>
              </w:rPr>
              <w:t>意外伤害</w:t>
            </w:r>
            <w:r>
              <w:rPr>
                <w:rFonts w:hint="eastAsia" w:ascii="宋体" w:hAnsi="宋体" w:cs="宋体"/>
                <w:b/>
                <w:color w:val="auto"/>
                <w:szCs w:val="21"/>
              </w:rPr>
              <w:t>伤残保险金</w:t>
            </w:r>
          </w:p>
          <w:p w14:paraId="7C6F9ACD">
            <w:pPr>
              <w:snapToGrid w:val="0"/>
              <w:ind w:left="92" w:leftChars="44"/>
              <w:jc w:val="center"/>
              <w:rPr>
                <w:rFonts w:hint="eastAsia"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</w:rPr>
              <w:t>(</w:t>
            </w:r>
            <w:r>
              <w:rPr>
                <w:rFonts w:hint="eastAsia" w:ascii="宋体" w:hAnsi="宋体" w:cs="仿宋_GB2312"/>
                <w:b/>
                <w:szCs w:val="21"/>
              </w:rPr>
              <w:t>可选责任)</w:t>
            </w:r>
          </w:p>
        </w:tc>
      </w:tr>
      <w:tr w14:paraId="4D5D4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945A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民航客机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1864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.04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ascii="宋体" w:hAnsi="宋体" w:cs="宋体"/>
                <w:szCs w:val="21"/>
              </w:rPr>
              <w:t>‰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E820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06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‰</w:t>
            </w:r>
          </w:p>
        </w:tc>
      </w:tr>
      <w:tr w14:paraId="62B321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0FAB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火车（含铁路列车、轻轨、地铁）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CF0E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.044‰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7CDE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066</w:t>
            </w:r>
            <w:r>
              <w:rPr>
                <w:rFonts w:hint="eastAsia" w:ascii="宋体" w:hAnsi="宋体" w:cs="宋体"/>
                <w:szCs w:val="21"/>
              </w:rPr>
              <w:t>‰</w:t>
            </w:r>
          </w:p>
        </w:tc>
      </w:tr>
      <w:tr w14:paraId="4E7BD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197E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轮船（含</w:t>
            </w:r>
            <w:bookmarkStart w:id="4" w:name="OLE_LINK16"/>
            <w:r>
              <w:rPr>
                <w:rFonts w:hint="eastAsia" w:ascii="宋体" w:hAnsi="宋体"/>
                <w:szCs w:val="21"/>
              </w:rPr>
              <w:t>客船、渡船、游船</w:t>
            </w:r>
            <w:bookmarkEnd w:id="4"/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7C48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</w:t>
            </w:r>
            <w:r>
              <w:rPr>
                <w:rFonts w:ascii="宋体" w:hAnsi="宋体" w:cs="宋体"/>
                <w:color w:val="auto"/>
                <w:szCs w:val="21"/>
              </w:rPr>
              <w:t>.044‰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F293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0.</w:t>
            </w:r>
            <w:r>
              <w:rPr>
                <w:rFonts w:ascii="宋体" w:hAnsi="宋体" w:cs="宋体"/>
                <w:color w:val="auto"/>
                <w:szCs w:val="21"/>
              </w:rPr>
              <w:t>066</w:t>
            </w:r>
            <w:r>
              <w:rPr>
                <w:rFonts w:hint="eastAsia" w:ascii="宋体" w:hAnsi="宋体" w:cs="宋体"/>
                <w:color w:val="auto"/>
                <w:szCs w:val="21"/>
              </w:rPr>
              <w:t>‰</w:t>
            </w:r>
          </w:p>
        </w:tc>
      </w:tr>
      <w:tr w14:paraId="4B6F85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9619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汽车（含电车）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AB5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ascii="宋体" w:hAnsi="宋体" w:cs="宋体"/>
                <w:szCs w:val="21"/>
              </w:rPr>
              <w:t>.16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ascii="宋体" w:hAnsi="宋体" w:cs="宋体"/>
                <w:szCs w:val="21"/>
              </w:rPr>
              <w:t>‰</w:t>
            </w:r>
          </w:p>
        </w:tc>
        <w:tc>
          <w:tcPr>
            <w:tcW w:w="2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23A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24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‰</w:t>
            </w:r>
          </w:p>
        </w:tc>
      </w:tr>
      <w:bookmarkEnd w:id="2"/>
    </w:tbl>
    <w:p w14:paraId="604B2CB6">
      <w:pPr>
        <w:pStyle w:val="69"/>
        <w:adjustRightInd w:val="0"/>
        <w:snapToGrid w:val="0"/>
        <w:jc w:val="left"/>
        <w:rPr>
          <w:rFonts w:hint="eastAsia" w:ascii="宋体" w:hAnsi="宋体"/>
          <w:b/>
          <w:bCs/>
          <w:color w:val="FF0000"/>
          <w:szCs w:val="21"/>
        </w:rPr>
      </w:pPr>
    </w:p>
    <w:p w14:paraId="00DD7CAC">
      <w:pPr>
        <w:pStyle w:val="69"/>
        <w:adjustRightInd w:val="0"/>
        <w:snapToGrid w:val="0"/>
        <w:jc w:val="left"/>
        <w:rPr>
          <w:rFonts w:hint="eastAsia" w:ascii="宋体" w:hAnsi="宋体"/>
          <w:b/>
          <w:bCs/>
          <w:color w:val="FF0000"/>
          <w:szCs w:val="21"/>
        </w:rPr>
      </w:pPr>
    </w:p>
    <w:p w14:paraId="234F64C7">
      <w:pPr>
        <w:adjustRightInd w:val="0"/>
        <w:snapToGrid w:val="0"/>
        <w:spacing w:before="0" w:beforeLines="-2147483648" w:after="156" w:afterLines="5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二、费率</w:t>
      </w:r>
      <w:r>
        <w:rPr>
          <w:rFonts w:ascii="宋体" w:hAnsi="宋体"/>
          <w:b/>
          <w:bCs/>
          <w:szCs w:val="21"/>
        </w:rPr>
        <w:t>调整</w:t>
      </w:r>
      <w:r>
        <w:rPr>
          <w:rFonts w:hint="eastAsia" w:ascii="宋体" w:hAnsi="宋体"/>
          <w:b/>
          <w:bCs/>
          <w:szCs w:val="21"/>
        </w:rPr>
        <w:t>系数</w:t>
      </w:r>
    </w:p>
    <w:p w14:paraId="510D171C">
      <w:pPr>
        <w:pStyle w:val="69"/>
        <w:adjustRightInd w:val="0"/>
        <w:snapToGrid w:val="0"/>
        <w:jc w:val="left"/>
        <w:rPr>
          <w:rFonts w:hint="eastAsia" w:ascii="宋体" w:hAnsi="宋体" w:cs="宋体"/>
          <w:color w:val="auto"/>
          <w:szCs w:val="21"/>
        </w:rPr>
      </w:pPr>
      <w:bookmarkStart w:id="5" w:name="OLE_LINK6"/>
      <w:bookmarkStart w:id="6" w:name="OLE_LINK3"/>
      <w:r>
        <w:rPr>
          <w:rFonts w:hint="eastAsia" w:ascii="宋体" w:hAnsi="宋体" w:eastAsia="PMingLiU"/>
          <w:szCs w:val="21"/>
        </w:rPr>
        <w:t>1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 w:cs="宋体"/>
          <w:szCs w:val="21"/>
        </w:rPr>
        <w:t>被保险人</w:t>
      </w:r>
      <w:r>
        <w:rPr>
          <w:rFonts w:hint="eastAsia" w:ascii="PMingLiU" w:hAnsi="PMingLiU" w:cs="宋体"/>
          <w:szCs w:val="21"/>
        </w:rPr>
        <w:t>所</w:t>
      </w:r>
      <w:r>
        <w:rPr>
          <w:rFonts w:hint="cs" w:ascii="PMingLiU" w:hAnsi="PMingLiU" w:cs="宋体"/>
          <w:szCs w:val="21"/>
        </w:rPr>
        <w:t>处</w:t>
      </w:r>
      <w:r>
        <w:rPr>
          <w:rFonts w:hint="eastAsia" w:ascii="宋体" w:hAnsi="宋体" w:cs="宋体"/>
          <w:szCs w:val="21"/>
        </w:rPr>
        <w:t>地区调整系数</w:t>
      </w:r>
      <w:r>
        <w:rPr>
          <w:rFonts w:hint="eastAsia" w:ascii="宋体" w:hAnsi="宋体" w:cs="宋体"/>
          <w:bCs/>
          <w:szCs w:val="21"/>
        </w:rPr>
        <w:t>（F</w:t>
      </w:r>
      <w:r>
        <w:rPr>
          <w:rFonts w:hint="eastAsia" w:ascii="宋体" w:hAnsi="宋体" w:eastAsia="PMingLiU" w:cs="宋体"/>
          <w:bCs/>
          <w:szCs w:val="21"/>
        </w:rPr>
        <w:t>1</w:t>
      </w:r>
      <w:r>
        <w:rPr>
          <w:rFonts w:hint="eastAsia" w:ascii="宋体" w:hAnsi="宋体" w:cs="宋体"/>
          <w:bCs/>
          <w:szCs w:val="21"/>
        </w:rPr>
        <w:t>）</w:t>
      </w:r>
    </w:p>
    <w:tbl>
      <w:tblPr>
        <w:tblStyle w:val="28"/>
        <w:tblW w:w="82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9"/>
        <w:gridCol w:w="2911"/>
      </w:tblGrid>
      <w:tr w14:paraId="4583B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379" w:type="dxa"/>
            <w:vAlign w:val="center"/>
          </w:tcPr>
          <w:p w14:paraId="7F364826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被保险人</w:t>
            </w:r>
            <w:r>
              <w:rPr>
                <w:rFonts w:hint="eastAsia" w:ascii="PMingLiU" w:hAnsi="PMingLiU" w:cs="宋体"/>
                <w:szCs w:val="21"/>
              </w:rPr>
              <w:t>所</w:t>
            </w:r>
            <w:r>
              <w:rPr>
                <w:rFonts w:hint="cs" w:ascii="PMingLiU" w:hAnsi="PMingLiU" w:cs="宋体"/>
                <w:szCs w:val="21"/>
              </w:rPr>
              <w:t>处</w:t>
            </w:r>
            <w:r>
              <w:rPr>
                <w:rFonts w:hint="eastAsia" w:ascii="宋体" w:hAnsi="宋体" w:cs="宋体"/>
                <w:szCs w:val="21"/>
              </w:rPr>
              <w:t>地区</w:t>
            </w:r>
          </w:p>
        </w:tc>
        <w:tc>
          <w:tcPr>
            <w:tcW w:w="2911" w:type="dxa"/>
            <w:vAlign w:val="center"/>
          </w:tcPr>
          <w:p w14:paraId="6F582037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调整系数</w:t>
            </w:r>
          </w:p>
        </w:tc>
      </w:tr>
      <w:tr w14:paraId="0CE20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379" w:type="dxa"/>
            <w:vAlign w:val="center"/>
          </w:tcPr>
          <w:p w14:paraId="284AF8F9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A类地区</w:t>
            </w:r>
          </w:p>
        </w:tc>
        <w:tc>
          <w:tcPr>
            <w:tcW w:w="2911" w:type="dxa"/>
            <w:vAlign w:val="center"/>
          </w:tcPr>
          <w:p w14:paraId="549D1135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[0.7,0.8</w:t>
            </w: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)</w:t>
            </w:r>
          </w:p>
        </w:tc>
      </w:tr>
      <w:tr w14:paraId="2BF95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379" w:type="dxa"/>
            <w:vAlign w:val="center"/>
          </w:tcPr>
          <w:p w14:paraId="06BE47B9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B类地区</w:t>
            </w:r>
          </w:p>
        </w:tc>
        <w:tc>
          <w:tcPr>
            <w:tcW w:w="2911" w:type="dxa"/>
            <w:vAlign w:val="center"/>
          </w:tcPr>
          <w:p w14:paraId="1F5DA2A3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0.8,1.0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)</w:t>
            </w:r>
          </w:p>
        </w:tc>
      </w:tr>
      <w:tr w14:paraId="5E5A4F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5379" w:type="dxa"/>
            <w:vAlign w:val="center"/>
          </w:tcPr>
          <w:p w14:paraId="2AE4963F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C类地区</w:t>
            </w:r>
          </w:p>
        </w:tc>
        <w:tc>
          <w:tcPr>
            <w:tcW w:w="2911" w:type="dxa"/>
            <w:vAlign w:val="center"/>
          </w:tcPr>
          <w:p w14:paraId="06B4A985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[</w:t>
            </w:r>
            <w:r>
              <w:rPr>
                <w:rFonts w:hint="eastAsia" w:ascii="宋体" w:hAnsi="宋体" w:cs="宋体"/>
                <w:color w:val="auto"/>
                <w:szCs w:val="21"/>
              </w:rPr>
              <w:t>1.0</w:t>
            </w:r>
            <w:r>
              <w:rPr>
                <w:rFonts w:ascii="宋体" w:hAnsi="宋体" w:cs="宋体"/>
                <w:color w:val="auto"/>
                <w:szCs w:val="21"/>
              </w:rPr>
              <w:t>,1.3]</w:t>
            </w:r>
          </w:p>
        </w:tc>
      </w:tr>
      <w:bookmarkEnd w:id="5"/>
    </w:tbl>
    <w:p w14:paraId="0A127B38">
      <w:pPr>
        <w:pStyle w:val="69"/>
        <w:adjustRightInd w:val="0"/>
        <w:snapToGrid w:val="0"/>
        <w:jc w:val="left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注：</w:t>
      </w:r>
      <w:r>
        <w:rPr>
          <w:rFonts w:hint="eastAsia" w:ascii="宋体" w:hAnsi="宋体" w:cs="宋体"/>
          <w:color w:val="auto"/>
          <w:szCs w:val="21"/>
        </w:rPr>
        <w:t>被保险人</w:t>
      </w:r>
      <w:r>
        <w:rPr>
          <w:rFonts w:hint="eastAsia" w:ascii="PMingLiU" w:hAnsi="PMingLiU" w:cs="宋体"/>
          <w:color w:val="auto"/>
          <w:szCs w:val="21"/>
        </w:rPr>
        <w:t>所</w:t>
      </w:r>
      <w:r>
        <w:rPr>
          <w:rFonts w:hint="cs" w:ascii="PMingLiU" w:hAnsi="PMingLiU" w:cs="宋体"/>
          <w:color w:val="auto"/>
          <w:szCs w:val="21"/>
        </w:rPr>
        <w:t>处</w:t>
      </w:r>
      <w:r>
        <w:rPr>
          <w:rFonts w:hint="eastAsia" w:ascii="宋体" w:hAnsi="宋体" w:cs="宋体"/>
          <w:color w:val="auto"/>
          <w:szCs w:val="21"/>
        </w:rPr>
        <w:t>地区</w:t>
      </w:r>
      <w:r>
        <w:rPr>
          <w:rFonts w:hint="eastAsia" w:ascii="宋体" w:hAnsi="宋体"/>
          <w:color w:val="auto"/>
          <w:szCs w:val="21"/>
        </w:rPr>
        <w:t>调整系数根据当地经济发展水平及市场环境确定。</w:t>
      </w:r>
    </w:p>
    <w:p w14:paraId="71DD91A1">
      <w:pPr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A类地区：北京、上海、江苏、广东、深圳、浙江、福建</w:t>
      </w:r>
    </w:p>
    <w:p w14:paraId="14B9A7F7"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B类地区：除A、C类地区外的地区</w:t>
      </w:r>
    </w:p>
    <w:p w14:paraId="2C2610B6"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C类地区：新疆、辽宁、甘肃、内蒙、宁夏、青海、西藏</w:t>
      </w:r>
    </w:p>
    <w:bookmarkEnd w:id="6"/>
    <w:p w14:paraId="65828EF0">
      <w:pPr>
        <w:pStyle w:val="69"/>
        <w:adjustRightInd w:val="0"/>
        <w:snapToGrid w:val="0"/>
        <w:jc w:val="left"/>
        <w:rPr>
          <w:rFonts w:ascii="宋体" w:hAnsi="宋体" w:eastAsia="宋体"/>
          <w:b/>
          <w:bCs/>
          <w:color w:val="FF0000"/>
          <w:szCs w:val="21"/>
          <w:lang w:eastAsia="zh-CN"/>
        </w:rPr>
      </w:pPr>
    </w:p>
    <w:p w14:paraId="1B09DB74">
      <w:pPr>
        <w:pStyle w:val="69"/>
        <w:adjustRightInd w:val="0"/>
        <w:snapToGri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、被保险人主要生活区域</w:t>
      </w:r>
      <w:r>
        <w:rPr>
          <w:rFonts w:hint="eastAsia" w:ascii="PMingLiU" w:hAnsi="PMingLiU" w:cs="宋体"/>
          <w:szCs w:val="21"/>
        </w:rPr>
        <w:t>交通状</w:t>
      </w:r>
      <w:r>
        <w:rPr>
          <w:rFonts w:hint="eastAsia" w:ascii="宋体" w:hAnsi="宋体" w:cs="宋体"/>
          <w:szCs w:val="21"/>
        </w:rPr>
        <w:t>况调整系数（F2）</w:t>
      </w:r>
    </w:p>
    <w:tbl>
      <w:tblPr>
        <w:tblStyle w:val="28"/>
        <w:tblW w:w="82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9"/>
        <w:gridCol w:w="2911"/>
      </w:tblGrid>
      <w:tr w14:paraId="1A545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379" w:type="dxa"/>
            <w:vAlign w:val="center"/>
          </w:tcPr>
          <w:p w14:paraId="5C73963F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被保险人主要生活区域</w:t>
            </w:r>
            <w:r>
              <w:rPr>
                <w:rFonts w:hint="eastAsia" w:ascii="PMingLiU" w:hAnsi="PMingLiU" w:cs="宋体"/>
                <w:szCs w:val="21"/>
              </w:rPr>
              <w:t>交通状</w:t>
            </w:r>
            <w:r>
              <w:rPr>
                <w:rFonts w:hint="eastAsia" w:ascii="宋体" w:hAnsi="宋体" w:cs="宋体"/>
                <w:szCs w:val="21"/>
              </w:rPr>
              <w:t>况</w:t>
            </w:r>
          </w:p>
        </w:tc>
        <w:tc>
          <w:tcPr>
            <w:tcW w:w="2911" w:type="dxa"/>
            <w:vAlign w:val="center"/>
          </w:tcPr>
          <w:p w14:paraId="5957DA08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调整系数</w:t>
            </w:r>
          </w:p>
        </w:tc>
      </w:tr>
      <w:tr w14:paraId="42245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379" w:type="dxa"/>
            <w:vAlign w:val="center"/>
          </w:tcPr>
          <w:p w14:paraId="314205A8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szCs w:val="21"/>
              </w:rPr>
            </w:pPr>
            <w:r>
              <w:rPr>
                <w:rFonts w:hint="eastAsia" w:ascii="PMingLiU" w:hAnsi="PMingLiU" w:cs="宋体"/>
                <w:szCs w:val="21"/>
              </w:rPr>
              <w:t>交通状</w:t>
            </w:r>
            <w:r>
              <w:rPr>
                <w:rFonts w:hint="eastAsia" w:ascii="宋体" w:hAnsi="宋体" w:cs="宋体"/>
                <w:szCs w:val="21"/>
              </w:rPr>
              <w:t>况</w:t>
            </w:r>
            <w:r>
              <w:rPr>
                <w:rFonts w:hint="eastAsia" w:ascii="PMingLiU" w:hAnsi="PMingLiU" w:cs="宋体"/>
                <w:szCs w:val="21"/>
              </w:rPr>
              <w:t>良好</w:t>
            </w:r>
          </w:p>
        </w:tc>
        <w:tc>
          <w:tcPr>
            <w:tcW w:w="2911" w:type="dxa"/>
            <w:vAlign w:val="center"/>
          </w:tcPr>
          <w:p w14:paraId="4CDFD612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[0.7,0.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)</w:t>
            </w:r>
          </w:p>
        </w:tc>
      </w:tr>
      <w:tr w14:paraId="273A1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379" w:type="dxa"/>
            <w:vAlign w:val="center"/>
          </w:tcPr>
          <w:p w14:paraId="07BBC097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szCs w:val="21"/>
              </w:rPr>
            </w:pPr>
            <w:r>
              <w:rPr>
                <w:rFonts w:hint="eastAsia" w:ascii="PMingLiU" w:hAnsi="PMingLiU" w:cs="宋体"/>
                <w:szCs w:val="21"/>
              </w:rPr>
              <w:t>交通状</w:t>
            </w:r>
            <w:r>
              <w:rPr>
                <w:rFonts w:hint="eastAsia" w:ascii="宋体" w:hAnsi="宋体" w:cs="宋体"/>
                <w:szCs w:val="21"/>
              </w:rPr>
              <w:t>况</w:t>
            </w:r>
            <w:r>
              <w:rPr>
                <w:rFonts w:hint="eastAsia" w:ascii="PMingLiU" w:hAnsi="PMingLiU" w:cs="宋体"/>
                <w:szCs w:val="21"/>
              </w:rPr>
              <w:t>一般</w:t>
            </w:r>
          </w:p>
        </w:tc>
        <w:tc>
          <w:tcPr>
            <w:tcW w:w="2911" w:type="dxa"/>
            <w:vAlign w:val="center"/>
          </w:tcPr>
          <w:p w14:paraId="48D82617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,1.0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］</w:t>
            </w:r>
          </w:p>
        </w:tc>
      </w:tr>
      <w:tr w14:paraId="58F27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5379" w:type="dxa"/>
            <w:vAlign w:val="center"/>
          </w:tcPr>
          <w:p w14:paraId="7A1A4CB2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szCs w:val="21"/>
                <w:lang w:eastAsia="zh-TW"/>
              </w:rPr>
            </w:pPr>
            <w:r>
              <w:rPr>
                <w:rFonts w:hint="eastAsia" w:ascii="PMingLiU" w:hAnsi="PMingLiU" w:cs="宋体"/>
                <w:szCs w:val="21"/>
              </w:rPr>
              <w:t>交通状</w:t>
            </w:r>
            <w:r>
              <w:rPr>
                <w:rFonts w:hint="eastAsia" w:ascii="宋体" w:hAnsi="宋体" w:cs="宋体"/>
                <w:szCs w:val="21"/>
              </w:rPr>
              <w:t>况</w:t>
            </w:r>
            <w:r>
              <w:rPr>
                <w:rFonts w:hint="eastAsia" w:ascii="PMingLiU" w:hAnsi="PMingLiU" w:cs="宋体"/>
                <w:szCs w:val="21"/>
              </w:rPr>
              <w:t>较</w:t>
            </w:r>
            <w:r>
              <w:rPr>
                <w:rFonts w:hint="eastAsia" w:ascii="PMingLiU" w:hAnsi="PMingLiU" w:eastAsia="宋体" w:cs="宋体"/>
                <w:szCs w:val="21"/>
              </w:rPr>
              <w:t>差</w:t>
            </w:r>
          </w:p>
        </w:tc>
        <w:tc>
          <w:tcPr>
            <w:tcW w:w="2911" w:type="dxa"/>
            <w:vAlign w:val="center"/>
          </w:tcPr>
          <w:p w14:paraId="5DFD4950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1.0,1.3]</w:t>
            </w:r>
          </w:p>
        </w:tc>
      </w:tr>
    </w:tbl>
    <w:p w14:paraId="1D76702B">
      <w:pPr>
        <w:pStyle w:val="69"/>
        <w:adjustRightInd w:val="0"/>
        <w:snapToGrid w:val="0"/>
        <w:jc w:val="left"/>
        <w:rPr>
          <w:rFonts w:ascii="宋体" w:hAnsi="宋体" w:eastAsia="宋体"/>
          <w:b/>
          <w:bCs/>
          <w:color w:val="FF0000"/>
          <w:szCs w:val="21"/>
        </w:rPr>
      </w:pPr>
    </w:p>
    <w:p w14:paraId="666BCFB5">
      <w:pPr>
        <w:pStyle w:val="69"/>
        <w:adjustRightInd w:val="0"/>
        <w:snapToGrid w:val="0"/>
        <w:jc w:val="left"/>
        <w:rPr>
          <w:rFonts w:ascii="宋体" w:hAnsi="宋体" w:eastAsia="PMingLiU" w:cs="宋体"/>
          <w:b/>
          <w:bCs/>
          <w:szCs w:val="21"/>
        </w:rPr>
      </w:pPr>
      <w:r>
        <w:rPr>
          <w:rFonts w:hint="eastAsia" w:ascii="宋体" w:hAnsi="宋体" w:cs="宋体"/>
          <w:szCs w:val="21"/>
        </w:rPr>
        <w:t>3、被保险人综合风险水平调整系数（F3）</w:t>
      </w:r>
    </w:p>
    <w:tbl>
      <w:tblPr>
        <w:tblStyle w:val="28"/>
        <w:tblW w:w="829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276"/>
        <w:gridCol w:w="2914"/>
      </w:tblGrid>
      <w:tr w14:paraId="5DA0E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382" w:type="dxa"/>
            <w:gridSpan w:val="2"/>
            <w:vAlign w:val="center"/>
          </w:tcPr>
          <w:p w14:paraId="7BB251DE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被保险人综合风险水平</w:t>
            </w:r>
          </w:p>
        </w:tc>
        <w:tc>
          <w:tcPr>
            <w:tcW w:w="2914" w:type="dxa"/>
            <w:vAlign w:val="center"/>
          </w:tcPr>
          <w:p w14:paraId="3FBA000E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调整系数</w:t>
            </w:r>
          </w:p>
        </w:tc>
      </w:tr>
      <w:tr w14:paraId="5D2CD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4106" w:type="dxa"/>
            <w:vMerge w:val="restart"/>
            <w:vAlign w:val="center"/>
          </w:tcPr>
          <w:p w14:paraId="01D0C891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根据被保险人的连续投保年数、</w:t>
            </w:r>
            <w:r>
              <w:rPr>
                <w:rFonts w:hint="eastAsia" w:ascii="PMingLiU" w:hAnsi="PMingLiU" w:cs="宋体"/>
                <w:szCs w:val="21"/>
              </w:rPr>
              <w:t>跨险种投保</w:t>
            </w:r>
            <w:r>
              <w:rPr>
                <w:rFonts w:hint="eastAsia" w:ascii="PMingLiU" w:hAnsi="PMingLiU" w:eastAsia="宋体" w:cs="宋体"/>
                <w:szCs w:val="21"/>
              </w:rPr>
              <w:t>情</w:t>
            </w:r>
            <w:r>
              <w:rPr>
                <w:rFonts w:hint="cs" w:ascii="PMingLiU" w:hAnsi="PMingLiU" w:eastAsia="宋体" w:cs="宋体"/>
                <w:szCs w:val="21"/>
              </w:rPr>
              <w:t>况</w:t>
            </w:r>
            <w:r>
              <w:rPr>
                <w:rFonts w:hint="eastAsia" w:ascii="PMingLiU" w:hAnsi="PMingLiU" w:cs="宋体"/>
                <w:szCs w:val="21"/>
              </w:rPr>
              <w:t>以及安全</w:t>
            </w:r>
            <w:r>
              <w:rPr>
                <w:rFonts w:hint="eastAsia" w:ascii="PMingLiU" w:hAnsi="PMingLiU" w:cs="宋体"/>
                <w:szCs w:val="21"/>
                <w:lang w:val="en-US" w:eastAsia="zh-CN"/>
              </w:rPr>
              <w:t>出行</w:t>
            </w:r>
            <w:r>
              <w:rPr>
                <w:rFonts w:hint="eastAsia" w:ascii="PMingLiU" w:hAnsi="PMingLiU" w:cs="宋体"/>
                <w:szCs w:val="21"/>
              </w:rPr>
              <w:t>习惯等综合评估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276" w:type="dxa"/>
          </w:tcPr>
          <w:p w14:paraId="0DFF6ADB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PMingLiU" w:hAnsi="PMingLiU" w:cs="宋体"/>
                <w:color w:val="auto"/>
                <w:szCs w:val="21"/>
              </w:rPr>
              <w:t>低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41AB2164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[0.7,0.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)</w:t>
            </w:r>
          </w:p>
        </w:tc>
      </w:tr>
      <w:tr w14:paraId="33FA4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4106" w:type="dxa"/>
            <w:vMerge w:val="continue"/>
            <w:vAlign w:val="center"/>
          </w:tcPr>
          <w:p w14:paraId="1BDEDF1A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eastAsia="PMingLiU" w:cs="宋体"/>
                <w:color w:val="FF0000"/>
                <w:szCs w:val="21"/>
                <w:lang w:eastAsia="zh-TW"/>
              </w:rPr>
            </w:pPr>
          </w:p>
        </w:tc>
        <w:tc>
          <w:tcPr>
            <w:tcW w:w="1276" w:type="dxa"/>
          </w:tcPr>
          <w:p w14:paraId="5FD73BD1">
            <w:pPr>
              <w:pStyle w:val="69"/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PMingLiU" w:hAnsi="PMingLiU" w:eastAsia="宋体" w:cs="宋体"/>
                <w:szCs w:val="21"/>
              </w:rPr>
              <w:t>中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50219913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,1.0</w:t>
            </w:r>
            <w:r>
              <w:rPr>
                <w:rFonts w:hint="eastAsia" w:ascii="宋体" w:hAnsi="宋体" w:cs="宋体"/>
                <w:color w:val="auto"/>
                <w:szCs w:val="21"/>
              </w:rPr>
              <w:t>］</w:t>
            </w:r>
          </w:p>
        </w:tc>
      </w:tr>
      <w:tr w14:paraId="29209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4106" w:type="dxa"/>
            <w:vMerge w:val="continue"/>
            <w:vAlign w:val="center"/>
          </w:tcPr>
          <w:p w14:paraId="22F57D54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4BF5BE4">
            <w:pPr>
              <w:pStyle w:val="69"/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PMingLiU" w:hAnsi="PMingLiU" w:cs="宋体"/>
                <w:color w:val="auto"/>
                <w:szCs w:val="21"/>
              </w:rPr>
              <w:t>高</w:t>
            </w:r>
            <w:r>
              <w:rPr>
                <w:rFonts w:hint="eastAsia" w:ascii="宋体" w:hAnsi="宋体" w:cs="宋体"/>
                <w:szCs w:val="21"/>
              </w:rPr>
              <w:t>风险</w:t>
            </w:r>
          </w:p>
        </w:tc>
        <w:tc>
          <w:tcPr>
            <w:tcW w:w="2914" w:type="dxa"/>
            <w:vAlign w:val="center"/>
          </w:tcPr>
          <w:p w14:paraId="3ED5BF81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1.0,1.3]</w:t>
            </w:r>
          </w:p>
        </w:tc>
      </w:tr>
    </w:tbl>
    <w:p w14:paraId="556DCD6A">
      <w:pPr>
        <w:pStyle w:val="69"/>
        <w:adjustRightInd w:val="0"/>
        <w:snapToGrid w:val="0"/>
        <w:jc w:val="left"/>
        <w:rPr>
          <w:rFonts w:hint="eastAsia" w:ascii="宋体" w:hAnsi="宋体" w:eastAsia="宋体" w:cs="宋体"/>
          <w:b w:val="0"/>
          <w:bCs w:val="0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注：被保险人</w:t>
      </w:r>
      <w:r>
        <w:rPr>
          <w:rFonts w:hint="eastAsia" w:ascii="PMingLiU" w:hAnsi="PMingLiU" w:cs="宋体"/>
          <w:szCs w:val="21"/>
        </w:rPr>
        <w:t>连续投保年数越长的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PMingLiU" w:hAnsi="PMingLiU" w:cs="宋体"/>
          <w:szCs w:val="21"/>
        </w:rPr>
        <w:t>跨险种保障越充足的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PMingLiU" w:hAnsi="PMingLiU" w:cs="宋体"/>
          <w:szCs w:val="21"/>
        </w:rPr>
        <w:t>有良好</w:t>
      </w:r>
      <w:r>
        <w:rPr>
          <w:rFonts w:hint="eastAsia" w:ascii="PMingLiU" w:hAnsi="PMingLiU" w:cs="宋体"/>
          <w:szCs w:val="21"/>
          <w:lang w:val="en-US" w:eastAsia="zh-CN"/>
        </w:rPr>
        <w:t>出行</w:t>
      </w:r>
      <w:r>
        <w:rPr>
          <w:rFonts w:hint="eastAsia" w:ascii="PMingLiU" w:hAnsi="PMingLiU" w:cs="宋体"/>
          <w:szCs w:val="21"/>
        </w:rPr>
        <w:t>习惯的费率下调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PMingLiU" w:hAnsi="PMingLiU" w:eastAsia="宋体" w:cs="宋体"/>
          <w:szCs w:val="21"/>
        </w:rPr>
        <w:t>反之</w:t>
      </w:r>
      <w:r>
        <w:rPr>
          <w:rFonts w:hint="cs" w:ascii="PMingLiU" w:hAnsi="PMingLiU" w:eastAsia="宋体" w:cs="宋体"/>
          <w:szCs w:val="21"/>
        </w:rPr>
        <w:t>则</w:t>
      </w:r>
      <w:r>
        <w:rPr>
          <w:rFonts w:hint="eastAsia" w:ascii="PMingLiU" w:hAnsi="PMingLiU" w:eastAsia="宋体" w:cs="宋体"/>
          <w:szCs w:val="21"/>
        </w:rPr>
        <w:t>予以上浮</w:t>
      </w:r>
      <w:r>
        <w:rPr>
          <w:rFonts w:hint="eastAsia" w:ascii="宋体" w:hAnsi="宋体" w:cs="宋体"/>
          <w:szCs w:val="21"/>
        </w:rPr>
        <w:t>。若被保险人</w:t>
      </w:r>
      <w:r>
        <w:rPr>
          <w:rFonts w:hint="eastAsia" w:ascii="PMingLiU" w:hAnsi="PMingLiU" w:eastAsia="宋体" w:cs="宋体"/>
          <w:szCs w:val="21"/>
        </w:rPr>
        <w:t>相</w:t>
      </w:r>
      <w:r>
        <w:rPr>
          <w:rFonts w:hint="cs" w:ascii="PMingLiU" w:hAnsi="PMingLiU" w:eastAsia="宋体" w:cs="宋体"/>
          <w:szCs w:val="21"/>
        </w:rPr>
        <w:t>关</w:t>
      </w:r>
      <w:r>
        <w:rPr>
          <w:rFonts w:hint="eastAsia" w:ascii="宋体" w:hAnsi="宋体" w:cs="宋体"/>
          <w:szCs w:val="21"/>
        </w:rPr>
        <w:t>信息无法有效获取，则本项系数取1.0。</w:t>
      </w:r>
    </w:p>
    <w:p w14:paraId="7199E205">
      <w:pPr>
        <w:pStyle w:val="69"/>
        <w:adjustRightInd w:val="0"/>
        <w:snapToGrid w:val="0"/>
        <w:jc w:val="left"/>
        <w:rPr>
          <w:rFonts w:hint="eastAsia" w:ascii="宋体" w:hAnsi="宋体" w:eastAsia="宋体" w:cs="宋体"/>
          <w:b w:val="0"/>
          <w:bCs w:val="0"/>
          <w:color w:val="FF0000"/>
          <w:szCs w:val="21"/>
        </w:rPr>
      </w:pPr>
    </w:p>
    <w:p w14:paraId="5D3E1835">
      <w:pPr>
        <w:pStyle w:val="69"/>
        <w:adjustRightInd w:val="0"/>
        <w:snapToGrid w:val="0"/>
        <w:jc w:val="left"/>
        <w:rPr>
          <w:rFonts w:hint="eastAsia" w:ascii="宋体" w:hAnsi="宋体" w:eastAsia="宋体" w:cs="宋体"/>
          <w:b w:val="0"/>
          <w:bCs w:val="0"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4、渠道</w:t>
      </w:r>
      <w:r>
        <w:rPr>
          <w:rFonts w:hint="eastAsia" w:ascii="宋体" w:hAnsi="宋体" w:cs="宋体"/>
          <w:b w:val="0"/>
          <w:bCs w:val="0"/>
          <w:szCs w:val="21"/>
        </w:rPr>
        <w:t>年度预计投保规模调整系</w:t>
      </w:r>
      <w:r>
        <w:rPr>
          <w:rFonts w:hint="eastAsia" w:ascii="宋体" w:hAnsi="宋体" w:eastAsia="宋体" w:cs="宋体"/>
          <w:b w:val="0"/>
          <w:bCs w:val="0"/>
          <w:szCs w:val="21"/>
        </w:rPr>
        <w:t>数（F4）</w:t>
      </w:r>
    </w:p>
    <w:tbl>
      <w:tblPr>
        <w:tblStyle w:val="2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1"/>
        <w:gridCol w:w="2893"/>
      </w:tblGrid>
      <w:tr w14:paraId="467C5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B6D67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渠道年度预计投保人数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0FDF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44ACD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3F83E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≤10</w:t>
            </w:r>
            <w:r>
              <w:rPr>
                <w:rFonts w:ascii="宋体" w:hAnsi="宋体" w:cs="宋体"/>
                <w:b w:val="0"/>
                <w:bCs w:val="0"/>
                <w:szCs w:val="21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人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721E9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eastAsia="zh-TW"/>
              </w:rPr>
              <w:t>1.0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,1.2</w:t>
            </w:r>
            <w:r>
              <w:rPr>
                <w:rFonts w:ascii="宋体" w:hAnsi="宋体" w:cs="宋体"/>
                <w:b w:val="0"/>
                <w:bCs w:val="0"/>
                <w:szCs w:val="21"/>
              </w:rPr>
              <w:t>]</w:t>
            </w:r>
          </w:p>
        </w:tc>
      </w:tr>
      <w:tr w14:paraId="44237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E9791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0</w:t>
            </w:r>
            <w:r>
              <w:rPr>
                <w:rFonts w:ascii="宋体" w:hAnsi="宋体" w:cs="宋体"/>
                <w:b w:val="0"/>
                <w:bCs w:val="0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～1000人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959B5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ascii="宋体" w:hAnsi="宋体" w:cs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eastAsia="zh-TW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eastAsia="zh-TW"/>
              </w:rPr>
              <w:t>1.0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)</w:t>
            </w:r>
          </w:p>
        </w:tc>
      </w:tr>
      <w:tr w14:paraId="26B39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2237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＞1000人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68330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 w:cs="宋体"/>
                <w:b w:val="0"/>
                <w:bCs w:val="0"/>
                <w:szCs w:val="21"/>
              </w:rPr>
              <w:t>[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eastAsia="zh-TW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,0.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eastAsia="zh-TW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szCs w:val="21"/>
              </w:rPr>
              <w:t>)</w:t>
            </w:r>
          </w:p>
        </w:tc>
      </w:tr>
    </w:tbl>
    <w:p w14:paraId="6FFD3923">
      <w:pPr>
        <w:pStyle w:val="69"/>
        <w:adjustRightInd w:val="0"/>
        <w:snapToGrid w:val="0"/>
        <w:jc w:val="left"/>
        <w:rPr>
          <w:rFonts w:ascii="宋体" w:hAnsi="宋体" w:eastAsia="PMingLiU"/>
          <w:b/>
          <w:bCs/>
          <w:color w:val="FF0000"/>
          <w:szCs w:val="21"/>
        </w:rPr>
      </w:pPr>
    </w:p>
    <w:p w14:paraId="69B51C79"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 w:eastAsia="PMingLiU"/>
          <w:szCs w:val="21"/>
        </w:rPr>
        <w:t>5</w:t>
      </w:r>
      <w:r>
        <w:rPr>
          <w:rFonts w:hint="eastAsia" w:ascii="宋体" w:hAnsi="宋体"/>
          <w:szCs w:val="21"/>
        </w:rPr>
        <w:t>、经验/预期赔付率调整系数（F</w:t>
      </w:r>
      <w:r>
        <w:rPr>
          <w:rFonts w:hint="eastAsia" w:ascii="宋体" w:hAnsi="宋体" w:eastAsia="PMingLiU"/>
          <w:szCs w:val="21"/>
        </w:rPr>
        <w:t>5</w:t>
      </w:r>
      <w:r>
        <w:rPr>
          <w:rFonts w:hint="eastAsia" w:ascii="宋体" w:hAnsi="宋体"/>
          <w:szCs w:val="21"/>
        </w:rPr>
        <w:t>）</w:t>
      </w:r>
    </w:p>
    <w:tbl>
      <w:tblPr>
        <w:tblStyle w:val="2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1"/>
        <w:gridCol w:w="2893"/>
      </w:tblGrid>
      <w:tr w14:paraId="139E1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23D4C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经验/预期赔付率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689AB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调整系数</w:t>
            </w:r>
          </w:p>
        </w:tc>
      </w:tr>
      <w:tr w14:paraId="46656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4CC8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0%-65%（含）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B5326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[0.7,1.0]</w:t>
            </w:r>
          </w:p>
        </w:tc>
      </w:tr>
      <w:tr w14:paraId="601FA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5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E177F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65%以上</w:t>
            </w:r>
          </w:p>
        </w:tc>
        <w:tc>
          <w:tcPr>
            <w:tcW w:w="2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84212"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(1.0,1.3]</w:t>
            </w:r>
          </w:p>
        </w:tc>
      </w:tr>
    </w:tbl>
    <w:p w14:paraId="00CDFF9A">
      <w:pPr>
        <w:pStyle w:val="69"/>
        <w:adjustRightInd w:val="0"/>
        <w:snapToGrid w:val="0"/>
        <w:jc w:val="left"/>
        <w:rPr>
          <w:rFonts w:hint="eastAsia" w:ascii="宋体" w:hAnsi="宋体"/>
          <w:b/>
          <w:bCs/>
          <w:color w:val="FF0000"/>
          <w:szCs w:val="21"/>
        </w:rPr>
      </w:pPr>
    </w:p>
    <w:p w14:paraId="79D37429">
      <w:pPr>
        <w:pStyle w:val="69"/>
        <w:adjustRightInd w:val="0"/>
        <w:snapToGrid w:val="0"/>
        <w:jc w:val="left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eastAsia="PMingLiU"/>
          <w:szCs w:val="21"/>
        </w:rPr>
        <w:t>6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 w:cs="宋体"/>
          <w:color w:val="auto"/>
          <w:szCs w:val="21"/>
        </w:rPr>
        <w:t>渠道调整系数</w:t>
      </w:r>
      <w:r>
        <w:rPr>
          <w:rFonts w:hint="eastAsia" w:ascii="宋体" w:hAnsi="宋体" w:cs="宋体"/>
          <w:bCs/>
          <w:color w:val="auto"/>
          <w:szCs w:val="21"/>
        </w:rPr>
        <w:t>（F</w:t>
      </w:r>
      <w:r>
        <w:rPr>
          <w:rFonts w:hint="eastAsia" w:ascii="宋体" w:hAnsi="宋体" w:eastAsia="PMingLiU" w:cs="宋体"/>
          <w:bCs/>
          <w:color w:val="auto"/>
          <w:szCs w:val="21"/>
          <w:lang w:eastAsia="zh-TW"/>
        </w:rPr>
        <w:t>6</w:t>
      </w:r>
      <w:r>
        <w:rPr>
          <w:rFonts w:hint="eastAsia" w:ascii="宋体" w:hAnsi="宋体" w:cs="宋体"/>
          <w:bCs/>
          <w:color w:val="auto"/>
          <w:szCs w:val="21"/>
        </w:rPr>
        <w:t>）</w:t>
      </w:r>
    </w:p>
    <w:tbl>
      <w:tblPr>
        <w:tblStyle w:val="28"/>
        <w:tblW w:w="828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6"/>
        <w:gridCol w:w="2907"/>
      </w:tblGrid>
      <w:tr w14:paraId="57F21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1" w:hRule="atLeast"/>
          <w:jc w:val="center"/>
        </w:trPr>
        <w:tc>
          <w:tcPr>
            <w:tcW w:w="5376" w:type="dxa"/>
            <w:vAlign w:val="center"/>
          </w:tcPr>
          <w:p w14:paraId="401C3218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渠道类型</w:t>
            </w:r>
          </w:p>
        </w:tc>
        <w:tc>
          <w:tcPr>
            <w:tcW w:w="2907" w:type="dxa"/>
            <w:vAlign w:val="center"/>
          </w:tcPr>
          <w:p w14:paraId="14BAA900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调整系数</w:t>
            </w:r>
          </w:p>
        </w:tc>
      </w:tr>
      <w:tr w14:paraId="2F574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  <w:jc w:val="center"/>
        </w:trPr>
        <w:tc>
          <w:tcPr>
            <w:tcW w:w="5376" w:type="dxa"/>
            <w:vAlign w:val="center"/>
          </w:tcPr>
          <w:p w14:paraId="7D48B5FF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直销（或销售费用率等同直销的渠道）</w:t>
            </w:r>
          </w:p>
        </w:tc>
        <w:tc>
          <w:tcPr>
            <w:tcW w:w="2907" w:type="dxa"/>
            <w:vAlign w:val="center"/>
          </w:tcPr>
          <w:p w14:paraId="697B040D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</w:rPr>
              <w:t>[0.7,1.0]</w:t>
            </w:r>
          </w:p>
        </w:tc>
      </w:tr>
      <w:tr w14:paraId="04D1E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5376" w:type="dxa"/>
            <w:vAlign w:val="center"/>
          </w:tcPr>
          <w:p w14:paraId="439F0B9A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ascii="宋体" w:hAnsi="宋体" w:cs="宋体"/>
                <w:color w:val="auto"/>
                <w:szCs w:val="21"/>
              </w:rPr>
              <w:t>其他第三方渠道</w:t>
            </w:r>
          </w:p>
        </w:tc>
        <w:tc>
          <w:tcPr>
            <w:tcW w:w="2907" w:type="dxa"/>
            <w:vAlign w:val="center"/>
          </w:tcPr>
          <w:p w14:paraId="478CEFA2">
            <w:pPr>
              <w:pStyle w:val="69"/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Cs w:val="21"/>
                <w:lang w:eastAsia="zh-CN"/>
              </w:rPr>
              <w:t>(</w:t>
            </w:r>
            <w:r>
              <w:rPr>
                <w:rFonts w:hint="eastAsia" w:ascii="宋体" w:hAnsi="宋体" w:eastAsia="PMingLiU" w:cs="宋体"/>
                <w:color w:val="auto"/>
                <w:szCs w:val="21"/>
                <w:lang w:eastAsia="zh-TW"/>
              </w:rPr>
              <w:t>1.0</w:t>
            </w:r>
            <w:r>
              <w:rPr>
                <w:rFonts w:ascii="宋体" w:hAnsi="宋体" w:cs="宋体"/>
                <w:color w:val="auto"/>
                <w:szCs w:val="21"/>
              </w:rPr>
              <w:t>,1.3]</w:t>
            </w:r>
          </w:p>
        </w:tc>
      </w:tr>
    </w:tbl>
    <w:p w14:paraId="4A503678">
      <w:pPr>
        <w:pStyle w:val="69"/>
        <w:adjustRightInd w:val="0"/>
        <w:snapToGrid w:val="0"/>
        <w:jc w:val="left"/>
        <w:rPr>
          <w:rFonts w:hint="default" w:ascii="宋体" w:hAnsi="宋体" w:eastAsia="宋体"/>
          <w:b w:val="0"/>
          <w:bCs w:val="0"/>
          <w:color w:val="auto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Cs w:val="21"/>
          <w:lang w:val="en-US" w:eastAsia="zh-CN"/>
        </w:rPr>
        <w:t>注：根据渠道销售费用率水平按比例调整。</w:t>
      </w:r>
    </w:p>
    <w:p w14:paraId="6EDDC6F1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/>
          <w:b/>
          <w:bCs/>
          <w:szCs w:val="21"/>
        </w:rPr>
      </w:pPr>
    </w:p>
    <w:p w14:paraId="2F24D6BD"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三、</w:t>
      </w:r>
      <w:r>
        <w:rPr>
          <w:rFonts w:hint="eastAsia" w:ascii="宋体" w:hAnsi="宋体"/>
          <w:b/>
          <w:bCs/>
          <w:szCs w:val="21"/>
        </w:rPr>
        <w:t>保险费计算</w:t>
      </w:r>
    </w:p>
    <w:p w14:paraId="3D59B597">
      <w:pPr>
        <w:numPr>
          <w:ilvl w:val="-1"/>
          <w:numId w:val="0"/>
        </w:numPr>
        <w:adjustRightInd w:val="0"/>
        <w:snapToGrid w:val="0"/>
        <w:spacing w:line="360" w:lineRule="auto"/>
        <w:ind w:firstLine="0" w:firstLineChars="0"/>
        <w:jc w:val="right"/>
        <w:rPr>
          <w:rFonts w:hint="default" w:ascii="宋体" w:hAnsi="宋体" w:eastAsia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  <w:lang w:val="en-US" w:eastAsia="zh-CN"/>
        </w:rPr>
        <w:t>单位：元</w:t>
      </w:r>
    </w:p>
    <w:p w14:paraId="4CB66CD2">
      <w:pPr>
        <w:adjustRightInd w:val="0"/>
        <w:snapToGrid w:val="0"/>
        <w:spacing w:after="156" w:afterLines="50"/>
        <w:rPr>
          <w:rFonts w:hint="eastAsia" w:ascii="宋体" w:hAnsi="宋体" w:eastAsia="PMingLiU" w:cs="宋体"/>
          <w:color w:val="auto"/>
          <w:szCs w:val="21"/>
        </w:rPr>
      </w:pPr>
      <w:r>
        <w:rPr>
          <w:rFonts w:hint="eastAsia" w:ascii="宋体" w:hAnsi="宋体"/>
          <w:bCs/>
          <w:szCs w:val="21"/>
        </w:rPr>
        <w:t>1、</w:t>
      </w:r>
      <w:bookmarkStart w:id="7" w:name="OLE_LINK14"/>
      <w:r>
        <w:rPr>
          <w:rFonts w:hint="eastAsia" w:ascii="宋体" w:hAnsi="宋体"/>
          <w:bCs/>
          <w:szCs w:val="21"/>
        </w:rPr>
        <w:t>必选责任保险费=Σ对应交通工具的意外伤害保险金额×</w:t>
      </w:r>
      <w:bookmarkStart w:id="8" w:name="OLE_LINK15"/>
      <w:r>
        <w:rPr>
          <w:rFonts w:hint="eastAsia" w:ascii="宋体" w:hAnsi="宋体"/>
          <w:bCs/>
          <w:szCs w:val="21"/>
        </w:rPr>
        <w:t>对应交通工具的</w:t>
      </w:r>
      <w:bookmarkEnd w:id="8"/>
      <w:r>
        <w:rPr>
          <w:rFonts w:hint="eastAsia" w:ascii="宋体" w:hAnsi="宋体"/>
          <w:bCs/>
          <w:szCs w:val="21"/>
        </w:rPr>
        <w:t>意外伤害身故保险金基准费率×F1</w:t>
      </w:r>
      <w:r>
        <w:rPr>
          <w:rFonts w:hint="eastAsia" w:ascii="宋体" w:hAnsi="宋体" w:cs="宋体"/>
          <w:color w:val="auto"/>
          <w:szCs w:val="21"/>
        </w:rPr>
        <w:t>×F2×F3×F4×F5×F</w:t>
      </w:r>
      <w:r>
        <w:rPr>
          <w:rFonts w:hint="eastAsia" w:ascii="宋体" w:hAnsi="宋体" w:eastAsia="PMingLiU" w:cs="宋体"/>
          <w:color w:val="auto"/>
          <w:szCs w:val="21"/>
        </w:rPr>
        <w:t>6</w:t>
      </w:r>
    </w:p>
    <w:bookmarkEnd w:id="7"/>
    <w:p w14:paraId="3E4CC540">
      <w:pPr>
        <w:adjustRightInd w:val="0"/>
        <w:snapToGrid w:val="0"/>
        <w:spacing w:after="156" w:afterLines="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2、</w:t>
      </w:r>
      <w:r>
        <w:rPr>
          <w:rFonts w:hint="eastAsia" w:ascii="宋体" w:hAnsi="宋体"/>
          <w:bCs/>
          <w:szCs w:val="21"/>
        </w:rPr>
        <w:t>可选责任保险费=Σ对应交通工具的意外伤害保险金额×对应交通工具的意外伤害伤残保险金基准费率×F1</w:t>
      </w:r>
      <w:r>
        <w:rPr>
          <w:rFonts w:hint="eastAsia" w:ascii="宋体" w:hAnsi="宋体" w:cs="宋体"/>
          <w:color w:val="auto"/>
          <w:szCs w:val="21"/>
        </w:rPr>
        <w:t>×F2×F3×F4×F5×F</w:t>
      </w:r>
      <w:r>
        <w:rPr>
          <w:rFonts w:hint="eastAsia" w:ascii="宋体" w:hAnsi="宋体" w:eastAsia="PMingLiU" w:cs="宋体"/>
          <w:color w:val="auto"/>
          <w:szCs w:val="21"/>
        </w:rPr>
        <w:t>6</w:t>
      </w:r>
    </w:p>
    <w:p w14:paraId="69F73735">
      <w:pPr>
        <w:adjustRightInd w:val="0"/>
        <w:snapToGrid w:val="0"/>
        <w:spacing w:after="156" w:afterLines="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3、</w:t>
      </w:r>
      <w:r>
        <w:rPr>
          <w:rFonts w:hint="eastAsia" w:ascii="宋体" w:hAnsi="宋体" w:cs="宋体"/>
          <w:szCs w:val="21"/>
        </w:rPr>
        <w:t>保险费=必选责任保险费+可选责任保险费</w:t>
      </w:r>
    </w:p>
    <w:p w14:paraId="64D54109">
      <w:pPr>
        <w:pStyle w:val="69"/>
        <w:adjustRightInd w:val="0"/>
        <w:snapToGrid w:val="0"/>
        <w:jc w:val="left"/>
        <w:rPr>
          <w:rFonts w:hint="eastAsia" w:ascii="宋体" w:hAnsi="宋体"/>
          <w:b/>
          <w:bCs/>
          <w:color w:val="FF0000"/>
          <w:szCs w:val="21"/>
        </w:rPr>
      </w:pPr>
    </w:p>
    <w:p w14:paraId="6029B8DC">
      <w:pPr>
        <w:spacing w:after="156" w:afterLines="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四、短期费率表</w:t>
      </w:r>
    </w:p>
    <w:tbl>
      <w:tblPr>
        <w:tblStyle w:val="28"/>
        <w:tblpPr w:leftFromText="180" w:rightFromText="180" w:vertAnchor="text" w:horzAnchor="margin" w:tblpXSpec="center" w:tblpY="9"/>
        <w:tblW w:w="83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637"/>
        <w:gridCol w:w="567"/>
        <w:gridCol w:w="567"/>
      </w:tblGrid>
      <w:tr w14:paraId="56CAC7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BE1D6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保险期间（月）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CBE2E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431746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26471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A68A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58C1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F1B3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E5B1B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ED50D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7481A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253B2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696E7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F542A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</w:t>
            </w:r>
          </w:p>
        </w:tc>
      </w:tr>
      <w:tr w14:paraId="7868C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2854C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年保险费的百分比（%）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12E9C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BF24F4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1A07E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30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FEB740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40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9D9A0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50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0078F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60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C48A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70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33BEE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80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CB9C1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85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7B660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90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0380F0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95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29E34"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100</w:t>
            </w:r>
          </w:p>
        </w:tc>
      </w:tr>
    </w:tbl>
    <w:p w14:paraId="05625B32">
      <w:pPr>
        <w:snapToGrid w:val="0"/>
        <w:rPr>
          <w:rFonts w:ascii="宋体"/>
          <w:bCs/>
          <w:szCs w:val="21"/>
        </w:rPr>
      </w:pPr>
      <w:r>
        <w:rPr>
          <w:rFonts w:hint="eastAsia" w:ascii="宋体"/>
          <w:szCs w:val="21"/>
        </w:rPr>
        <w:t>注：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 w14:paraId="4864064C">
      <w:pPr>
        <w:snapToGrid w:val="0"/>
        <w:rPr>
          <w:rFonts w:ascii="宋体" w:hAnsi="宋体"/>
          <w:b/>
          <w:bCs/>
          <w:color w:val="FF0000"/>
          <w:szCs w:val="21"/>
        </w:rPr>
      </w:pP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、保险期间不足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个月的，按1个月费率计算。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4F1BE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62386389" name="文本框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54C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87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4vdRNAAAAACAQAADwAAAAAAAAABACAAAAAi&#10;AAAAZHJzL2Rvd25yZXYueG1sUEsBAhQAFAAAAAgAh07iQLFARXMSAgAACQQAAA4AAAAAAAAAAQAg&#10;AAAAHw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454C8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F3A95">
    <w:pPr>
      <w:pStyle w:val="1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76687506" name="文本框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1A58E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88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ql5uc8AAAAFAQAADwAAAAAAAAABACAAAAAiAAAAZHJz&#10;L2Rvd25yZXYueG1sUEsBAhQAFAAAAAgAh07iQJdDRYsNAgAADQQAAA4AAAAAAAAAAQAgAAAAH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C1A58E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B6983C2">
    <w:pPr>
      <w:pStyle w:val="1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DNhZmI4YWY4ZmYzMmUwNTU4NzQ2MTJhZGM5MGYifQ=="/>
  </w:docVars>
  <w:rsids>
    <w:rsidRoot w:val="006D38F4"/>
    <w:rsid w:val="00001231"/>
    <w:rsid w:val="000611B8"/>
    <w:rsid w:val="000B7ABF"/>
    <w:rsid w:val="000F2DFA"/>
    <w:rsid w:val="0013793E"/>
    <w:rsid w:val="00160E5A"/>
    <w:rsid w:val="001C55B6"/>
    <w:rsid w:val="001E345E"/>
    <w:rsid w:val="00201079"/>
    <w:rsid w:val="0022150B"/>
    <w:rsid w:val="0023145A"/>
    <w:rsid w:val="002504A6"/>
    <w:rsid w:val="00284AE0"/>
    <w:rsid w:val="002905A2"/>
    <w:rsid w:val="002C66CE"/>
    <w:rsid w:val="002D6022"/>
    <w:rsid w:val="00330E6E"/>
    <w:rsid w:val="00352463"/>
    <w:rsid w:val="00353B59"/>
    <w:rsid w:val="003A78D3"/>
    <w:rsid w:val="003B3CCC"/>
    <w:rsid w:val="003B6E5B"/>
    <w:rsid w:val="003C6EE0"/>
    <w:rsid w:val="004256F9"/>
    <w:rsid w:val="0043700C"/>
    <w:rsid w:val="00446837"/>
    <w:rsid w:val="004E6AE6"/>
    <w:rsid w:val="004F0020"/>
    <w:rsid w:val="00527A0B"/>
    <w:rsid w:val="005C67DD"/>
    <w:rsid w:val="005E2329"/>
    <w:rsid w:val="005E790F"/>
    <w:rsid w:val="006160EC"/>
    <w:rsid w:val="00621779"/>
    <w:rsid w:val="00631B7E"/>
    <w:rsid w:val="006711B9"/>
    <w:rsid w:val="0069583A"/>
    <w:rsid w:val="006B3D30"/>
    <w:rsid w:val="006D38F4"/>
    <w:rsid w:val="006F68B7"/>
    <w:rsid w:val="007153F2"/>
    <w:rsid w:val="0074610D"/>
    <w:rsid w:val="0078147E"/>
    <w:rsid w:val="0079064A"/>
    <w:rsid w:val="00843A2C"/>
    <w:rsid w:val="00854532"/>
    <w:rsid w:val="0086776C"/>
    <w:rsid w:val="008E60C4"/>
    <w:rsid w:val="008E7B38"/>
    <w:rsid w:val="008F0EE8"/>
    <w:rsid w:val="00931363"/>
    <w:rsid w:val="00944702"/>
    <w:rsid w:val="00994991"/>
    <w:rsid w:val="009F5C5D"/>
    <w:rsid w:val="00A112C1"/>
    <w:rsid w:val="00A26BAC"/>
    <w:rsid w:val="00A36E4A"/>
    <w:rsid w:val="00A43F2C"/>
    <w:rsid w:val="00A54E79"/>
    <w:rsid w:val="00A632BA"/>
    <w:rsid w:val="00A75F30"/>
    <w:rsid w:val="00AC34DD"/>
    <w:rsid w:val="00AC77A4"/>
    <w:rsid w:val="00AD0E05"/>
    <w:rsid w:val="00AE0052"/>
    <w:rsid w:val="00B00A20"/>
    <w:rsid w:val="00B01146"/>
    <w:rsid w:val="00B05FF0"/>
    <w:rsid w:val="00B13DAC"/>
    <w:rsid w:val="00B565BB"/>
    <w:rsid w:val="00B57C5B"/>
    <w:rsid w:val="00B72AB1"/>
    <w:rsid w:val="00BD5882"/>
    <w:rsid w:val="00C26DE6"/>
    <w:rsid w:val="00C30986"/>
    <w:rsid w:val="00CA3D44"/>
    <w:rsid w:val="00CA7607"/>
    <w:rsid w:val="00CD0FAA"/>
    <w:rsid w:val="00CE1122"/>
    <w:rsid w:val="00CE719F"/>
    <w:rsid w:val="00DE4654"/>
    <w:rsid w:val="00DF09D9"/>
    <w:rsid w:val="00E0376E"/>
    <w:rsid w:val="00E94A41"/>
    <w:rsid w:val="00ED14FF"/>
    <w:rsid w:val="00EF6483"/>
    <w:rsid w:val="00F25172"/>
    <w:rsid w:val="00F65988"/>
    <w:rsid w:val="00F95333"/>
    <w:rsid w:val="00FA04D0"/>
    <w:rsid w:val="00FB4C4B"/>
    <w:rsid w:val="00FB6E90"/>
    <w:rsid w:val="00FC4F2A"/>
    <w:rsid w:val="10CF7889"/>
    <w:rsid w:val="15232E3B"/>
    <w:rsid w:val="195362C0"/>
    <w:rsid w:val="208E32A3"/>
    <w:rsid w:val="227A6532"/>
    <w:rsid w:val="2B9F17EC"/>
    <w:rsid w:val="3BE012EB"/>
    <w:rsid w:val="3C644A43"/>
    <w:rsid w:val="406E2E13"/>
    <w:rsid w:val="45E77648"/>
    <w:rsid w:val="483C6BD8"/>
    <w:rsid w:val="4A425B40"/>
    <w:rsid w:val="4C1C049B"/>
    <w:rsid w:val="4C540BE6"/>
    <w:rsid w:val="4EE80B08"/>
    <w:rsid w:val="4F8B4779"/>
    <w:rsid w:val="537F151A"/>
    <w:rsid w:val="54BD10EF"/>
    <w:rsid w:val="55782471"/>
    <w:rsid w:val="599B77FD"/>
    <w:rsid w:val="612B5D6F"/>
    <w:rsid w:val="64B81725"/>
    <w:rsid w:val="6CF55BF2"/>
    <w:rsid w:val="6E6E0BD2"/>
    <w:rsid w:val="727F0183"/>
    <w:rsid w:val="75492412"/>
    <w:rsid w:val="77180941"/>
    <w:rsid w:val="7B214E36"/>
    <w:rsid w:val="7EBD4CA0"/>
    <w:rsid w:val="7F2F2077"/>
    <w:rsid w:val="7F3773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8"/>
    <w:qFormat/>
    <w:uiPriority w:val="0"/>
    <w:pPr>
      <w:keepNext/>
      <w:keepLines/>
      <w:tabs>
        <w:tab w:val="left" w:pos="720"/>
      </w:tabs>
      <w:adjustRightInd w:val="0"/>
      <w:jc w:val="left"/>
      <w:textAlignment w:val="baseline"/>
      <w:outlineLvl w:val="2"/>
    </w:pPr>
    <w:rPr>
      <w:rFonts w:ascii="宋体" w:hAnsi="宋体"/>
      <w:b/>
      <w:bCs/>
      <w:sz w:val="24"/>
      <w:szCs w:val="24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ind w:left="2520" w:leftChars="1200"/>
    </w:pPr>
  </w:style>
  <w:style w:type="paragraph" w:styleId="6">
    <w:name w:val="annotation text"/>
    <w:basedOn w:val="1"/>
    <w:link w:val="67"/>
    <w:semiHidden/>
    <w:unhideWhenUsed/>
    <w:qFormat/>
    <w:uiPriority w:val="99"/>
    <w:pPr>
      <w:jc w:val="left"/>
    </w:pPr>
  </w:style>
  <w:style w:type="paragraph" w:styleId="7">
    <w:name w:val="Body Text"/>
    <w:basedOn w:val="1"/>
    <w:link w:val="52"/>
    <w:qFormat/>
    <w:uiPriority w:val="0"/>
    <w:pPr>
      <w:spacing w:after="120"/>
    </w:pPr>
  </w:style>
  <w:style w:type="paragraph" w:styleId="8">
    <w:name w:val="Body Text Indent"/>
    <w:basedOn w:val="1"/>
    <w:link w:val="47"/>
    <w:qFormat/>
    <w:uiPriority w:val="0"/>
    <w:pPr>
      <w:spacing w:line="360" w:lineRule="auto"/>
      <w:ind w:firstLine="480" w:firstLineChars="200"/>
    </w:pPr>
    <w:rPr>
      <w:rFonts w:ascii="仿宋_GB2312" w:eastAsia="仿宋_GB2312"/>
      <w:kern w:val="0"/>
      <w:sz w:val="24"/>
    </w:rPr>
  </w:style>
  <w:style w:type="paragraph" w:styleId="9">
    <w:name w:val="Block Text"/>
    <w:basedOn w:val="1"/>
    <w:qFormat/>
    <w:uiPriority w:val="0"/>
    <w:pPr>
      <w:spacing w:before="120"/>
      <w:ind w:left="79" w:right="57"/>
    </w:pPr>
    <w:rPr>
      <w:rFonts w:ascii="宋体" w:hAnsi="宋体"/>
      <w:szCs w:val="20"/>
    </w:rPr>
  </w:style>
  <w:style w:type="paragraph" w:styleId="10">
    <w:name w:val="toc 5"/>
    <w:basedOn w:val="1"/>
    <w:next w:val="1"/>
    <w:qFormat/>
    <w:uiPriority w:val="0"/>
    <w:pPr>
      <w:ind w:left="1680" w:leftChars="800"/>
    </w:pPr>
  </w:style>
  <w:style w:type="paragraph" w:styleId="11">
    <w:name w:val="toc 3"/>
    <w:basedOn w:val="1"/>
    <w:next w:val="1"/>
    <w:qFormat/>
    <w:uiPriority w:val="0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Plain Text"/>
    <w:basedOn w:val="1"/>
    <w:link w:val="57"/>
    <w:qFormat/>
    <w:uiPriority w:val="0"/>
    <w:rPr>
      <w:rFonts w:ascii="宋体" w:hAnsi="Courier New"/>
      <w:szCs w:val="20"/>
    </w:rPr>
  </w:style>
  <w:style w:type="paragraph" w:styleId="13">
    <w:name w:val="toc 8"/>
    <w:basedOn w:val="1"/>
    <w:next w:val="1"/>
    <w:qFormat/>
    <w:uiPriority w:val="0"/>
    <w:pPr>
      <w:ind w:left="2940" w:leftChars="1400"/>
    </w:pPr>
  </w:style>
  <w:style w:type="paragraph" w:styleId="14">
    <w:name w:val="Body Text Indent 2"/>
    <w:basedOn w:val="1"/>
    <w:link w:val="46"/>
    <w:qFormat/>
    <w:uiPriority w:val="0"/>
    <w:pPr>
      <w:ind w:firstLine="422"/>
    </w:pPr>
    <w:rPr>
      <w:rFonts w:ascii="仿宋_GB2312" w:eastAsia="仿宋_GB2312"/>
      <w:b/>
      <w:kern w:val="0"/>
      <w:szCs w:val="20"/>
    </w:rPr>
  </w:style>
  <w:style w:type="paragraph" w:styleId="15">
    <w:name w:val="Balloon Text"/>
    <w:basedOn w:val="1"/>
    <w:link w:val="66"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9">
    <w:name w:val="toc 4"/>
    <w:basedOn w:val="1"/>
    <w:next w:val="1"/>
    <w:qFormat/>
    <w:uiPriority w:val="0"/>
    <w:pPr>
      <w:ind w:left="1260" w:leftChars="600"/>
    </w:pPr>
  </w:style>
  <w:style w:type="paragraph" w:styleId="20">
    <w:name w:val="Subtitle"/>
    <w:basedOn w:val="1"/>
    <w:next w:val="1"/>
    <w:link w:val="3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Theme="minorEastAsia"/>
      <w:b/>
      <w:bCs/>
      <w:kern w:val="28"/>
      <w:sz w:val="32"/>
      <w:szCs w:val="32"/>
    </w:rPr>
  </w:style>
  <w:style w:type="paragraph" w:styleId="21">
    <w:name w:val="toc 6"/>
    <w:basedOn w:val="1"/>
    <w:next w:val="1"/>
    <w:qFormat/>
    <w:uiPriority w:val="0"/>
    <w:pPr>
      <w:ind w:left="2100" w:leftChars="1000"/>
    </w:pPr>
  </w:style>
  <w:style w:type="paragraph" w:styleId="22">
    <w:name w:val="Body Text Indent 3"/>
    <w:basedOn w:val="1"/>
    <w:link w:val="5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toc 2"/>
    <w:basedOn w:val="1"/>
    <w:next w:val="1"/>
    <w:qFormat/>
    <w:uiPriority w:val="0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24">
    <w:name w:val="toc 9"/>
    <w:basedOn w:val="1"/>
    <w:next w:val="1"/>
    <w:qFormat/>
    <w:uiPriority w:val="0"/>
    <w:pPr>
      <w:ind w:left="3360" w:leftChars="1600"/>
    </w:pPr>
  </w:style>
  <w:style w:type="paragraph" w:styleId="2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6">
    <w:name w:val="Title"/>
    <w:basedOn w:val="2"/>
    <w:next w:val="1"/>
    <w:link w:val="40"/>
    <w:qFormat/>
    <w:uiPriority w:val="0"/>
    <w:pPr>
      <w:spacing w:before="240" w:after="60"/>
      <w:jc w:val="center"/>
    </w:pPr>
    <w:rPr>
      <w:rFonts w:ascii="Cambria" w:hAnsi="Cambria"/>
      <w:kern w:val="2"/>
      <w:sz w:val="32"/>
      <w:szCs w:val="32"/>
    </w:rPr>
  </w:style>
  <w:style w:type="paragraph" w:styleId="27">
    <w:name w:val="annotation subject"/>
    <w:basedOn w:val="6"/>
    <w:next w:val="6"/>
    <w:link w:val="68"/>
    <w:semiHidden/>
    <w:unhideWhenUsed/>
    <w:qFormat/>
    <w:uiPriority w:val="99"/>
    <w:rPr>
      <w:b/>
      <w:bCs/>
    </w:rPr>
  </w:style>
  <w:style w:type="table" w:styleId="29">
    <w:name w:val="Table Grid"/>
    <w:basedOn w:val="28"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page number"/>
    <w:basedOn w:val="30"/>
    <w:qFormat/>
    <w:uiPriority w:val="0"/>
  </w:style>
  <w:style w:type="character" w:styleId="32">
    <w:name w:val="Hyperlink"/>
    <w:qFormat/>
    <w:uiPriority w:val="0"/>
    <w:rPr>
      <w:color w:val="0000FF"/>
      <w:u w:val="single"/>
    </w:rPr>
  </w:style>
  <w:style w:type="character" w:styleId="33">
    <w:name w:val="annotation reference"/>
    <w:basedOn w:val="30"/>
    <w:semiHidden/>
    <w:unhideWhenUsed/>
    <w:qFormat/>
    <w:uiPriority w:val="99"/>
    <w:rPr>
      <w:sz w:val="21"/>
      <w:szCs w:val="21"/>
    </w:rPr>
  </w:style>
  <w:style w:type="character" w:customStyle="1" w:styleId="34">
    <w:name w:val="页眉 字符"/>
    <w:basedOn w:val="30"/>
    <w:link w:val="17"/>
    <w:qFormat/>
    <w:uiPriority w:val="99"/>
    <w:rPr>
      <w:sz w:val="18"/>
      <w:szCs w:val="18"/>
    </w:rPr>
  </w:style>
  <w:style w:type="character" w:customStyle="1" w:styleId="35">
    <w:name w:val="页脚 字符"/>
    <w:basedOn w:val="30"/>
    <w:link w:val="16"/>
    <w:semiHidden/>
    <w:qFormat/>
    <w:uiPriority w:val="99"/>
    <w:rPr>
      <w:sz w:val="18"/>
      <w:szCs w:val="18"/>
    </w:rPr>
  </w:style>
  <w:style w:type="character" w:customStyle="1" w:styleId="36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7">
    <w:name w:val="标题 2 字符"/>
    <w:basedOn w:val="30"/>
    <w:link w:val="3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8">
    <w:name w:val="标题 3 字符"/>
    <w:basedOn w:val="30"/>
    <w:link w:val="4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39">
    <w:name w:val="副标题 字符"/>
    <w:basedOn w:val="30"/>
    <w:link w:val="2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0">
    <w:name w:val="标题 字符"/>
    <w:basedOn w:val="30"/>
    <w:link w:val="26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41">
    <w:name w:val="tb"/>
    <w:basedOn w:val="30"/>
    <w:qFormat/>
    <w:uiPriority w:val="0"/>
  </w:style>
  <w:style w:type="character" w:customStyle="1" w:styleId="42">
    <w:name w:val="apple-style-span"/>
    <w:basedOn w:val="30"/>
    <w:qFormat/>
    <w:uiPriority w:val="0"/>
  </w:style>
  <w:style w:type="character" w:customStyle="1" w:styleId="43">
    <w:name w:val="tf1"/>
    <w:basedOn w:val="30"/>
    <w:qFormat/>
    <w:uiPriority w:val="0"/>
    <w:rPr>
      <w:spacing w:val="300"/>
      <w:sz w:val="18"/>
      <w:szCs w:val="18"/>
    </w:rPr>
  </w:style>
  <w:style w:type="paragraph" w:customStyle="1" w:styleId="44">
    <w:name w:val="注解（小四，楷体）"/>
    <w:basedOn w:val="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45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46">
    <w:name w:val="正文文本缩进 2 字符"/>
    <w:basedOn w:val="30"/>
    <w:link w:val="14"/>
    <w:qFormat/>
    <w:uiPriority w:val="0"/>
    <w:rPr>
      <w:rFonts w:ascii="仿宋_GB2312" w:hAnsi="Times New Roman" w:eastAsia="仿宋_GB2312" w:cs="Times New Roman"/>
      <w:b/>
      <w:kern w:val="0"/>
      <w:szCs w:val="20"/>
    </w:rPr>
  </w:style>
  <w:style w:type="character" w:customStyle="1" w:styleId="47">
    <w:name w:val="正文文本缩进 字符"/>
    <w:basedOn w:val="30"/>
    <w:link w:val="8"/>
    <w:qFormat/>
    <w:uiPriority w:val="0"/>
    <w:rPr>
      <w:rFonts w:ascii="仿宋_GB2312" w:hAnsi="Times New Roman" w:eastAsia="仿宋_GB2312" w:cs="Times New Roman"/>
      <w:kern w:val="0"/>
      <w:sz w:val="24"/>
    </w:rPr>
  </w:style>
  <w:style w:type="paragraph" w:customStyle="1" w:styleId="48">
    <w:name w:val="a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表格（小四，宋体）"/>
    <w:basedOn w:val="1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paragraph" w:customStyle="1" w:styleId="50">
    <w:name w:val="正文文本 2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character" w:customStyle="1" w:styleId="51">
    <w:name w:val="正文文本缩进 3 字符"/>
    <w:basedOn w:val="30"/>
    <w:link w:val="2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 字符"/>
    <w:basedOn w:val="30"/>
    <w:link w:val="7"/>
    <w:qFormat/>
    <w:uiPriority w:val="0"/>
    <w:rPr>
      <w:rFonts w:ascii="Times New Roman" w:hAnsi="Times New Roman" w:eastAsia="宋体" w:cs="Times New Roman"/>
    </w:rPr>
  </w:style>
  <w:style w:type="paragraph" w:customStyle="1" w:styleId="53">
    <w:name w:val="正文文本 211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4">
    <w:name w:val="正文文本 22"/>
    <w:basedOn w:val="1"/>
    <w:qFormat/>
    <w:uiPriority w:val="0"/>
    <w:pPr>
      <w:adjustRightInd w:val="0"/>
      <w:ind w:firstLine="552"/>
      <w:jc w:val="left"/>
      <w:textAlignment w:val="baseline"/>
    </w:pPr>
    <w:rPr>
      <w:rFonts w:ascii="宋体"/>
      <w:kern w:val="0"/>
      <w:sz w:val="28"/>
      <w:szCs w:val="20"/>
    </w:rPr>
  </w:style>
  <w:style w:type="paragraph" w:customStyle="1" w:styleId="55">
    <w:name w:val="无间隔1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6">
    <w:name w:val="标题 Char1"/>
    <w:basedOn w:val="30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7">
    <w:name w:val="纯文本 字符"/>
    <w:basedOn w:val="30"/>
    <w:link w:val="12"/>
    <w:qFormat/>
    <w:uiPriority w:val="0"/>
    <w:rPr>
      <w:rFonts w:ascii="宋体" w:hAnsi="Courier New" w:eastAsia="宋体" w:cs="Times New Roman"/>
      <w:szCs w:val="20"/>
    </w:rPr>
  </w:style>
  <w:style w:type="paragraph" w:customStyle="1" w:styleId="58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59">
    <w:name w:val="副标题 Char1"/>
    <w:basedOn w:val="30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customStyle="1" w:styleId="60">
    <w:name w:val="列出段落1"/>
    <w:basedOn w:val="1"/>
    <w:qFormat/>
    <w:uiPriority w:val="34"/>
    <w:pPr>
      <w:ind w:firstLine="420" w:firstLineChars="200"/>
    </w:pPr>
  </w:style>
  <w:style w:type="paragraph" w:customStyle="1" w:styleId="61">
    <w:name w:val="条款大标题"/>
    <w:basedOn w:val="26"/>
    <w:link w:val="65"/>
    <w:qFormat/>
    <w:uiPriority w:val="0"/>
    <w:pPr>
      <w:snapToGrid w:val="0"/>
    </w:pPr>
  </w:style>
  <w:style w:type="paragraph" w:customStyle="1" w:styleId="62">
    <w:name w:val="条款标题"/>
    <w:basedOn w:val="1"/>
    <w:qFormat/>
    <w:uiPriority w:val="0"/>
    <w:pPr>
      <w:tabs>
        <w:tab w:val="left" w:pos="840"/>
      </w:tabs>
    </w:pPr>
    <w:rPr>
      <w:b/>
    </w:rPr>
  </w:style>
  <w:style w:type="paragraph" w:customStyle="1" w:styleId="6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szCs w:val="24"/>
    </w:rPr>
  </w:style>
  <w:style w:type="paragraph" w:customStyle="1" w:styleId="64">
    <w:name w:val="列出段落2"/>
    <w:basedOn w:val="1"/>
    <w:qFormat/>
    <w:uiPriority w:val="34"/>
    <w:pPr>
      <w:ind w:firstLine="420" w:firstLineChars="200"/>
    </w:pPr>
  </w:style>
  <w:style w:type="character" w:customStyle="1" w:styleId="65">
    <w:name w:val="条款大标题 Char"/>
    <w:basedOn w:val="30"/>
    <w:link w:val="6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66">
    <w:name w:val="批注框文本 字符"/>
    <w:basedOn w:val="30"/>
    <w:link w:val="1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7">
    <w:name w:val="批注文字 字符"/>
    <w:basedOn w:val="30"/>
    <w:link w:val="6"/>
    <w:semiHidden/>
    <w:qFormat/>
    <w:uiPriority w:val="99"/>
    <w:rPr>
      <w:rFonts w:ascii="Times New Roman" w:hAnsi="Times New Roman" w:eastAsia="宋体" w:cs="Times New Roman"/>
      <w:kern w:val="2"/>
      <w:sz w:val="21"/>
      <w:szCs w:val="22"/>
    </w:rPr>
  </w:style>
  <w:style w:type="character" w:customStyle="1" w:styleId="68">
    <w:name w:val="批注主题 字符"/>
    <w:basedOn w:val="67"/>
    <w:link w:val="27"/>
    <w:qFormat/>
    <w:uiPriority w:val="0"/>
    <w:rPr>
      <w:rFonts w:ascii="Times New Roman" w:hAnsi="Times New Roman" w:eastAsia="宋体" w:cs="Times New Roman"/>
      <w:kern w:val="2"/>
      <w:sz w:val="21"/>
      <w:szCs w:val="22"/>
    </w:rPr>
  </w:style>
  <w:style w:type="paragraph" w:styleId="6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912</Words>
  <Characters>1125</Characters>
  <Lines>12</Lines>
  <Paragraphs>3</Paragraphs>
  <TotalTime>197</TotalTime>
  <ScaleCrop>false</ScaleCrop>
  <LinksUpToDate>false</LinksUpToDate>
  <CharactersWithSpaces>1128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2024-12-26T05:45:00Z</dcterms:created>
  <dc:creator>封树静</dc:creator>
  <cp:lastModifiedBy>刘晴</cp:lastModifiedBy>
  <cp:lastPrinted>2013-12-26T08:40:00Z</cp:lastPrinted>
  <dcterms:modified xsi:type="dcterms:W3CDTF">2025-05-22T01:41:18Z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F4E7B494DCBF4C559E3B185695D6A830_13</vt:lpwstr>
  </property>
</Properties>
</file>