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bCs/>
          <w:kern w:val="0"/>
          <w:sz w:val="28"/>
          <w:szCs w:val="28"/>
        </w:rPr>
      </w:pPr>
      <w:bookmarkStart w:id="0" w:name="_GoBack"/>
      <w:bookmarkEnd w:id="0"/>
      <w:r>
        <w:rPr>
          <w:rFonts w:hint="eastAsia" w:ascii="宋体" w:hAnsi="宋体" w:eastAsia="宋体" w:cs="宋体"/>
          <w:b/>
          <w:bCs/>
          <w:kern w:val="0"/>
          <w:sz w:val="28"/>
          <w:szCs w:val="28"/>
        </w:rPr>
        <w:t>华农财产保险股份有限公司</w:t>
      </w:r>
    </w:p>
    <w:p>
      <w:pPr>
        <w:jc w:val="center"/>
        <w:rPr>
          <w:rFonts w:ascii="宋体" w:hAnsi="宋体" w:eastAsia="宋体" w:cs="宋体"/>
          <w:b/>
          <w:bCs/>
          <w:sz w:val="28"/>
          <w:szCs w:val="28"/>
        </w:rPr>
      </w:pPr>
      <w:r>
        <w:rPr>
          <w:rFonts w:hint="eastAsia" w:ascii="宋体" w:hAnsi="宋体" w:eastAsia="宋体" w:cs="宋体"/>
          <w:b/>
          <w:bCs/>
          <w:kern w:val="0"/>
          <w:sz w:val="28"/>
          <w:szCs w:val="28"/>
        </w:rPr>
        <w:t>住院医疗费用保险O款费率表（互联网专属）</w:t>
      </w:r>
    </w:p>
    <w:p>
      <w:pPr>
        <w:jc w:val="center"/>
        <w:rPr>
          <w:rFonts w:ascii="宋体" w:hAnsi="宋体" w:eastAsia="宋体" w:cs="宋体"/>
          <w:b/>
          <w:bCs/>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s="宋体"/>
          <w:b/>
          <w:bCs/>
          <w:szCs w:val="21"/>
        </w:rPr>
      </w:pPr>
      <w:r>
        <w:rPr>
          <w:rFonts w:hint="eastAsia" w:ascii="宋体" w:hAnsi="宋体" w:eastAsia="宋体" w:cs="宋体"/>
          <w:b/>
          <w:bCs/>
          <w:szCs w:val="21"/>
        </w:rPr>
        <w:t>一、基准给付标准</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1、保险金额</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年度累计保险金额：600万元，其中：</w:t>
      </w:r>
    </w:p>
    <w:p>
      <w:pPr>
        <w:widowControl/>
        <w:numPr>
          <w:ilvl w:val="0"/>
          <w:numId w:val="1"/>
        </w:numPr>
        <w:adjustRightInd w:val="0"/>
        <w:snapToGrid w:val="0"/>
        <w:spacing w:line="360" w:lineRule="auto"/>
        <w:ind w:hanging="5"/>
        <w:jc w:val="left"/>
        <w:rPr>
          <w:rFonts w:ascii="宋体" w:hAnsi="宋体" w:eastAsia="宋体" w:cs="宋体"/>
          <w:szCs w:val="21"/>
        </w:rPr>
      </w:pPr>
      <w:r>
        <w:rPr>
          <w:rFonts w:hint="eastAsia" w:ascii="宋体" w:hAnsi="宋体" w:eastAsia="宋体" w:cs="宋体"/>
          <w:szCs w:val="21"/>
        </w:rPr>
        <w:t>一般医疗保险金：300万元</w:t>
      </w:r>
    </w:p>
    <w:p>
      <w:pPr>
        <w:widowControl/>
        <w:numPr>
          <w:ilvl w:val="0"/>
          <w:numId w:val="1"/>
        </w:numPr>
        <w:adjustRightInd w:val="0"/>
        <w:snapToGrid w:val="0"/>
        <w:spacing w:line="360" w:lineRule="auto"/>
        <w:ind w:hanging="5"/>
        <w:jc w:val="left"/>
        <w:rPr>
          <w:rFonts w:ascii="宋体" w:hAnsi="宋体" w:eastAsia="宋体" w:cs="宋体"/>
          <w:szCs w:val="21"/>
        </w:rPr>
      </w:pPr>
      <w:r>
        <w:rPr>
          <w:rFonts w:hint="eastAsia" w:ascii="宋体" w:hAnsi="宋体" w:eastAsia="宋体" w:cs="宋体"/>
          <w:szCs w:val="21"/>
        </w:rPr>
        <w:t>重大疾病医疗保险金：300万元</w:t>
      </w:r>
    </w:p>
    <w:p>
      <w:pPr>
        <w:widowControl/>
        <w:numPr>
          <w:ilvl w:val="0"/>
          <w:numId w:val="1"/>
        </w:numPr>
        <w:adjustRightInd w:val="0"/>
        <w:snapToGrid w:val="0"/>
        <w:spacing w:line="360" w:lineRule="auto"/>
        <w:ind w:hanging="5"/>
        <w:jc w:val="left"/>
        <w:rPr>
          <w:rFonts w:ascii="宋体" w:hAnsi="宋体" w:eastAsia="宋体" w:cs="宋体"/>
          <w:szCs w:val="21"/>
        </w:rPr>
      </w:pPr>
      <w:r>
        <w:rPr>
          <w:rFonts w:hint="eastAsia" w:ascii="宋体" w:hAnsi="宋体" w:eastAsia="宋体" w:cs="宋体"/>
          <w:szCs w:val="21"/>
        </w:rPr>
        <w:t>恶性肿瘤特定药品费用保险金：300万元</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2、免赔额</w:t>
      </w:r>
    </w:p>
    <w:p>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1万元，因重大疾病导致的医疗费用免赔额为0元。</w:t>
      </w:r>
    </w:p>
    <w:p>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3、赔付比例</w:t>
      </w:r>
    </w:p>
    <w:p>
      <w:pPr>
        <w:adjustRightInd w:val="0"/>
        <w:snapToGrid w:val="0"/>
        <w:spacing w:line="360" w:lineRule="auto"/>
        <w:ind w:firstLine="840" w:firstLineChars="400"/>
        <w:rPr>
          <w:rFonts w:ascii="宋体" w:hAnsi="宋体" w:eastAsia="宋体" w:cs="宋体"/>
          <w:szCs w:val="21"/>
        </w:rPr>
      </w:pPr>
      <w:r>
        <w:rPr>
          <w:rFonts w:hint="eastAsia" w:ascii="宋体" w:hAnsi="宋体" w:eastAsia="宋体" w:cs="宋体"/>
          <w:szCs w:val="21"/>
        </w:rPr>
        <w:t>方案一：</w:t>
      </w:r>
    </w:p>
    <w:p>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（1）一般医疗及重大疾病医疗保险金：</w:t>
      </w:r>
    </w:p>
    <w:p>
      <w:pPr>
        <w:adjustRightInd w:val="0"/>
        <w:snapToGrid w:val="0"/>
        <w:spacing w:line="360" w:lineRule="auto"/>
        <w:ind w:left="420" w:firstLine="420" w:firstLineChars="200"/>
        <w:rPr>
          <w:rFonts w:hint="eastAsia" w:ascii="宋体" w:hAnsi="宋体" w:eastAsia="宋体" w:cs="宋体"/>
          <w:szCs w:val="21"/>
          <w:lang w:eastAsia="zh-CN"/>
        </w:rPr>
      </w:pPr>
      <w:r>
        <w:rPr>
          <w:rFonts w:hint="eastAsia" w:ascii="宋体" w:hAnsi="宋体" w:eastAsia="宋体" w:cs="宋体"/>
          <w:szCs w:val="21"/>
        </w:rPr>
        <w:t>①保险人以参加基本医疗保险</w:t>
      </w:r>
      <w:r>
        <w:rPr>
          <w:rFonts w:hint="eastAsia" w:ascii="宋体" w:hAnsi="宋体" w:eastAsia="宋体" w:cs="宋体"/>
          <w:szCs w:val="21"/>
          <w:lang w:val="en-US" w:eastAsia="zh-CN"/>
        </w:rPr>
        <w:t>或公费医疗</w:t>
      </w:r>
      <w:r>
        <w:rPr>
          <w:rFonts w:hint="eastAsia" w:ascii="宋体" w:hAnsi="宋体" w:eastAsia="宋体" w:cs="宋体"/>
          <w:szCs w:val="21"/>
        </w:rPr>
        <w:t>身份投保，并以基本医疗保险</w:t>
      </w:r>
      <w:r>
        <w:rPr>
          <w:rFonts w:hint="eastAsia" w:ascii="宋体" w:hAnsi="宋体" w:eastAsia="宋体" w:cs="宋体"/>
          <w:szCs w:val="21"/>
          <w:lang w:val="en-US" w:eastAsia="zh-CN"/>
        </w:rPr>
        <w:t>或公费医疗</w:t>
      </w:r>
      <w:r>
        <w:rPr>
          <w:rFonts w:hint="eastAsia" w:ascii="宋体" w:hAnsi="宋体" w:eastAsia="宋体" w:cs="宋体"/>
          <w:szCs w:val="21"/>
        </w:rPr>
        <w:t>身份就诊并结算，赔付比例为100%</w:t>
      </w:r>
      <w:r>
        <w:rPr>
          <w:rFonts w:hint="eastAsia" w:ascii="宋体" w:hAnsi="宋体" w:eastAsia="宋体" w:cs="宋体"/>
          <w:szCs w:val="21"/>
          <w:lang w:eastAsia="zh-CN"/>
        </w:rPr>
        <w:t>；</w:t>
      </w:r>
    </w:p>
    <w:p>
      <w:pPr>
        <w:snapToGrid w:val="0"/>
        <w:spacing w:line="360" w:lineRule="auto"/>
        <w:ind w:left="420" w:firstLine="440"/>
        <w:rPr>
          <w:rFonts w:hint="eastAsia" w:ascii="宋体" w:hAnsi="宋体" w:eastAsia="宋体" w:cs="宋体"/>
          <w:b/>
          <w:szCs w:val="21"/>
          <w:lang w:eastAsia="zh-CN"/>
        </w:rPr>
      </w:pPr>
      <w:r>
        <w:rPr>
          <w:rFonts w:hint="eastAsia" w:ascii="宋体" w:hAnsi="宋体" w:eastAsia="宋体" w:cs="宋体"/>
          <w:szCs w:val="21"/>
        </w:rPr>
        <w:t>②若被保险人以参加基本医疗保险</w:t>
      </w:r>
      <w:r>
        <w:rPr>
          <w:rFonts w:hint="eastAsia" w:ascii="宋体" w:hAnsi="宋体" w:eastAsia="宋体" w:cs="宋体"/>
          <w:szCs w:val="21"/>
          <w:lang w:val="en-US" w:eastAsia="zh-CN"/>
        </w:rPr>
        <w:t>或公费医疗</w:t>
      </w:r>
      <w:r>
        <w:rPr>
          <w:rFonts w:hint="eastAsia" w:ascii="宋体" w:hAnsi="宋体" w:eastAsia="宋体" w:cs="宋体"/>
          <w:szCs w:val="21"/>
        </w:rPr>
        <w:t>身份投保，但未以基本医疗保险</w:t>
      </w:r>
      <w:r>
        <w:rPr>
          <w:rFonts w:hint="eastAsia" w:ascii="宋体" w:hAnsi="宋体" w:eastAsia="宋体" w:cs="宋体"/>
          <w:szCs w:val="21"/>
          <w:lang w:val="en-US" w:eastAsia="zh-CN"/>
        </w:rPr>
        <w:t>或公费医疗</w:t>
      </w:r>
      <w:r>
        <w:rPr>
          <w:rFonts w:hint="eastAsia" w:ascii="宋体" w:hAnsi="宋体" w:eastAsia="宋体" w:cs="宋体"/>
          <w:szCs w:val="21"/>
        </w:rPr>
        <w:t>身份就诊并结算，赔付比例为60%</w:t>
      </w:r>
      <w:r>
        <w:rPr>
          <w:rFonts w:hint="eastAsia" w:ascii="宋体" w:hAnsi="宋体" w:eastAsia="宋体" w:cs="宋体"/>
          <w:szCs w:val="21"/>
          <w:lang w:eastAsia="zh-CN"/>
        </w:rPr>
        <w:t>；</w:t>
      </w:r>
    </w:p>
    <w:p>
      <w:pPr>
        <w:snapToGrid w:val="0"/>
        <w:spacing w:line="360" w:lineRule="auto"/>
        <w:ind w:left="420" w:firstLine="420" w:firstLineChars="200"/>
        <w:rPr>
          <w:rFonts w:ascii="宋体" w:hAnsi="宋体" w:eastAsia="宋体" w:cs="宋体"/>
          <w:szCs w:val="21"/>
        </w:rPr>
      </w:pPr>
      <w:r>
        <w:rPr>
          <w:rFonts w:hint="eastAsia" w:ascii="宋体" w:hAnsi="宋体" w:eastAsia="宋体" w:cs="宋体"/>
          <w:szCs w:val="21"/>
        </w:rPr>
        <w:t>③若被保险人未以参加基本医疗保险</w:t>
      </w:r>
      <w:r>
        <w:rPr>
          <w:rFonts w:hint="eastAsia" w:ascii="宋体" w:hAnsi="宋体" w:eastAsia="宋体" w:cs="宋体"/>
          <w:szCs w:val="21"/>
          <w:lang w:val="en-US" w:eastAsia="zh-CN"/>
        </w:rPr>
        <w:t>或公费医疗</w:t>
      </w:r>
      <w:r>
        <w:rPr>
          <w:rFonts w:hint="eastAsia" w:ascii="宋体" w:hAnsi="宋体" w:eastAsia="宋体" w:cs="宋体"/>
          <w:szCs w:val="21"/>
        </w:rPr>
        <w:t>身份投保，赔付比例为100%。</w:t>
      </w:r>
    </w:p>
    <w:p>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（2）</w:t>
      </w:r>
      <w:r>
        <w:rPr>
          <w:rFonts w:hint="eastAsia" w:ascii="宋体" w:hAnsi="宋体" w:eastAsia="宋体" w:cs="宋体"/>
          <w:b w:val="0"/>
          <w:szCs w:val="21"/>
        </w:rPr>
        <w:t>恶性肿瘤</w:t>
      </w:r>
      <w:r>
        <w:rPr>
          <w:rFonts w:hint="eastAsia" w:ascii="宋体" w:hAnsi="宋体" w:eastAsia="宋体" w:cs="宋体"/>
          <w:szCs w:val="21"/>
        </w:rPr>
        <w:t>特定药品费用保险金：</w:t>
      </w:r>
    </w:p>
    <w:p>
      <w:pPr>
        <w:adjustRightInd w:val="0"/>
        <w:snapToGrid w:val="0"/>
        <w:spacing w:line="360" w:lineRule="auto"/>
        <w:ind w:left="420" w:firstLine="420" w:firstLineChars="200"/>
        <w:rPr>
          <w:rFonts w:ascii="宋体" w:hAnsi="宋体" w:eastAsia="宋体" w:cs="宋体"/>
          <w:szCs w:val="21"/>
        </w:rPr>
      </w:pPr>
      <w:r>
        <w:rPr>
          <w:rFonts w:hint="eastAsia" w:ascii="宋体" w:hAnsi="宋体" w:eastAsia="宋体" w:cs="宋体"/>
          <w:szCs w:val="21"/>
        </w:rPr>
        <w:t>①若被保险人以参加基本医疗保险</w:t>
      </w:r>
      <w:r>
        <w:rPr>
          <w:rFonts w:hint="eastAsia" w:ascii="宋体" w:hAnsi="宋体" w:eastAsia="宋体" w:cs="宋体"/>
          <w:szCs w:val="21"/>
          <w:lang w:val="en-US" w:eastAsia="zh-CN"/>
        </w:rPr>
        <w:t>或公费医疗</w:t>
      </w:r>
      <w:r>
        <w:rPr>
          <w:rFonts w:hint="eastAsia" w:ascii="宋体" w:hAnsi="宋体" w:eastAsia="宋体" w:cs="宋体"/>
          <w:szCs w:val="21"/>
        </w:rPr>
        <w:t>身份投保：</w:t>
      </w:r>
    </w:p>
    <w:p>
      <w:pPr>
        <w:adjustRightInd w:val="0"/>
        <w:snapToGrid w:val="0"/>
        <w:spacing w:line="360" w:lineRule="auto"/>
        <w:ind w:left="420" w:firstLine="420" w:firstLineChars="200"/>
        <w:rPr>
          <w:rFonts w:ascii="宋体" w:hAnsi="宋体" w:eastAsia="宋体" w:cs="宋体"/>
          <w:szCs w:val="21"/>
        </w:rPr>
      </w:pPr>
      <w:r>
        <w:rPr>
          <w:rFonts w:hint="eastAsia" w:ascii="宋体" w:hAnsi="宋体" w:eastAsia="宋体" w:cs="宋体"/>
          <w:szCs w:val="21"/>
        </w:rPr>
        <w:t>a.如药品为基本医疗保险药品目录内且已经过基本医疗保险报销，赔付比例为100%；</w:t>
      </w:r>
    </w:p>
    <w:p>
      <w:pPr>
        <w:adjustRightInd w:val="0"/>
        <w:snapToGrid w:val="0"/>
        <w:spacing w:line="360" w:lineRule="auto"/>
        <w:ind w:left="420" w:firstLine="420" w:firstLineChars="200"/>
        <w:rPr>
          <w:rFonts w:ascii="宋体" w:hAnsi="宋体" w:eastAsia="宋体" w:cs="宋体"/>
          <w:szCs w:val="21"/>
        </w:rPr>
      </w:pPr>
      <w:r>
        <w:rPr>
          <w:rFonts w:hint="eastAsia" w:ascii="宋体" w:hAnsi="宋体" w:eastAsia="宋体" w:cs="宋体"/>
          <w:szCs w:val="21"/>
        </w:rPr>
        <w:t>b.如药品为基本医疗保险药品目录内但未经过基本医疗保险报销，赔付比例为60%；</w:t>
      </w:r>
    </w:p>
    <w:p>
      <w:pPr>
        <w:adjustRightInd w:val="0"/>
        <w:snapToGrid w:val="0"/>
        <w:spacing w:line="360" w:lineRule="auto"/>
        <w:ind w:left="420" w:firstLine="420" w:firstLineChars="200"/>
        <w:rPr>
          <w:rFonts w:ascii="宋体" w:hAnsi="宋体" w:eastAsia="宋体" w:cs="宋体"/>
          <w:szCs w:val="21"/>
        </w:rPr>
      </w:pPr>
      <w:r>
        <w:rPr>
          <w:rFonts w:hint="eastAsia" w:ascii="宋体" w:hAnsi="宋体" w:eastAsia="宋体" w:cs="宋体"/>
          <w:szCs w:val="21"/>
        </w:rPr>
        <w:t>c.如药品为基本医疗保险药品目录外，赔付比例为100%。</w:t>
      </w:r>
    </w:p>
    <w:p>
      <w:pPr>
        <w:adjustRightInd w:val="0"/>
        <w:snapToGrid w:val="0"/>
        <w:spacing w:line="360" w:lineRule="auto"/>
        <w:ind w:left="420" w:firstLine="420" w:firstLineChars="200"/>
        <w:rPr>
          <w:rFonts w:ascii="宋体" w:hAnsi="宋体" w:eastAsia="宋体" w:cs="宋体"/>
          <w:szCs w:val="21"/>
        </w:rPr>
      </w:pPr>
      <w:r>
        <w:rPr>
          <w:rFonts w:hint="eastAsia" w:ascii="宋体" w:hAnsi="宋体" w:eastAsia="宋体" w:cs="宋体"/>
          <w:szCs w:val="21"/>
        </w:rPr>
        <w:t>②若被保险人未以参加基本医疗保险</w:t>
      </w:r>
      <w:r>
        <w:rPr>
          <w:rFonts w:hint="eastAsia" w:ascii="宋体" w:hAnsi="宋体" w:eastAsia="宋体" w:cs="宋体"/>
          <w:szCs w:val="21"/>
          <w:lang w:val="en-US" w:eastAsia="zh-CN"/>
        </w:rPr>
        <w:t>或公费医疗</w:t>
      </w:r>
      <w:r>
        <w:rPr>
          <w:rFonts w:hint="eastAsia" w:ascii="宋体" w:hAnsi="宋体" w:eastAsia="宋体" w:cs="宋体"/>
          <w:szCs w:val="21"/>
        </w:rPr>
        <w:t>身份投保，则基本医疗保险药品目录内药品和基本医疗保险药品目录外药品赔付比例均为100%。</w:t>
      </w:r>
    </w:p>
    <w:p>
      <w:pPr>
        <w:adjustRightInd w:val="0"/>
        <w:snapToGrid w:val="0"/>
        <w:spacing w:line="360" w:lineRule="auto"/>
        <w:ind w:firstLine="840" w:firstLineChars="400"/>
        <w:rPr>
          <w:rFonts w:ascii="宋体" w:hAnsi="宋体" w:eastAsia="宋体" w:cs="宋体"/>
          <w:szCs w:val="21"/>
        </w:rPr>
      </w:pPr>
      <w:r>
        <w:rPr>
          <w:rFonts w:hint="eastAsia" w:ascii="宋体" w:hAnsi="宋体" w:eastAsia="宋体" w:cs="宋体"/>
          <w:szCs w:val="21"/>
        </w:rPr>
        <w:t>方案二：</w:t>
      </w:r>
    </w:p>
    <w:p>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（1）一般医疗及重大疾病医疗保险金：</w:t>
      </w:r>
    </w:p>
    <w:p>
      <w:pPr>
        <w:adjustRightInd w:val="0"/>
        <w:snapToGrid w:val="0"/>
        <w:spacing w:line="360" w:lineRule="auto"/>
        <w:ind w:left="420" w:firstLine="420" w:firstLineChars="200"/>
        <w:rPr>
          <w:rFonts w:hint="eastAsia" w:ascii="宋体" w:hAnsi="宋体" w:eastAsia="宋体" w:cs="宋体"/>
          <w:szCs w:val="21"/>
          <w:lang w:eastAsia="zh-CN"/>
        </w:rPr>
      </w:pPr>
      <w:r>
        <w:rPr>
          <w:rFonts w:hint="eastAsia" w:ascii="宋体" w:hAnsi="宋体" w:eastAsia="宋体" w:cs="宋体"/>
          <w:szCs w:val="21"/>
        </w:rPr>
        <w:t>①保险人以参加基本医疗保险</w:t>
      </w:r>
      <w:r>
        <w:rPr>
          <w:rFonts w:hint="eastAsia" w:ascii="宋体" w:hAnsi="宋体" w:eastAsia="宋体" w:cs="宋体"/>
          <w:szCs w:val="21"/>
          <w:lang w:val="en-US" w:eastAsia="zh-CN"/>
        </w:rPr>
        <w:t>或公费医疗</w:t>
      </w:r>
      <w:r>
        <w:rPr>
          <w:rFonts w:hint="eastAsia" w:ascii="宋体" w:hAnsi="宋体" w:eastAsia="宋体" w:cs="宋体"/>
          <w:szCs w:val="21"/>
        </w:rPr>
        <w:t>身份投保，并以基本医疗保险</w:t>
      </w:r>
      <w:r>
        <w:rPr>
          <w:rFonts w:hint="eastAsia" w:ascii="宋体" w:hAnsi="宋体" w:eastAsia="宋体" w:cs="宋体"/>
          <w:szCs w:val="21"/>
          <w:lang w:val="en-US" w:eastAsia="zh-CN"/>
        </w:rPr>
        <w:t>或公费医疗</w:t>
      </w:r>
      <w:r>
        <w:rPr>
          <w:rFonts w:hint="eastAsia" w:ascii="宋体" w:hAnsi="宋体" w:eastAsia="宋体" w:cs="宋体"/>
          <w:szCs w:val="21"/>
        </w:rPr>
        <w:t>身份就诊并结算，赔付比例为90%</w:t>
      </w:r>
      <w:r>
        <w:rPr>
          <w:rFonts w:hint="eastAsia" w:ascii="宋体" w:hAnsi="宋体" w:eastAsia="宋体" w:cs="宋体"/>
          <w:szCs w:val="21"/>
          <w:lang w:eastAsia="zh-CN"/>
        </w:rPr>
        <w:t>；</w:t>
      </w:r>
    </w:p>
    <w:p>
      <w:pPr>
        <w:snapToGrid w:val="0"/>
        <w:spacing w:line="360" w:lineRule="auto"/>
        <w:ind w:left="420" w:firstLine="440"/>
        <w:rPr>
          <w:rFonts w:hint="eastAsia" w:ascii="宋体" w:hAnsi="宋体" w:eastAsia="宋体" w:cs="宋体"/>
          <w:b/>
          <w:szCs w:val="21"/>
          <w:lang w:eastAsia="zh-CN"/>
        </w:rPr>
      </w:pPr>
      <w:r>
        <w:rPr>
          <w:rFonts w:hint="eastAsia" w:ascii="宋体" w:hAnsi="宋体" w:eastAsia="宋体" w:cs="宋体"/>
          <w:szCs w:val="21"/>
        </w:rPr>
        <w:t>②若被保险人以参加基本医疗保险</w:t>
      </w:r>
      <w:r>
        <w:rPr>
          <w:rFonts w:hint="eastAsia" w:ascii="宋体" w:hAnsi="宋体" w:eastAsia="宋体" w:cs="宋体"/>
          <w:szCs w:val="21"/>
          <w:lang w:val="en-US" w:eastAsia="zh-CN"/>
        </w:rPr>
        <w:t>或公费医疗</w:t>
      </w:r>
      <w:r>
        <w:rPr>
          <w:rFonts w:hint="eastAsia" w:ascii="宋体" w:hAnsi="宋体" w:eastAsia="宋体" w:cs="宋体"/>
          <w:szCs w:val="21"/>
        </w:rPr>
        <w:t>身份投保，但未以基本医疗保险</w:t>
      </w:r>
      <w:r>
        <w:rPr>
          <w:rFonts w:hint="eastAsia" w:ascii="宋体" w:hAnsi="宋体" w:eastAsia="宋体" w:cs="宋体"/>
          <w:szCs w:val="21"/>
          <w:lang w:val="en-US" w:eastAsia="zh-CN"/>
        </w:rPr>
        <w:t>或公费医疗</w:t>
      </w:r>
      <w:r>
        <w:rPr>
          <w:rFonts w:hint="eastAsia" w:ascii="宋体" w:hAnsi="宋体" w:eastAsia="宋体" w:cs="宋体"/>
          <w:szCs w:val="21"/>
        </w:rPr>
        <w:t>身份就诊并结算，赔付比例为50%</w:t>
      </w:r>
      <w:r>
        <w:rPr>
          <w:rFonts w:hint="eastAsia" w:ascii="宋体" w:hAnsi="宋体" w:eastAsia="宋体" w:cs="宋体"/>
          <w:szCs w:val="21"/>
          <w:lang w:eastAsia="zh-CN"/>
        </w:rPr>
        <w:t>；</w:t>
      </w:r>
    </w:p>
    <w:p>
      <w:pPr>
        <w:snapToGrid w:val="0"/>
        <w:spacing w:line="360" w:lineRule="auto"/>
        <w:ind w:left="420" w:firstLine="420" w:firstLineChars="200"/>
        <w:rPr>
          <w:rFonts w:ascii="宋体" w:hAnsi="宋体" w:eastAsia="宋体" w:cs="宋体"/>
          <w:szCs w:val="21"/>
        </w:rPr>
      </w:pPr>
      <w:r>
        <w:rPr>
          <w:rFonts w:hint="eastAsia" w:ascii="宋体" w:hAnsi="宋体" w:eastAsia="宋体" w:cs="宋体"/>
          <w:szCs w:val="21"/>
        </w:rPr>
        <w:t>③若被保险人未以参加基本医疗保险</w:t>
      </w:r>
      <w:r>
        <w:rPr>
          <w:rFonts w:hint="eastAsia" w:ascii="宋体" w:hAnsi="宋体" w:eastAsia="宋体" w:cs="宋体"/>
          <w:szCs w:val="21"/>
          <w:lang w:val="en-US" w:eastAsia="zh-CN"/>
        </w:rPr>
        <w:t>或公费医疗</w:t>
      </w:r>
      <w:r>
        <w:rPr>
          <w:rFonts w:hint="eastAsia" w:ascii="宋体" w:hAnsi="宋体" w:eastAsia="宋体" w:cs="宋体"/>
          <w:szCs w:val="21"/>
        </w:rPr>
        <w:t>身份投保，赔付比例为90%。</w:t>
      </w:r>
    </w:p>
    <w:p>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（2）恶性肿瘤特定药品费用保险金：</w:t>
      </w:r>
    </w:p>
    <w:p>
      <w:pPr>
        <w:adjustRightInd w:val="0"/>
        <w:snapToGrid w:val="0"/>
        <w:spacing w:line="360" w:lineRule="auto"/>
        <w:ind w:left="420" w:firstLine="420" w:firstLineChars="200"/>
        <w:rPr>
          <w:rFonts w:ascii="宋体" w:hAnsi="宋体" w:eastAsia="宋体" w:cs="宋体"/>
          <w:szCs w:val="21"/>
        </w:rPr>
      </w:pPr>
      <w:r>
        <w:rPr>
          <w:rFonts w:hint="eastAsia" w:ascii="宋体" w:hAnsi="宋体" w:eastAsia="宋体" w:cs="宋体"/>
          <w:szCs w:val="21"/>
        </w:rPr>
        <w:t>①若被保险人以参加基本医疗保险</w:t>
      </w:r>
      <w:r>
        <w:rPr>
          <w:rFonts w:hint="eastAsia" w:ascii="宋体" w:hAnsi="宋体" w:eastAsia="宋体" w:cs="宋体"/>
          <w:szCs w:val="21"/>
          <w:lang w:val="en-US" w:eastAsia="zh-CN"/>
        </w:rPr>
        <w:t>或公费医疗</w:t>
      </w:r>
      <w:r>
        <w:rPr>
          <w:rFonts w:hint="eastAsia" w:ascii="宋体" w:hAnsi="宋体" w:eastAsia="宋体" w:cs="宋体"/>
          <w:szCs w:val="21"/>
        </w:rPr>
        <w:t>身份投保：</w:t>
      </w:r>
    </w:p>
    <w:p>
      <w:pPr>
        <w:adjustRightInd w:val="0"/>
        <w:snapToGrid w:val="0"/>
        <w:spacing w:line="360" w:lineRule="auto"/>
        <w:ind w:left="420" w:firstLine="420" w:firstLineChars="200"/>
        <w:rPr>
          <w:rFonts w:ascii="宋体" w:hAnsi="宋体" w:eastAsia="宋体" w:cs="宋体"/>
          <w:szCs w:val="21"/>
        </w:rPr>
      </w:pPr>
      <w:r>
        <w:rPr>
          <w:rFonts w:hint="eastAsia" w:ascii="宋体" w:hAnsi="宋体" w:eastAsia="宋体" w:cs="宋体"/>
          <w:szCs w:val="21"/>
        </w:rPr>
        <w:t>a.如药品为基本医疗保险药品目录内且已经过基本医疗保险报销，赔付比例为90%；</w:t>
      </w:r>
    </w:p>
    <w:p>
      <w:pPr>
        <w:adjustRightInd w:val="0"/>
        <w:snapToGrid w:val="0"/>
        <w:spacing w:line="360" w:lineRule="auto"/>
        <w:ind w:left="420" w:firstLine="420" w:firstLineChars="200"/>
        <w:rPr>
          <w:rFonts w:ascii="宋体" w:hAnsi="宋体" w:eastAsia="宋体" w:cs="宋体"/>
          <w:szCs w:val="21"/>
        </w:rPr>
      </w:pPr>
      <w:r>
        <w:rPr>
          <w:rFonts w:hint="eastAsia" w:ascii="宋体" w:hAnsi="宋体" w:eastAsia="宋体" w:cs="宋体"/>
          <w:szCs w:val="21"/>
        </w:rPr>
        <w:t>b.如药品为基本医疗保险药品目录内但未经过基本医疗保险报销，赔付比例为50%；</w:t>
      </w:r>
    </w:p>
    <w:p>
      <w:pPr>
        <w:adjustRightInd w:val="0"/>
        <w:snapToGrid w:val="0"/>
        <w:spacing w:line="360" w:lineRule="auto"/>
        <w:ind w:left="420" w:firstLine="420" w:firstLineChars="200"/>
        <w:rPr>
          <w:rFonts w:ascii="宋体" w:hAnsi="宋体" w:eastAsia="宋体" w:cs="宋体"/>
          <w:szCs w:val="21"/>
        </w:rPr>
      </w:pPr>
      <w:r>
        <w:rPr>
          <w:rFonts w:hint="eastAsia" w:ascii="宋体" w:hAnsi="宋体" w:eastAsia="宋体" w:cs="宋体"/>
          <w:szCs w:val="21"/>
        </w:rPr>
        <w:t>c.如药品为基本医疗保险药品目录外，赔付比例为90%。</w:t>
      </w:r>
    </w:p>
    <w:p>
      <w:pPr>
        <w:adjustRightInd w:val="0"/>
        <w:snapToGrid w:val="0"/>
        <w:spacing w:line="360" w:lineRule="auto"/>
        <w:ind w:left="420" w:firstLine="420" w:firstLineChars="200"/>
        <w:rPr>
          <w:rFonts w:ascii="宋体" w:hAnsi="宋体" w:eastAsia="宋体" w:cs="宋体"/>
          <w:szCs w:val="21"/>
        </w:rPr>
      </w:pPr>
      <w:r>
        <w:rPr>
          <w:rFonts w:hint="eastAsia" w:ascii="宋体" w:hAnsi="宋体" w:eastAsia="宋体" w:cs="宋体"/>
          <w:szCs w:val="21"/>
        </w:rPr>
        <w:t>②若被保险人未以参加基本医疗保险</w:t>
      </w:r>
      <w:r>
        <w:rPr>
          <w:rFonts w:hint="eastAsia" w:ascii="宋体" w:hAnsi="宋体" w:eastAsia="宋体" w:cs="宋体"/>
          <w:szCs w:val="21"/>
          <w:lang w:val="en-US" w:eastAsia="zh-CN"/>
        </w:rPr>
        <w:t>或公费医疗</w:t>
      </w:r>
      <w:r>
        <w:rPr>
          <w:rFonts w:hint="eastAsia" w:ascii="宋体" w:hAnsi="宋体" w:eastAsia="宋体" w:cs="宋体"/>
          <w:szCs w:val="21"/>
        </w:rPr>
        <w:t>身份投保，则基本医疗保险药品目录内药品和基本医疗保险药品目录外药品赔付比例均为90%。</w:t>
      </w:r>
    </w:p>
    <w:p>
      <w:pPr>
        <w:adjustRightInd w:val="0"/>
        <w:snapToGrid w:val="0"/>
        <w:spacing w:line="360" w:lineRule="auto"/>
        <w:ind w:left="420" w:firstLine="420" w:firstLineChars="200"/>
        <w:rPr>
          <w:rFonts w:ascii="宋体" w:hAnsi="宋体" w:eastAsia="宋体" w:cs="宋体"/>
          <w:szCs w:val="21"/>
        </w:rPr>
      </w:pP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s="宋体"/>
          <w:b/>
          <w:bCs/>
          <w:szCs w:val="21"/>
        </w:rPr>
      </w:pPr>
      <w:r>
        <w:rPr>
          <w:rFonts w:hint="eastAsia" w:ascii="宋体" w:hAnsi="宋体" w:eastAsia="宋体" w:cs="宋体"/>
          <w:b/>
          <w:bCs/>
          <w:szCs w:val="21"/>
        </w:rPr>
        <w:t>二、年基准保险费</w:t>
      </w:r>
    </w:p>
    <w:p>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1、首年保险费（单位：元）</w:t>
      </w:r>
    </w:p>
    <w:tbl>
      <w:tblPr>
        <w:tblStyle w:val="8"/>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3118"/>
        <w:gridCol w:w="3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122" w:type="dxa"/>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年龄</w:t>
            </w:r>
          </w:p>
        </w:tc>
        <w:tc>
          <w:tcPr>
            <w:tcW w:w="3118" w:type="dxa"/>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有社保</w:t>
            </w:r>
          </w:p>
        </w:tc>
        <w:tc>
          <w:tcPr>
            <w:tcW w:w="3119" w:type="dxa"/>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无社保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122" w:type="dxa"/>
            <w:shd w:val="clear" w:color="auto" w:fill="auto"/>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0-4周岁</w:t>
            </w:r>
          </w:p>
        </w:tc>
        <w:tc>
          <w:tcPr>
            <w:tcW w:w="3118" w:type="dxa"/>
            <w:shd w:val="clear" w:color="auto" w:fill="FFFFFF"/>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794 </w:t>
            </w:r>
          </w:p>
        </w:tc>
        <w:tc>
          <w:tcPr>
            <w:tcW w:w="3119" w:type="dxa"/>
            <w:shd w:val="clear" w:color="auto" w:fill="FFFFFF"/>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1935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122" w:type="dxa"/>
            <w:shd w:val="clear" w:color="auto" w:fill="auto"/>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5-10周岁</w:t>
            </w:r>
          </w:p>
        </w:tc>
        <w:tc>
          <w:tcPr>
            <w:tcW w:w="3118" w:type="dxa"/>
            <w:shd w:val="clear" w:color="auto" w:fill="FFFFFF"/>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355 </w:t>
            </w:r>
          </w:p>
        </w:tc>
        <w:tc>
          <w:tcPr>
            <w:tcW w:w="3119" w:type="dxa"/>
            <w:shd w:val="clear" w:color="auto" w:fill="FFFFFF"/>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806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122" w:type="dxa"/>
            <w:shd w:val="clear" w:color="auto" w:fill="auto"/>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11-15周岁</w:t>
            </w:r>
          </w:p>
        </w:tc>
        <w:tc>
          <w:tcPr>
            <w:tcW w:w="3118" w:type="dxa"/>
            <w:shd w:val="clear" w:color="auto" w:fill="FFFFFF"/>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144 </w:t>
            </w:r>
          </w:p>
        </w:tc>
        <w:tc>
          <w:tcPr>
            <w:tcW w:w="3119" w:type="dxa"/>
            <w:shd w:val="clear" w:color="auto" w:fill="FFFFFF"/>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351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122" w:type="dxa"/>
            <w:shd w:val="clear" w:color="auto" w:fill="auto"/>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16-20周岁</w:t>
            </w:r>
          </w:p>
        </w:tc>
        <w:tc>
          <w:tcPr>
            <w:tcW w:w="3118" w:type="dxa"/>
            <w:shd w:val="clear" w:color="auto" w:fill="FFFFFF"/>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175 </w:t>
            </w:r>
          </w:p>
        </w:tc>
        <w:tc>
          <w:tcPr>
            <w:tcW w:w="3119" w:type="dxa"/>
            <w:shd w:val="clear" w:color="auto" w:fill="FFFFFF"/>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122" w:type="dxa"/>
            <w:shd w:val="clear" w:color="auto" w:fill="auto"/>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21-25周岁</w:t>
            </w:r>
          </w:p>
        </w:tc>
        <w:tc>
          <w:tcPr>
            <w:tcW w:w="3118" w:type="dxa"/>
            <w:shd w:val="clear" w:color="auto" w:fill="FFFFFF"/>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237 </w:t>
            </w:r>
          </w:p>
        </w:tc>
        <w:tc>
          <w:tcPr>
            <w:tcW w:w="3119" w:type="dxa"/>
            <w:shd w:val="clear" w:color="auto" w:fill="FFFFFF"/>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572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122" w:type="dxa"/>
            <w:shd w:val="clear" w:color="auto" w:fill="auto"/>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26-30周岁</w:t>
            </w:r>
          </w:p>
        </w:tc>
        <w:tc>
          <w:tcPr>
            <w:tcW w:w="3118" w:type="dxa"/>
            <w:shd w:val="clear" w:color="auto" w:fill="FFFFFF"/>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300 </w:t>
            </w:r>
          </w:p>
        </w:tc>
        <w:tc>
          <w:tcPr>
            <w:tcW w:w="3119" w:type="dxa"/>
            <w:shd w:val="clear" w:color="auto" w:fill="FFFFFF"/>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755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122" w:type="dxa"/>
            <w:shd w:val="clear" w:color="auto" w:fill="auto"/>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31-35周岁</w:t>
            </w:r>
          </w:p>
        </w:tc>
        <w:tc>
          <w:tcPr>
            <w:tcW w:w="3118" w:type="dxa"/>
            <w:shd w:val="clear" w:color="auto" w:fill="FFFFFF"/>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393 </w:t>
            </w:r>
          </w:p>
        </w:tc>
        <w:tc>
          <w:tcPr>
            <w:tcW w:w="3119" w:type="dxa"/>
            <w:shd w:val="clear" w:color="auto" w:fill="FFFFFF"/>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1085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122" w:type="dxa"/>
            <w:shd w:val="clear" w:color="auto" w:fill="auto"/>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36-40周岁</w:t>
            </w:r>
          </w:p>
        </w:tc>
        <w:tc>
          <w:tcPr>
            <w:tcW w:w="3118" w:type="dxa"/>
            <w:shd w:val="clear" w:color="auto" w:fill="FFFFFF"/>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482 </w:t>
            </w:r>
          </w:p>
        </w:tc>
        <w:tc>
          <w:tcPr>
            <w:tcW w:w="3119" w:type="dxa"/>
            <w:shd w:val="clear" w:color="auto" w:fill="FFFFFF"/>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1474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122" w:type="dxa"/>
            <w:shd w:val="clear" w:color="auto" w:fill="auto"/>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41-45周岁</w:t>
            </w:r>
          </w:p>
        </w:tc>
        <w:tc>
          <w:tcPr>
            <w:tcW w:w="3118" w:type="dxa"/>
            <w:shd w:val="clear" w:color="auto" w:fill="FFFFFF"/>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536 </w:t>
            </w:r>
          </w:p>
        </w:tc>
        <w:tc>
          <w:tcPr>
            <w:tcW w:w="3119" w:type="dxa"/>
            <w:shd w:val="clear" w:color="auto" w:fill="FFFFFF"/>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1912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122" w:type="dxa"/>
            <w:shd w:val="clear" w:color="auto" w:fill="auto"/>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46-50周岁</w:t>
            </w:r>
          </w:p>
        </w:tc>
        <w:tc>
          <w:tcPr>
            <w:tcW w:w="3118" w:type="dxa"/>
            <w:shd w:val="clear" w:color="auto" w:fill="FFFFFF"/>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787 </w:t>
            </w:r>
          </w:p>
        </w:tc>
        <w:tc>
          <w:tcPr>
            <w:tcW w:w="3119" w:type="dxa"/>
            <w:shd w:val="clear" w:color="auto" w:fill="FFFFFF"/>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2835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122" w:type="dxa"/>
            <w:shd w:val="clear" w:color="auto" w:fill="auto"/>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51-55周岁</w:t>
            </w:r>
          </w:p>
        </w:tc>
        <w:tc>
          <w:tcPr>
            <w:tcW w:w="3118" w:type="dxa"/>
            <w:shd w:val="clear" w:color="auto" w:fill="FFFFFF"/>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983 </w:t>
            </w:r>
          </w:p>
        </w:tc>
        <w:tc>
          <w:tcPr>
            <w:tcW w:w="3119" w:type="dxa"/>
            <w:shd w:val="clear" w:color="auto" w:fill="FFFFFF"/>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3872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122" w:type="dxa"/>
            <w:shd w:val="clear" w:color="auto" w:fill="auto"/>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56-60周岁</w:t>
            </w:r>
          </w:p>
        </w:tc>
        <w:tc>
          <w:tcPr>
            <w:tcW w:w="3118" w:type="dxa"/>
            <w:shd w:val="clear" w:color="auto" w:fill="FFFFFF"/>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1249 </w:t>
            </w:r>
          </w:p>
        </w:tc>
        <w:tc>
          <w:tcPr>
            <w:tcW w:w="3119" w:type="dxa"/>
            <w:shd w:val="clear" w:color="auto" w:fill="FFFFFF"/>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4608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122" w:type="dxa"/>
            <w:shd w:val="clear" w:color="auto" w:fill="auto"/>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61-65周岁</w:t>
            </w:r>
          </w:p>
        </w:tc>
        <w:tc>
          <w:tcPr>
            <w:tcW w:w="3118" w:type="dxa"/>
            <w:shd w:val="clear" w:color="auto" w:fill="FFFFFF"/>
            <w:vAlign w:val="center"/>
          </w:tcPr>
          <w:p>
            <w:pPr>
              <w:widowControl/>
              <w:jc w:val="center"/>
              <w:textAlignment w:val="center"/>
              <w:rPr>
                <w:rFonts w:ascii="宋体" w:hAnsi="宋体" w:eastAsia="宋体" w:cs="宋体"/>
                <w:szCs w:val="21"/>
              </w:rPr>
            </w:pPr>
            <w:r>
              <w:rPr>
                <w:rFonts w:hint="eastAsia" w:ascii="宋体" w:hAnsi="宋体" w:eastAsia="宋体" w:cs="宋体"/>
                <w:color w:val="000000"/>
                <w:kern w:val="0"/>
                <w:sz w:val="20"/>
                <w:szCs w:val="20"/>
                <w:lang w:bidi="ar"/>
              </w:rPr>
              <w:t xml:space="preserve">2074 </w:t>
            </w:r>
          </w:p>
        </w:tc>
        <w:tc>
          <w:tcPr>
            <w:tcW w:w="3119" w:type="dxa"/>
            <w:shd w:val="clear" w:color="auto" w:fill="FFFFFF"/>
            <w:vAlign w:val="center"/>
          </w:tcPr>
          <w:p>
            <w:pPr>
              <w:widowControl/>
              <w:jc w:val="center"/>
              <w:textAlignment w:val="center"/>
              <w:rPr>
                <w:rFonts w:ascii="宋体" w:hAnsi="宋体" w:eastAsia="宋体" w:cs="宋体"/>
                <w:szCs w:val="21"/>
              </w:rPr>
            </w:pPr>
            <w:r>
              <w:rPr>
                <w:rFonts w:hint="eastAsia" w:ascii="宋体" w:hAnsi="宋体" w:eastAsia="宋体" w:cs="宋体"/>
                <w:color w:val="000000"/>
                <w:kern w:val="0"/>
                <w:sz w:val="20"/>
                <w:szCs w:val="20"/>
                <w:lang w:bidi="ar"/>
              </w:rPr>
              <w:t xml:space="preserve">7393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122" w:type="dxa"/>
            <w:shd w:val="clear" w:color="auto" w:fill="auto"/>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66-70周岁</w:t>
            </w:r>
          </w:p>
        </w:tc>
        <w:tc>
          <w:tcPr>
            <w:tcW w:w="3118" w:type="dxa"/>
            <w:shd w:val="clear" w:color="auto" w:fill="FFFFFF"/>
            <w:vAlign w:val="center"/>
          </w:tcPr>
          <w:p>
            <w:pPr>
              <w:widowControl/>
              <w:jc w:val="center"/>
              <w:textAlignment w:val="center"/>
              <w:rPr>
                <w:rFonts w:ascii="宋体" w:hAnsi="宋体" w:eastAsia="宋体" w:cs="宋体"/>
                <w:szCs w:val="21"/>
                <w:lang w:bidi="ar"/>
              </w:rPr>
            </w:pPr>
            <w:r>
              <w:rPr>
                <w:rFonts w:hint="eastAsia" w:ascii="宋体" w:hAnsi="宋体" w:eastAsia="宋体" w:cs="宋体"/>
                <w:color w:val="000000"/>
                <w:kern w:val="0"/>
                <w:sz w:val="20"/>
                <w:szCs w:val="20"/>
                <w:lang w:bidi="ar"/>
              </w:rPr>
              <w:t xml:space="preserve">2968 </w:t>
            </w:r>
          </w:p>
        </w:tc>
        <w:tc>
          <w:tcPr>
            <w:tcW w:w="3119" w:type="dxa"/>
            <w:shd w:val="clear" w:color="auto" w:fill="FFFFFF"/>
            <w:vAlign w:val="center"/>
          </w:tcPr>
          <w:p>
            <w:pPr>
              <w:widowControl/>
              <w:jc w:val="center"/>
              <w:textAlignment w:val="center"/>
              <w:rPr>
                <w:rFonts w:ascii="宋体" w:hAnsi="宋体" w:eastAsia="宋体" w:cs="宋体"/>
                <w:szCs w:val="21"/>
                <w:lang w:bidi="ar"/>
              </w:rPr>
            </w:pPr>
            <w:r>
              <w:rPr>
                <w:rFonts w:hint="eastAsia" w:ascii="宋体" w:hAnsi="宋体" w:eastAsia="宋体" w:cs="宋体"/>
                <w:color w:val="000000"/>
                <w:kern w:val="0"/>
                <w:sz w:val="20"/>
                <w:szCs w:val="20"/>
                <w:lang w:bidi="ar"/>
              </w:rPr>
              <w:t xml:space="preserve">10209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122" w:type="dxa"/>
            <w:shd w:val="clear" w:color="auto" w:fill="auto"/>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71-75周岁</w:t>
            </w:r>
          </w:p>
        </w:tc>
        <w:tc>
          <w:tcPr>
            <w:tcW w:w="3118" w:type="dxa"/>
            <w:shd w:val="clear" w:color="auto" w:fill="FFFFFF"/>
            <w:vAlign w:val="center"/>
          </w:tcPr>
          <w:p>
            <w:pPr>
              <w:widowControl/>
              <w:jc w:val="center"/>
              <w:textAlignment w:val="center"/>
              <w:rPr>
                <w:rFonts w:ascii="宋体" w:hAnsi="宋体" w:eastAsia="宋体" w:cs="宋体"/>
                <w:szCs w:val="21"/>
                <w:lang w:bidi="ar"/>
              </w:rPr>
            </w:pPr>
            <w:r>
              <w:rPr>
                <w:rFonts w:hint="eastAsia" w:ascii="宋体" w:hAnsi="宋体" w:eastAsia="宋体" w:cs="宋体"/>
                <w:color w:val="000000"/>
                <w:kern w:val="0"/>
                <w:sz w:val="20"/>
                <w:szCs w:val="20"/>
                <w:lang w:bidi="ar"/>
              </w:rPr>
              <w:t xml:space="preserve">3774 </w:t>
            </w:r>
          </w:p>
        </w:tc>
        <w:tc>
          <w:tcPr>
            <w:tcW w:w="3119" w:type="dxa"/>
            <w:shd w:val="clear" w:color="auto" w:fill="FFFFFF"/>
            <w:vAlign w:val="center"/>
          </w:tcPr>
          <w:p>
            <w:pPr>
              <w:widowControl/>
              <w:jc w:val="center"/>
              <w:textAlignment w:val="center"/>
              <w:rPr>
                <w:rFonts w:ascii="宋体" w:hAnsi="宋体" w:eastAsia="宋体" w:cs="宋体"/>
                <w:szCs w:val="21"/>
                <w:lang w:bidi="ar"/>
              </w:rPr>
            </w:pPr>
            <w:r>
              <w:rPr>
                <w:rFonts w:hint="eastAsia" w:ascii="宋体" w:hAnsi="宋体" w:eastAsia="宋体" w:cs="宋体"/>
                <w:color w:val="000000"/>
                <w:kern w:val="0"/>
                <w:sz w:val="20"/>
                <w:szCs w:val="20"/>
                <w:lang w:bidi="ar"/>
              </w:rPr>
              <w:t xml:space="preserve">12982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122" w:type="dxa"/>
            <w:shd w:val="clear" w:color="auto" w:fill="auto"/>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76-80周岁</w:t>
            </w:r>
          </w:p>
        </w:tc>
        <w:tc>
          <w:tcPr>
            <w:tcW w:w="3118" w:type="dxa"/>
            <w:shd w:val="clear" w:color="auto" w:fill="FFFFFF"/>
            <w:vAlign w:val="center"/>
          </w:tcPr>
          <w:p>
            <w:pPr>
              <w:widowControl/>
              <w:jc w:val="center"/>
              <w:textAlignment w:val="center"/>
              <w:rPr>
                <w:rFonts w:ascii="宋体" w:hAnsi="宋体" w:eastAsia="宋体" w:cs="宋体"/>
                <w:szCs w:val="21"/>
                <w:lang w:bidi="ar"/>
              </w:rPr>
            </w:pPr>
            <w:r>
              <w:rPr>
                <w:rFonts w:hint="eastAsia" w:ascii="宋体" w:hAnsi="宋体" w:eastAsia="宋体" w:cs="宋体"/>
                <w:color w:val="000000"/>
                <w:kern w:val="0"/>
                <w:sz w:val="20"/>
                <w:szCs w:val="20"/>
                <w:lang w:bidi="ar"/>
              </w:rPr>
              <w:t xml:space="preserve">4811 </w:t>
            </w:r>
          </w:p>
        </w:tc>
        <w:tc>
          <w:tcPr>
            <w:tcW w:w="3119" w:type="dxa"/>
            <w:shd w:val="clear" w:color="auto" w:fill="FFFFFF"/>
            <w:vAlign w:val="center"/>
          </w:tcPr>
          <w:p>
            <w:pPr>
              <w:widowControl/>
              <w:jc w:val="center"/>
              <w:textAlignment w:val="center"/>
              <w:rPr>
                <w:rFonts w:ascii="宋体" w:hAnsi="宋体" w:eastAsia="宋体" w:cs="宋体"/>
                <w:szCs w:val="21"/>
                <w:lang w:bidi="ar"/>
              </w:rPr>
            </w:pPr>
            <w:r>
              <w:rPr>
                <w:rFonts w:hint="eastAsia" w:ascii="宋体" w:hAnsi="宋体" w:eastAsia="宋体" w:cs="宋体"/>
                <w:color w:val="000000"/>
                <w:kern w:val="0"/>
                <w:sz w:val="20"/>
                <w:szCs w:val="20"/>
                <w:lang w:bidi="ar"/>
              </w:rPr>
              <w:t xml:space="preserve">16101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122" w:type="dxa"/>
            <w:shd w:val="clear" w:color="auto" w:fill="auto"/>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81-85周岁</w:t>
            </w:r>
          </w:p>
        </w:tc>
        <w:tc>
          <w:tcPr>
            <w:tcW w:w="3118" w:type="dxa"/>
            <w:shd w:val="clear" w:color="auto" w:fill="FFFFFF"/>
            <w:vAlign w:val="center"/>
          </w:tcPr>
          <w:p>
            <w:pPr>
              <w:widowControl/>
              <w:jc w:val="center"/>
              <w:textAlignment w:val="center"/>
              <w:rPr>
                <w:rFonts w:ascii="宋体" w:hAnsi="宋体" w:eastAsia="宋体" w:cs="宋体"/>
                <w:szCs w:val="21"/>
                <w:lang w:bidi="ar"/>
              </w:rPr>
            </w:pPr>
            <w:r>
              <w:rPr>
                <w:rFonts w:hint="eastAsia" w:ascii="宋体" w:hAnsi="宋体" w:eastAsia="宋体" w:cs="宋体"/>
                <w:color w:val="000000"/>
                <w:kern w:val="0"/>
                <w:sz w:val="20"/>
                <w:szCs w:val="20"/>
                <w:lang w:bidi="ar"/>
              </w:rPr>
              <w:t xml:space="preserve">6140 </w:t>
            </w:r>
          </w:p>
        </w:tc>
        <w:tc>
          <w:tcPr>
            <w:tcW w:w="3119" w:type="dxa"/>
            <w:shd w:val="clear" w:color="auto" w:fill="FFFFFF"/>
            <w:vAlign w:val="center"/>
          </w:tcPr>
          <w:p>
            <w:pPr>
              <w:widowControl/>
              <w:jc w:val="center"/>
              <w:textAlignment w:val="center"/>
              <w:rPr>
                <w:rFonts w:ascii="宋体" w:hAnsi="宋体" w:eastAsia="宋体" w:cs="宋体"/>
                <w:szCs w:val="21"/>
                <w:lang w:bidi="ar"/>
              </w:rPr>
            </w:pPr>
            <w:r>
              <w:rPr>
                <w:rFonts w:hint="eastAsia" w:ascii="宋体" w:hAnsi="宋体" w:eastAsia="宋体" w:cs="宋体"/>
                <w:color w:val="000000"/>
                <w:kern w:val="0"/>
                <w:sz w:val="20"/>
                <w:szCs w:val="20"/>
                <w:lang w:bidi="ar"/>
              </w:rPr>
              <w:t xml:space="preserve">19980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122" w:type="dxa"/>
            <w:shd w:val="clear" w:color="auto" w:fill="auto"/>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86-90周岁</w:t>
            </w:r>
          </w:p>
        </w:tc>
        <w:tc>
          <w:tcPr>
            <w:tcW w:w="3118" w:type="dxa"/>
            <w:shd w:val="clear" w:color="auto" w:fill="FFFFFF"/>
            <w:vAlign w:val="center"/>
          </w:tcPr>
          <w:p>
            <w:pPr>
              <w:widowControl/>
              <w:jc w:val="center"/>
              <w:textAlignment w:val="center"/>
              <w:rPr>
                <w:rFonts w:ascii="宋体" w:hAnsi="宋体" w:eastAsia="宋体" w:cs="宋体"/>
                <w:szCs w:val="21"/>
                <w:lang w:bidi="ar"/>
              </w:rPr>
            </w:pPr>
            <w:r>
              <w:rPr>
                <w:rFonts w:hint="eastAsia" w:ascii="宋体" w:hAnsi="宋体" w:eastAsia="宋体" w:cs="宋体"/>
                <w:color w:val="000000"/>
                <w:kern w:val="0"/>
                <w:sz w:val="20"/>
                <w:szCs w:val="20"/>
                <w:lang w:bidi="ar"/>
              </w:rPr>
              <w:t xml:space="preserve">7839 </w:t>
            </w:r>
          </w:p>
        </w:tc>
        <w:tc>
          <w:tcPr>
            <w:tcW w:w="3119" w:type="dxa"/>
            <w:shd w:val="clear" w:color="auto" w:fill="FFFFFF"/>
            <w:vAlign w:val="center"/>
          </w:tcPr>
          <w:p>
            <w:pPr>
              <w:widowControl/>
              <w:jc w:val="center"/>
              <w:textAlignment w:val="center"/>
              <w:rPr>
                <w:rFonts w:ascii="宋体" w:hAnsi="宋体" w:eastAsia="宋体" w:cs="宋体"/>
                <w:szCs w:val="21"/>
                <w:lang w:bidi="ar"/>
              </w:rPr>
            </w:pPr>
            <w:r>
              <w:rPr>
                <w:rFonts w:hint="eastAsia" w:ascii="宋体" w:hAnsi="宋体" w:eastAsia="宋体" w:cs="宋体"/>
                <w:color w:val="000000"/>
                <w:kern w:val="0"/>
                <w:sz w:val="20"/>
                <w:szCs w:val="20"/>
                <w:lang w:bidi="ar"/>
              </w:rPr>
              <w:t xml:space="preserve">24791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122" w:type="dxa"/>
            <w:shd w:val="clear" w:color="auto" w:fill="auto"/>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91-95周岁</w:t>
            </w:r>
          </w:p>
        </w:tc>
        <w:tc>
          <w:tcPr>
            <w:tcW w:w="3118" w:type="dxa"/>
            <w:shd w:val="clear" w:color="auto" w:fill="FFFFFF"/>
            <w:vAlign w:val="center"/>
          </w:tcPr>
          <w:p>
            <w:pPr>
              <w:widowControl/>
              <w:jc w:val="center"/>
              <w:textAlignment w:val="center"/>
              <w:rPr>
                <w:rFonts w:ascii="宋体" w:hAnsi="宋体" w:eastAsia="宋体" w:cs="宋体"/>
                <w:szCs w:val="21"/>
                <w:lang w:bidi="ar"/>
              </w:rPr>
            </w:pPr>
            <w:r>
              <w:rPr>
                <w:rFonts w:hint="eastAsia" w:ascii="宋体" w:hAnsi="宋体" w:eastAsia="宋体" w:cs="宋体"/>
                <w:color w:val="000000"/>
                <w:kern w:val="0"/>
                <w:sz w:val="20"/>
                <w:szCs w:val="20"/>
                <w:lang w:bidi="ar"/>
              </w:rPr>
              <w:t xml:space="preserve">9992 </w:t>
            </w:r>
          </w:p>
        </w:tc>
        <w:tc>
          <w:tcPr>
            <w:tcW w:w="3119" w:type="dxa"/>
            <w:shd w:val="clear" w:color="auto" w:fill="FFFFFF"/>
            <w:vAlign w:val="center"/>
          </w:tcPr>
          <w:p>
            <w:pPr>
              <w:widowControl/>
              <w:jc w:val="center"/>
              <w:textAlignment w:val="center"/>
              <w:rPr>
                <w:rFonts w:ascii="宋体" w:hAnsi="宋体" w:eastAsia="宋体" w:cs="宋体"/>
                <w:szCs w:val="21"/>
                <w:lang w:bidi="ar"/>
              </w:rPr>
            </w:pPr>
            <w:r>
              <w:rPr>
                <w:rFonts w:hint="eastAsia" w:ascii="宋体" w:hAnsi="宋体" w:eastAsia="宋体" w:cs="宋体"/>
                <w:color w:val="000000"/>
                <w:kern w:val="0"/>
                <w:sz w:val="20"/>
                <w:szCs w:val="20"/>
                <w:lang w:bidi="ar"/>
              </w:rPr>
              <w:t xml:space="preserve">30753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122" w:type="dxa"/>
            <w:shd w:val="clear" w:color="auto" w:fill="auto"/>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96-100周岁</w:t>
            </w:r>
          </w:p>
        </w:tc>
        <w:tc>
          <w:tcPr>
            <w:tcW w:w="3118" w:type="dxa"/>
            <w:shd w:val="clear" w:color="auto" w:fill="FFFFFF"/>
            <w:vAlign w:val="center"/>
          </w:tcPr>
          <w:p>
            <w:pPr>
              <w:widowControl/>
              <w:jc w:val="center"/>
              <w:textAlignment w:val="center"/>
              <w:rPr>
                <w:rFonts w:ascii="宋体" w:hAnsi="宋体" w:eastAsia="宋体" w:cs="宋体"/>
                <w:szCs w:val="21"/>
                <w:lang w:bidi="ar"/>
              </w:rPr>
            </w:pPr>
            <w:r>
              <w:rPr>
                <w:rFonts w:hint="eastAsia" w:ascii="宋体" w:hAnsi="宋体" w:eastAsia="宋体" w:cs="宋体"/>
                <w:color w:val="000000"/>
                <w:kern w:val="0"/>
                <w:sz w:val="20"/>
                <w:szCs w:val="20"/>
                <w:lang w:bidi="ar"/>
              </w:rPr>
              <w:t xml:space="preserve">12735 </w:t>
            </w:r>
          </w:p>
        </w:tc>
        <w:tc>
          <w:tcPr>
            <w:tcW w:w="3119" w:type="dxa"/>
            <w:shd w:val="clear" w:color="auto" w:fill="FFFFFF"/>
            <w:vAlign w:val="center"/>
          </w:tcPr>
          <w:p>
            <w:pPr>
              <w:widowControl/>
              <w:jc w:val="center"/>
              <w:textAlignment w:val="center"/>
              <w:rPr>
                <w:rFonts w:ascii="宋体" w:hAnsi="宋体" w:eastAsia="宋体" w:cs="宋体"/>
                <w:szCs w:val="21"/>
                <w:lang w:bidi="ar"/>
              </w:rPr>
            </w:pPr>
            <w:r>
              <w:rPr>
                <w:rFonts w:hint="eastAsia" w:ascii="宋体" w:hAnsi="宋体" w:eastAsia="宋体" w:cs="宋体"/>
                <w:color w:val="000000"/>
                <w:kern w:val="0"/>
                <w:sz w:val="20"/>
                <w:szCs w:val="20"/>
                <w:lang w:bidi="ar"/>
              </w:rPr>
              <w:t xml:space="preserve">38146 </w:t>
            </w:r>
          </w:p>
        </w:tc>
      </w:tr>
    </w:tbl>
    <w:p>
      <w:pPr>
        <w:adjustRightInd w:val="0"/>
        <w:snapToGrid w:val="0"/>
        <w:spacing w:line="360" w:lineRule="auto"/>
        <w:rPr>
          <w:rFonts w:ascii="宋体" w:hAnsi="宋体" w:eastAsia="宋体" w:cs="宋体"/>
          <w:szCs w:val="21"/>
        </w:rPr>
      </w:pPr>
      <w:r>
        <w:rPr>
          <w:rFonts w:hint="eastAsia" w:ascii="宋体" w:hAnsi="宋体" w:eastAsia="宋体" w:cs="宋体"/>
          <w:szCs w:val="21"/>
        </w:rPr>
        <w:t>注：</w:t>
      </w:r>
      <w:r>
        <w:rPr>
          <w:rFonts w:ascii="宋体" w:hAnsi="宋体" w:eastAsia="宋体" w:cs="宋体"/>
          <w:szCs w:val="21"/>
        </w:rPr>
        <w:t>0周岁指出生满30日且已健康出院。</w:t>
      </w:r>
    </w:p>
    <w:p>
      <w:pPr>
        <w:adjustRightInd w:val="0"/>
        <w:snapToGrid w:val="0"/>
        <w:spacing w:line="360" w:lineRule="auto"/>
        <w:ind w:firstLine="420"/>
        <w:rPr>
          <w:rFonts w:ascii="宋体" w:hAnsi="宋体" w:eastAsia="宋体" w:cs="宋体"/>
          <w:szCs w:val="21"/>
        </w:rPr>
      </w:pPr>
      <w:r>
        <w:rPr>
          <w:rFonts w:hint="eastAsia" w:ascii="宋体" w:hAnsi="宋体" w:eastAsia="宋体" w:cs="宋体"/>
          <w:szCs w:val="21"/>
        </w:rPr>
        <w:t>2、续年保险费（单位：元）</w:t>
      </w:r>
    </w:p>
    <w:tbl>
      <w:tblPr>
        <w:tblStyle w:val="8"/>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3118"/>
        <w:gridCol w:w="3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2122" w:type="dxa"/>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年龄</w:t>
            </w:r>
          </w:p>
        </w:tc>
        <w:tc>
          <w:tcPr>
            <w:tcW w:w="3118" w:type="dxa"/>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有社保</w:t>
            </w:r>
          </w:p>
        </w:tc>
        <w:tc>
          <w:tcPr>
            <w:tcW w:w="3119" w:type="dxa"/>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无社保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2122" w:type="dxa"/>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0-4周岁</w:t>
            </w:r>
          </w:p>
        </w:tc>
        <w:tc>
          <w:tcPr>
            <w:tcW w:w="3118" w:type="dxa"/>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971 </w:t>
            </w:r>
          </w:p>
        </w:tc>
        <w:tc>
          <w:tcPr>
            <w:tcW w:w="3119" w:type="dxa"/>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2365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2122" w:type="dxa"/>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5-10周岁</w:t>
            </w:r>
          </w:p>
        </w:tc>
        <w:tc>
          <w:tcPr>
            <w:tcW w:w="3118" w:type="dxa"/>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433 </w:t>
            </w:r>
          </w:p>
        </w:tc>
        <w:tc>
          <w:tcPr>
            <w:tcW w:w="3119" w:type="dxa"/>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985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2122" w:type="dxa"/>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11-15周岁</w:t>
            </w:r>
          </w:p>
        </w:tc>
        <w:tc>
          <w:tcPr>
            <w:tcW w:w="3118" w:type="dxa"/>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175 </w:t>
            </w:r>
          </w:p>
        </w:tc>
        <w:tc>
          <w:tcPr>
            <w:tcW w:w="3119" w:type="dxa"/>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428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2122" w:type="dxa"/>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16-20周岁</w:t>
            </w:r>
          </w:p>
        </w:tc>
        <w:tc>
          <w:tcPr>
            <w:tcW w:w="3118" w:type="dxa"/>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213 </w:t>
            </w:r>
          </w:p>
        </w:tc>
        <w:tc>
          <w:tcPr>
            <w:tcW w:w="3119" w:type="dxa"/>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488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2122" w:type="dxa"/>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21-25周岁</w:t>
            </w:r>
          </w:p>
        </w:tc>
        <w:tc>
          <w:tcPr>
            <w:tcW w:w="3118" w:type="dxa"/>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289 </w:t>
            </w:r>
          </w:p>
        </w:tc>
        <w:tc>
          <w:tcPr>
            <w:tcW w:w="3119" w:type="dxa"/>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699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2122" w:type="dxa"/>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26-30周岁</w:t>
            </w:r>
          </w:p>
        </w:tc>
        <w:tc>
          <w:tcPr>
            <w:tcW w:w="3118" w:type="dxa"/>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366 </w:t>
            </w:r>
          </w:p>
        </w:tc>
        <w:tc>
          <w:tcPr>
            <w:tcW w:w="3119" w:type="dxa"/>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922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2122" w:type="dxa"/>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31-35周岁</w:t>
            </w:r>
          </w:p>
        </w:tc>
        <w:tc>
          <w:tcPr>
            <w:tcW w:w="3118" w:type="dxa"/>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480 </w:t>
            </w:r>
          </w:p>
        </w:tc>
        <w:tc>
          <w:tcPr>
            <w:tcW w:w="3119" w:type="dxa"/>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1326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2122" w:type="dxa"/>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36-40周岁</w:t>
            </w:r>
          </w:p>
        </w:tc>
        <w:tc>
          <w:tcPr>
            <w:tcW w:w="3118" w:type="dxa"/>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589 </w:t>
            </w:r>
          </w:p>
        </w:tc>
        <w:tc>
          <w:tcPr>
            <w:tcW w:w="3119" w:type="dxa"/>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1802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2122" w:type="dxa"/>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41-45周岁</w:t>
            </w:r>
          </w:p>
        </w:tc>
        <w:tc>
          <w:tcPr>
            <w:tcW w:w="3118" w:type="dxa"/>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655 </w:t>
            </w:r>
          </w:p>
        </w:tc>
        <w:tc>
          <w:tcPr>
            <w:tcW w:w="3119" w:type="dxa"/>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2337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2122" w:type="dxa"/>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46-50周岁</w:t>
            </w:r>
          </w:p>
        </w:tc>
        <w:tc>
          <w:tcPr>
            <w:tcW w:w="3118" w:type="dxa"/>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962 </w:t>
            </w:r>
          </w:p>
        </w:tc>
        <w:tc>
          <w:tcPr>
            <w:tcW w:w="3119" w:type="dxa"/>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3465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2122" w:type="dxa"/>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51-55周岁</w:t>
            </w:r>
          </w:p>
        </w:tc>
        <w:tc>
          <w:tcPr>
            <w:tcW w:w="3118" w:type="dxa"/>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1201 </w:t>
            </w:r>
          </w:p>
        </w:tc>
        <w:tc>
          <w:tcPr>
            <w:tcW w:w="3119" w:type="dxa"/>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4733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2122" w:type="dxa"/>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56-60周岁</w:t>
            </w:r>
          </w:p>
        </w:tc>
        <w:tc>
          <w:tcPr>
            <w:tcW w:w="3118" w:type="dxa"/>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1526 </w:t>
            </w:r>
          </w:p>
        </w:tc>
        <w:tc>
          <w:tcPr>
            <w:tcW w:w="3119" w:type="dxa"/>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5632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2122" w:type="dxa"/>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61-65周岁</w:t>
            </w:r>
          </w:p>
        </w:tc>
        <w:tc>
          <w:tcPr>
            <w:tcW w:w="3118" w:type="dxa"/>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2535 </w:t>
            </w:r>
          </w:p>
        </w:tc>
        <w:tc>
          <w:tcPr>
            <w:tcW w:w="3119" w:type="dxa"/>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9036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2122" w:type="dxa"/>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66-70周岁</w:t>
            </w:r>
          </w:p>
        </w:tc>
        <w:tc>
          <w:tcPr>
            <w:tcW w:w="3118" w:type="dxa"/>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3628 </w:t>
            </w:r>
          </w:p>
        </w:tc>
        <w:tc>
          <w:tcPr>
            <w:tcW w:w="3119" w:type="dxa"/>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12478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2122" w:type="dxa"/>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71-75周岁</w:t>
            </w:r>
          </w:p>
        </w:tc>
        <w:tc>
          <w:tcPr>
            <w:tcW w:w="3118" w:type="dxa"/>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4613 </w:t>
            </w:r>
          </w:p>
        </w:tc>
        <w:tc>
          <w:tcPr>
            <w:tcW w:w="3119" w:type="dxa"/>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15867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2122" w:type="dxa"/>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76-80周岁</w:t>
            </w:r>
          </w:p>
        </w:tc>
        <w:tc>
          <w:tcPr>
            <w:tcW w:w="3118" w:type="dxa"/>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5880 </w:t>
            </w:r>
          </w:p>
        </w:tc>
        <w:tc>
          <w:tcPr>
            <w:tcW w:w="3119" w:type="dxa"/>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19679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2122" w:type="dxa"/>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81-85周岁</w:t>
            </w:r>
          </w:p>
        </w:tc>
        <w:tc>
          <w:tcPr>
            <w:tcW w:w="3118" w:type="dxa"/>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7504 </w:t>
            </w:r>
          </w:p>
        </w:tc>
        <w:tc>
          <w:tcPr>
            <w:tcW w:w="3119" w:type="dxa"/>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24420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2122" w:type="dxa"/>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86-90周岁</w:t>
            </w:r>
          </w:p>
        </w:tc>
        <w:tc>
          <w:tcPr>
            <w:tcW w:w="3118" w:type="dxa"/>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9581 </w:t>
            </w:r>
          </w:p>
        </w:tc>
        <w:tc>
          <w:tcPr>
            <w:tcW w:w="3119" w:type="dxa"/>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30300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2122" w:type="dxa"/>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91-95周岁</w:t>
            </w:r>
          </w:p>
        </w:tc>
        <w:tc>
          <w:tcPr>
            <w:tcW w:w="3118" w:type="dxa"/>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12212 </w:t>
            </w:r>
          </w:p>
        </w:tc>
        <w:tc>
          <w:tcPr>
            <w:tcW w:w="3119" w:type="dxa"/>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37587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2122" w:type="dxa"/>
            <w:vAlign w:val="center"/>
          </w:tcPr>
          <w:p>
            <w:pPr>
              <w:adjustRightInd w:val="0"/>
              <w:snapToGrid w:val="0"/>
              <w:spacing w:line="360" w:lineRule="auto"/>
              <w:jc w:val="center"/>
              <w:rPr>
                <w:rFonts w:ascii="宋体" w:hAnsi="宋体" w:eastAsia="宋体" w:cs="宋体"/>
                <w:szCs w:val="21"/>
              </w:rPr>
            </w:pPr>
            <w:r>
              <w:rPr>
                <w:rFonts w:hint="eastAsia" w:ascii="宋体" w:hAnsi="宋体" w:eastAsia="宋体" w:cs="宋体"/>
                <w:szCs w:val="21"/>
              </w:rPr>
              <w:t>96-100周岁</w:t>
            </w:r>
          </w:p>
        </w:tc>
        <w:tc>
          <w:tcPr>
            <w:tcW w:w="3118" w:type="dxa"/>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15565 </w:t>
            </w:r>
          </w:p>
        </w:tc>
        <w:tc>
          <w:tcPr>
            <w:tcW w:w="3119" w:type="dxa"/>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46623 </w:t>
            </w:r>
          </w:p>
        </w:tc>
      </w:tr>
    </w:tbl>
    <w:p>
      <w:pPr>
        <w:adjustRightInd w:val="0"/>
        <w:snapToGrid w:val="0"/>
        <w:spacing w:line="360" w:lineRule="auto"/>
        <w:rPr>
          <w:rFonts w:ascii="宋体" w:hAnsi="宋体" w:eastAsia="宋体" w:cs="宋体"/>
          <w:szCs w:val="21"/>
        </w:rPr>
      </w:pPr>
      <w:r>
        <w:rPr>
          <w:rFonts w:hint="eastAsia" w:ascii="宋体" w:hAnsi="宋体" w:eastAsia="宋体" w:cs="宋体"/>
          <w:szCs w:val="21"/>
        </w:rPr>
        <w:t>注：</w:t>
      </w:r>
      <w:r>
        <w:rPr>
          <w:rFonts w:ascii="宋体" w:hAnsi="宋体" w:eastAsia="宋体" w:cs="宋体"/>
          <w:szCs w:val="21"/>
        </w:rPr>
        <w:t>0周岁指出生满30日且已健康出院。</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s="宋体"/>
          <w:b/>
          <w:bCs/>
          <w:szCs w:val="21"/>
        </w:rPr>
      </w:pPr>
      <w:r>
        <w:rPr>
          <w:rFonts w:hint="eastAsia" w:ascii="宋体" w:hAnsi="宋体" w:eastAsia="宋体" w:cs="宋体"/>
          <w:b/>
          <w:bCs/>
          <w:szCs w:val="21"/>
        </w:rPr>
        <w:t>三、调整系数</w:t>
      </w:r>
    </w:p>
    <w:p>
      <w:pPr>
        <w:spacing w:line="312" w:lineRule="auto"/>
        <w:ind w:firstLine="420" w:firstLineChars="200"/>
        <w:rPr>
          <w:rFonts w:ascii="宋体" w:hAnsi="宋体" w:eastAsia="宋体" w:cs="宋体"/>
        </w:rPr>
      </w:pPr>
      <w:r>
        <w:rPr>
          <w:rFonts w:hint="eastAsia" w:ascii="宋体" w:hAnsi="宋体" w:eastAsia="宋体" w:cs="宋体"/>
        </w:rPr>
        <w:t>1、规模调整系数：按渠道年度投保人数规模，进行划分。</w:t>
      </w:r>
    </w:p>
    <w:tbl>
      <w:tblPr>
        <w:tblStyle w:val="7"/>
        <w:tblW w:w="4680" w:type="dxa"/>
        <w:jc w:val="center"/>
        <w:tblLayout w:type="fixed"/>
        <w:tblCellMar>
          <w:top w:w="0" w:type="dxa"/>
          <w:left w:w="108" w:type="dxa"/>
          <w:bottom w:w="0" w:type="dxa"/>
          <w:right w:w="108" w:type="dxa"/>
        </w:tblCellMar>
      </w:tblPr>
      <w:tblGrid>
        <w:gridCol w:w="3080"/>
        <w:gridCol w:w="1600"/>
      </w:tblGrid>
      <w:tr>
        <w:tblPrEx>
          <w:tblCellMar>
            <w:top w:w="0" w:type="dxa"/>
            <w:left w:w="108" w:type="dxa"/>
            <w:bottom w:w="0" w:type="dxa"/>
            <w:right w:w="108" w:type="dxa"/>
          </w:tblCellMar>
        </w:tblPrEx>
        <w:trPr>
          <w:trHeight w:val="300" w:hRule="atLeast"/>
          <w:jc w:val="center"/>
        </w:trPr>
        <w:tc>
          <w:tcPr>
            <w:tcW w:w="308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宋体"/>
              </w:rPr>
            </w:pPr>
            <w:r>
              <w:rPr>
                <w:rFonts w:hint="eastAsia" w:ascii="宋体" w:hAnsi="宋体" w:eastAsia="宋体" w:cs="宋体"/>
              </w:rPr>
              <w:t>年度投保人数（N人）</w:t>
            </w:r>
          </w:p>
        </w:tc>
        <w:tc>
          <w:tcPr>
            <w:tcW w:w="1600" w:type="dxa"/>
            <w:tcBorders>
              <w:top w:val="single" w:color="auto" w:sz="4" w:space="0"/>
              <w:left w:val="nil"/>
              <w:bottom w:val="single" w:color="auto" w:sz="4" w:space="0"/>
              <w:right w:val="single" w:color="auto" w:sz="4" w:space="0"/>
            </w:tcBorders>
            <w:vAlign w:val="center"/>
          </w:tcPr>
          <w:p>
            <w:pPr>
              <w:widowControl/>
              <w:spacing w:line="312" w:lineRule="auto"/>
              <w:jc w:val="center"/>
              <w:rPr>
                <w:rFonts w:ascii="宋体" w:hAnsi="宋体" w:eastAsia="宋体" w:cs="宋体"/>
              </w:rPr>
            </w:pPr>
            <w:r>
              <w:rPr>
                <w:rFonts w:hint="eastAsia" w:ascii="宋体" w:hAnsi="宋体" w:eastAsia="宋体" w:cs="宋体"/>
              </w:rPr>
              <w:t>调整系数</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宋体"/>
              </w:rPr>
            </w:pPr>
            <w:r>
              <w:rPr>
                <w:rFonts w:hint="eastAsia" w:ascii="宋体" w:hAnsi="宋体" w:eastAsia="宋体" w:cs="宋体"/>
              </w:rPr>
              <w:t>N&gt;20000</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ascii="宋体" w:hAnsi="宋体" w:eastAsia="宋体" w:cs="宋体"/>
              </w:rPr>
            </w:pPr>
            <w:r>
              <w:rPr>
                <w:rFonts w:hint="eastAsia" w:ascii="宋体" w:hAnsi="宋体" w:eastAsia="宋体" w:cs="宋体"/>
              </w:rPr>
              <w:t>[0.6,0.7)</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宋体"/>
              </w:rPr>
            </w:pPr>
            <w:r>
              <w:rPr>
                <w:rFonts w:hint="eastAsia" w:ascii="宋体" w:hAnsi="宋体" w:eastAsia="宋体" w:cs="宋体"/>
              </w:rPr>
              <w:t>10000&lt;N≤20000</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ascii="宋体" w:hAnsi="宋体" w:eastAsia="宋体" w:cs="宋体"/>
              </w:rPr>
            </w:pPr>
            <w:r>
              <w:rPr>
                <w:rFonts w:hint="eastAsia" w:ascii="宋体" w:hAnsi="宋体" w:eastAsia="宋体" w:cs="宋体"/>
              </w:rPr>
              <w:t>[0.7,0.9)</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宋体"/>
              </w:rPr>
            </w:pPr>
            <w:r>
              <w:rPr>
                <w:rFonts w:hint="eastAsia" w:ascii="宋体" w:hAnsi="宋体" w:eastAsia="宋体" w:cs="宋体"/>
              </w:rPr>
              <w:t>5000&lt;N≤10000</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ascii="宋体" w:hAnsi="宋体" w:eastAsia="宋体" w:cs="宋体"/>
              </w:rPr>
            </w:pPr>
            <w:r>
              <w:rPr>
                <w:rFonts w:hint="eastAsia" w:ascii="宋体" w:hAnsi="宋体" w:eastAsia="宋体" w:cs="宋体"/>
              </w:rPr>
              <w:t>[0.9,1.1)</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宋体"/>
              </w:rPr>
            </w:pPr>
            <w:r>
              <w:rPr>
                <w:rFonts w:hint="eastAsia" w:ascii="宋体" w:hAnsi="宋体" w:eastAsia="宋体" w:cs="宋体"/>
              </w:rPr>
              <w:t>N≤5000</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ascii="宋体" w:hAnsi="宋体" w:eastAsia="宋体" w:cs="宋体"/>
              </w:rPr>
            </w:pPr>
            <w:r>
              <w:rPr>
                <w:rFonts w:hint="eastAsia" w:ascii="宋体" w:hAnsi="宋体" w:eastAsia="宋体" w:cs="宋体"/>
              </w:rPr>
              <w:t>[1.1,1.5]</w:t>
            </w:r>
          </w:p>
        </w:tc>
      </w:tr>
    </w:tbl>
    <w:p>
      <w:pPr>
        <w:spacing w:line="312" w:lineRule="auto"/>
        <w:ind w:firstLine="420" w:firstLineChars="200"/>
        <w:rPr>
          <w:rFonts w:ascii="宋体" w:hAnsi="宋体" w:eastAsia="宋体" w:cs="宋体"/>
        </w:rPr>
      </w:pPr>
    </w:p>
    <w:p>
      <w:pPr>
        <w:spacing w:line="312" w:lineRule="auto"/>
        <w:ind w:firstLine="420" w:firstLineChars="200"/>
        <w:rPr>
          <w:rFonts w:ascii="宋体" w:hAnsi="宋体" w:eastAsia="宋体" w:cs="宋体"/>
        </w:rPr>
      </w:pPr>
      <w:r>
        <w:rPr>
          <w:rFonts w:hint="eastAsia" w:ascii="宋体" w:hAnsi="宋体" w:eastAsia="宋体" w:cs="宋体"/>
        </w:rPr>
        <w:t>2、历史赔付率调整系数：按渠道近三年赔付率情况，进行划分。</w:t>
      </w:r>
    </w:p>
    <w:tbl>
      <w:tblPr>
        <w:tblStyle w:val="7"/>
        <w:tblW w:w="4680" w:type="dxa"/>
        <w:jc w:val="center"/>
        <w:tblLayout w:type="fixed"/>
        <w:tblCellMar>
          <w:top w:w="0" w:type="dxa"/>
          <w:left w:w="108" w:type="dxa"/>
          <w:bottom w:w="0" w:type="dxa"/>
          <w:right w:w="108" w:type="dxa"/>
        </w:tblCellMar>
      </w:tblPr>
      <w:tblGrid>
        <w:gridCol w:w="3080"/>
        <w:gridCol w:w="1600"/>
      </w:tblGrid>
      <w:tr>
        <w:tblPrEx>
          <w:tblCellMar>
            <w:top w:w="0" w:type="dxa"/>
            <w:left w:w="108" w:type="dxa"/>
            <w:bottom w:w="0" w:type="dxa"/>
            <w:right w:w="108" w:type="dxa"/>
          </w:tblCellMar>
        </w:tblPrEx>
        <w:trPr>
          <w:trHeight w:val="300" w:hRule="atLeast"/>
          <w:jc w:val="center"/>
        </w:trPr>
        <w:tc>
          <w:tcPr>
            <w:tcW w:w="308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宋体"/>
              </w:rPr>
            </w:pPr>
            <w:r>
              <w:rPr>
                <w:rFonts w:hint="eastAsia" w:ascii="宋体" w:hAnsi="宋体" w:eastAsia="宋体" w:cs="宋体"/>
              </w:rPr>
              <w:t>历史赔付率</w:t>
            </w:r>
          </w:p>
        </w:tc>
        <w:tc>
          <w:tcPr>
            <w:tcW w:w="1600" w:type="dxa"/>
            <w:tcBorders>
              <w:top w:val="single" w:color="auto" w:sz="4" w:space="0"/>
              <w:left w:val="nil"/>
              <w:bottom w:val="single" w:color="auto" w:sz="4" w:space="0"/>
              <w:right w:val="single" w:color="auto" w:sz="4" w:space="0"/>
            </w:tcBorders>
            <w:vAlign w:val="center"/>
          </w:tcPr>
          <w:p>
            <w:pPr>
              <w:widowControl/>
              <w:spacing w:line="312" w:lineRule="auto"/>
              <w:jc w:val="center"/>
              <w:rPr>
                <w:rFonts w:ascii="宋体" w:hAnsi="宋体" w:eastAsia="宋体" w:cs="宋体"/>
              </w:rPr>
            </w:pPr>
            <w:r>
              <w:rPr>
                <w:rFonts w:hint="eastAsia" w:ascii="宋体" w:hAnsi="宋体" w:eastAsia="宋体" w:cs="宋体"/>
              </w:rPr>
              <w:t>调整系数</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宋体"/>
              </w:rPr>
            </w:pPr>
            <w:r>
              <w:rPr>
                <w:rFonts w:hint="eastAsia" w:ascii="宋体" w:hAnsi="宋体" w:eastAsia="宋体" w:cs="宋体"/>
              </w:rPr>
              <w:t>0%-30%（含）</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ascii="宋体" w:hAnsi="宋体" w:eastAsia="宋体" w:cs="宋体"/>
              </w:rPr>
            </w:pPr>
            <w:r>
              <w:rPr>
                <w:rFonts w:hint="eastAsia" w:ascii="宋体" w:hAnsi="宋体" w:eastAsia="宋体" w:cs="宋体"/>
              </w:rPr>
              <w:t>[0.5,0.7]</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宋体"/>
              </w:rPr>
            </w:pPr>
            <w:r>
              <w:rPr>
                <w:rFonts w:hint="eastAsia" w:ascii="宋体" w:hAnsi="宋体" w:eastAsia="宋体" w:cs="宋体"/>
              </w:rPr>
              <w:t>30%-50%（含）</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ascii="宋体" w:hAnsi="宋体" w:eastAsia="宋体" w:cs="宋体"/>
              </w:rPr>
            </w:pPr>
            <w:r>
              <w:rPr>
                <w:rFonts w:hint="eastAsia" w:ascii="宋体" w:hAnsi="宋体" w:eastAsia="宋体" w:cs="宋体"/>
              </w:rPr>
              <w:t>(0.7,0.9]</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宋体"/>
              </w:rPr>
            </w:pPr>
            <w:r>
              <w:rPr>
                <w:rFonts w:hint="eastAsia" w:ascii="宋体" w:hAnsi="宋体" w:eastAsia="宋体" w:cs="宋体"/>
              </w:rPr>
              <w:t>50%-80%（含）</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ascii="宋体" w:hAnsi="宋体" w:eastAsia="宋体" w:cs="宋体"/>
              </w:rPr>
            </w:pPr>
            <w:r>
              <w:rPr>
                <w:rFonts w:hint="eastAsia" w:ascii="宋体" w:hAnsi="宋体" w:eastAsia="宋体" w:cs="宋体"/>
              </w:rPr>
              <w:t>(0.9,1.1]</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宋体"/>
              </w:rPr>
            </w:pPr>
            <w:r>
              <w:rPr>
                <w:rFonts w:hint="eastAsia" w:ascii="宋体" w:hAnsi="宋体" w:eastAsia="宋体" w:cs="宋体"/>
              </w:rPr>
              <w:t>80%以上</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ascii="宋体" w:hAnsi="宋体" w:eastAsia="宋体" w:cs="宋体"/>
              </w:rPr>
            </w:pPr>
            <w:r>
              <w:rPr>
                <w:rFonts w:hint="eastAsia" w:ascii="宋体" w:hAnsi="宋体" w:eastAsia="宋体" w:cs="宋体"/>
              </w:rPr>
              <w:t>(1.1,1.5]</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宋体"/>
              </w:rPr>
            </w:pPr>
            <w:r>
              <w:rPr>
                <w:rFonts w:hint="eastAsia" w:ascii="宋体" w:hAnsi="宋体" w:eastAsia="宋体" w:cs="宋体"/>
              </w:rPr>
              <w:t>无历史赔付率</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ascii="宋体" w:hAnsi="宋体" w:eastAsia="宋体" w:cs="宋体"/>
              </w:rPr>
            </w:pPr>
            <w:r>
              <w:rPr>
                <w:rFonts w:hint="eastAsia" w:ascii="宋体" w:hAnsi="宋体" w:eastAsia="宋体" w:cs="宋体"/>
              </w:rPr>
              <w:t>1.0</w:t>
            </w:r>
          </w:p>
        </w:tc>
      </w:tr>
    </w:tbl>
    <w:p>
      <w:pPr>
        <w:ind w:firstLine="420" w:firstLineChars="200"/>
        <w:rPr>
          <w:rFonts w:ascii="宋体" w:hAnsi="宋体" w:eastAsia="宋体" w:cs="宋体"/>
          <w:bCs/>
          <w:color w:val="000000"/>
          <w:szCs w:val="21"/>
        </w:rPr>
      </w:pPr>
    </w:p>
    <w:p>
      <w:pPr>
        <w:ind w:firstLine="420" w:firstLineChars="200"/>
        <w:rPr>
          <w:rFonts w:ascii="宋体" w:hAnsi="宋体" w:eastAsia="宋体" w:cs="宋体"/>
          <w:bCs/>
          <w:color w:val="000000"/>
          <w:szCs w:val="21"/>
          <w:lang w:bidi="ar"/>
        </w:rPr>
      </w:pPr>
      <w:r>
        <w:rPr>
          <w:rFonts w:hint="eastAsia" w:ascii="宋体" w:hAnsi="宋体" w:eastAsia="宋体" w:cs="宋体"/>
          <w:bCs/>
          <w:color w:val="000000"/>
          <w:szCs w:val="21"/>
        </w:rPr>
        <w:t>3、缴费方式调整系数：按保单约定的缴费方式，进行划分。</w:t>
      </w:r>
    </w:p>
    <w:tbl>
      <w:tblPr>
        <w:tblStyle w:val="7"/>
        <w:tblW w:w="5700" w:type="dxa"/>
        <w:tblInd w:w="13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0"/>
        <w:gridCol w:w="2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jc w:val="center"/>
              <w:rPr>
                <w:rFonts w:ascii="宋体" w:hAnsi="宋体" w:eastAsia="宋体" w:cs="宋体"/>
                <w:bCs/>
                <w:color w:val="000000"/>
                <w:szCs w:val="21"/>
                <w:lang w:bidi="ar"/>
              </w:rPr>
            </w:pPr>
            <w:r>
              <w:rPr>
                <w:rFonts w:hint="eastAsia" w:ascii="宋体" w:hAnsi="宋体" w:eastAsia="宋体" w:cs="宋体"/>
                <w:bCs/>
                <w:color w:val="000000"/>
                <w:szCs w:val="21"/>
                <w:lang w:bidi="ar"/>
              </w:rPr>
              <w:t>缴费方式</w:t>
            </w:r>
          </w:p>
        </w:tc>
        <w:tc>
          <w:tcPr>
            <w:tcW w:w="2850" w:type="dxa"/>
          </w:tcPr>
          <w:p>
            <w:pPr>
              <w:jc w:val="center"/>
              <w:rPr>
                <w:rFonts w:ascii="宋体" w:hAnsi="宋体" w:eastAsia="宋体" w:cs="宋体"/>
                <w:bCs/>
                <w:color w:val="000000"/>
                <w:szCs w:val="21"/>
                <w:lang w:bidi="ar"/>
              </w:rPr>
            </w:pPr>
            <w:r>
              <w:rPr>
                <w:rFonts w:hint="eastAsia" w:ascii="宋体" w:hAnsi="宋体" w:eastAsia="宋体" w:cs="宋体"/>
                <w:bCs/>
                <w:color w:val="000000"/>
                <w:szCs w:val="21"/>
                <w:lang w:bidi="ar"/>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jc w:val="center"/>
              <w:rPr>
                <w:rFonts w:ascii="宋体" w:hAnsi="宋体" w:eastAsia="宋体" w:cs="宋体"/>
                <w:bCs/>
                <w:color w:val="000000"/>
                <w:szCs w:val="21"/>
                <w:lang w:bidi="ar"/>
              </w:rPr>
            </w:pPr>
            <w:r>
              <w:rPr>
                <w:rFonts w:hint="eastAsia" w:ascii="宋体" w:hAnsi="宋体" w:eastAsia="宋体" w:cs="宋体"/>
                <w:bCs/>
                <w:color w:val="000000"/>
                <w:szCs w:val="21"/>
                <w:lang w:bidi="ar"/>
              </w:rPr>
              <w:t>按月缴费</w:t>
            </w:r>
          </w:p>
        </w:tc>
        <w:tc>
          <w:tcPr>
            <w:tcW w:w="2850" w:type="dxa"/>
          </w:tcPr>
          <w:p>
            <w:pPr>
              <w:jc w:val="center"/>
              <w:rPr>
                <w:rFonts w:ascii="宋体" w:hAnsi="宋体" w:eastAsia="宋体" w:cs="宋体"/>
                <w:bCs/>
                <w:color w:val="000000"/>
                <w:szCs w:val="21"/>
              </w:rPr>
            </w:pPr>
            <w:r>
              <w:rPr>
                <w:rFonts w:hint="eastAsia" w:ascii="宋体" w:hAnsi="宋体" w:eastAsia="宋体" w:cs="宋体"/>
                <w:bCs/>
                <w:color w:val="000000"/>
                <w:szCs w:val="21"/>
              </w:rPr>
              <w:t>[1.0,1.10]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jc w:val="center"/>
              <w:rPr>
                <w:rFonts w:ascii="宋体" w:hAnsi="宋体" w:eastAsia="宋体" w:cs="宋体"/>
                <w:bCs/>
                <w:color w:val="000000"/>
                <w:szCs w:val="21"/>
                <w:lang w:bidi="ar"/>
              </w:rPr>
            </w:pPr>
            <w:r>
              <w:rPr>
                <w:rFonts w:hint="eastAsia" w:ascii="宋体" w:hAnsi="宋体" w:eastAsia="宋体" w:cs="宋体"/>
                <w:bCs/>
                <w:color w:val="000000"/>
                <w:szCs w:val="21"/>
                <w:lang w:bidi="ar"/>
              </w:rPr>
              <w:t>按季缴费</w:t>
            </w:r>
          </w:p>
        </w:tc>
        <w:tc>
          <w:tcPr>
            <w:tcW w:w="2850" w:type="dxa"/>
          </w:tcPr>
          <w:p>
            <w:pPr>
              <w:jc w:val="center"/>
              <w:rPr>
                <w:rFonts w:ascii="宋体" w:hAnsi="宋体" w:eastAsia="宋体" w:cs="宋体"/>
                <w:bCs/>
                <w:color w:val="000000"/>
                <w:szCs w:val="21"/>
              </w:rPr>
            </w:pPr>
            <w:r>
              <w:rPr>
                <w:rFonts w:hint="eastAsia" w:ascii="宋体" w:hAnsi="宋体" w:eastAsia="宋体" w:cs="宋体"/>
                <w:bCs/>
                <w:color w:val="000000"/>
                <w:szCs w:val="21"/>
              </w:rPr>
              <w:t>[1.0,1.05]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jc w:val="center"/>
              <w:rPr>
                <w:rFonts w:ascii="宋体" w:hAnsi="宋体" w:eastAsia="宋体" w:cs="宋体"/>
                <w:bCs/>
                <w:color w:val="000000"/>
                <w:szCs w:val="21"/>
                <w:lang w:bidi="ar"/>
              </w:rPr>
            </w:pPr>
            <w:r>
              <w:rPr>
                <w:rFonts w:hint="eastAsia" w:ascii="宋体" w:hAnsi="宋体" w:eastAsia="宋体" w:cs="宋体"/>
                <w:bCs/>
                <w:color w:val="000000"/>
                <w:szCs w:val="21"/>
                <w:lang w:bidi="ar"/>
              </w:rPr>
              <w:t>一次性缴清</w:t>
            </w:r>
          </w:p>
        </w:tc>
        <w:tc>
          <w:tcPr>
            <w:tcW w:w="2850" w:type="dxa"/>
          </w:tcPr>
          <w:p>
            <w:pPr>
              <w:jc w:val="center"/>
              <w:rPr>
                <w:rFonts w:ascii="宋体" w:hAnsi="宋体" w:eastAsia="宋体" w:cs="宋体"/>
                <w:bCs/>
                <w:color w:val="000000"/>
                <w:szCs w:val="21"/>
              </w:rPr>
            </w:pPr>
            <w:r>
              <w:rPr>
                <w:rFonts w:hint="eastAsia" w:ascii="宋体" w:hAnsi="宋体" w:eastAsia="宋体" w:cs="宋体"/>
                <w:bCs/>
                <w:color w:val="000000"/>
                <w:szCs w:val="21"/>
              </w:rPr>
              <w:t>[0.95,1.0]</w:t>
            </w:r>
          </w:p>
        </w:tc>
      </w:tr>
    </w:tbl>
    <w:p>
      <w:pPr>
        <w:ind w:firstLine="420" w:firstLineChars="200"/>
        <w:rPr>
          <w:rFonts w:ascii="宋体" w:hAnsi="宋体" w:eastAsia="宋体" w:cs="宋体"/>
          <w:bCs/>
          <w:color w:val="000000"/>
          <w:szCs w:val="21"/>
        </w:rPr>
      </w:pPr>
    </w:p>
    <w:p>
      <w:pPr>
        <w:ind w:firstLine="420" w:firstLineChars="200"/>
        <w:rPr>
          <w:rFonts w:ascii="宋体" w:hAnsi="宋体" w:eastAsia="宋体" w:cs="宋体"/>
          <w:bCs/>
          <w:color w:val="000000"/>
          <w:szCs w:val="21"/>
          <w:lang w:bidi="ar"/>
        </w:rPr>
      </w:pPr>
      <w:r>
        <w:rPr>
          <w:rFonts w:hint="eastAsia" w:ascii="宋体" w:hAnsi="宋体" w:eastAsia="宋体" w:cs="宋体"/>
          <w:bCs/>
          <w:color w:val="000000"/>
          <w:szCs w:val="21"/>
        </w:rPr>
        <w:t>4、免赔额方式调整系数：按保单约定的免赔方式，进行划分。</w:t>
      </w:r>
    </w:p>
    <w:tbl>
      <w:tblPr>
        <w:tblStyle w:val="7"/>
        <w:tblW w:w="5700" w:type="dxa"/>
        <w:tblInd w:w="13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0"/>
        <w:gridCol w:w="2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jc w:val="center"/>
              <w:rPr>
                <w:rFonts w:ascii="宋体" w:hAnsi="宋体" w:eastAsia="宋体" w:cs="宋体"/>
                <w:bCs/>
                <w:color w:val="000000"/>
                <w:szCs w:val="21"/>
                <w:lang w:bidi="ar"/>
              </w:rPr>
            </w:pPr>
            <w:r>
              <w:rPr>
                <w:rFonts w:hint="eastAsia" w:ascii="宋体" w:hAnsi="宋体" w:eastAsia="宋体" w:cs="宋体"/>
                <w:bCs/>
                <w:color w:val="000000"/>
                <w:szCs w:val="21"/>
                <w:lang w:bidi="ar"/>
              </w:rPr>
              <w:t>免赔方式</w:t>
            </w:r>
          </w:p>
        </w:tc>
        <w:tc>
          <w:tcPr>
            <w:tcW w:w="2850" w:type="dxa"/>
          </w:tcPr>
          <w:p>
            <w:pPr>
              <w:jc w:val="center"/>
              <w:rPr>
                <w:rFonts w:ascii="宋体" w:hAnsi="宋体" w:eastAsia="宋体" w:cs="宋体"/>
                <w:bCs/>
                <w:color w:val="000000"/>
                <w:szCs w:val="21"/>
                <w:lang w:bidi="ar"/>
              </w:rPr>
            </w:pPr>
            <w:r>
              <w:rPr>
                <w:rFonts w:hint="eastAsia" w:ascii="宋体" w:hAnsi="宋体" w:eastAsia="宋体" w:cs="宋体"/>
                <w:bCs/>
                <w:color w:val="000000"/>
                <w:szCs w:val="21"/>
                <w:lang w:bidi="ar"/>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vAlign w:val="center"/>
          </w:tcPr>
          <w:p>
            <w:pPr>
              <w:jc w:val="center"/>
              <w:rPr>
                <w:rFonts w:ascii="宋体" w:hAnsi="宋体" w:eastAsia="宋体" w:cs="宋体"/>
                <w:bCs/>
                <w:color w:val="000000"/>
                <w:szCs w:val="21"/>
                <w:lang w:bidi="ar"/>
              </w:rPr>
            </w:pPr>
            <w:r>
              <w:rPr>
                <w:rFonts w:hint="eastAsia" w:ascii="宋体" w:hAnsi="宋体" w:eastAsia="宋体" w:cs="宋体"/>
                <w:bCs/>
                <w:color w:val="000000"/>
                <w:szCs w:val="21"/>
                <w:lang w:bidi="ar"/>
              </w:rPr>
              <w:t>一般医疗保险金10000元免赔，其他责任0免赔</w:t>
            </w:r>
          </w:p>
        </w:tc>
        <w:tc>
          <w:tcPr>
            <w:tcW w:w="2850" w:type="dxa"/>
            <w:vAlign w:val="center"/>
          </w:tcPr>
          <w:p>
            <w:pPr>
              <w:jc w:val="center"/>
              <w:rPr>
                <w:rFonts w:ascii="宋体" w:hAnsi="宋体" w:eastAsia="宋体" w:cs="宋体"/>
                <w:bCs/>
                <w:color w:val="000000"/>
                <w:szCs w:val="21"/>
              </w:rPr>
            </w:pPr>
            <w:r>
              <w:rPr>
                <w:rFonts w:hint="eastAsia" w:ascii="宋体" w:hAnsi="宋体" w:eastAsia="宋体" w:cs="宋体"/>
                <w:bCs/>
                <w:color w:val="000000"/>
                <w:szCs w:val="21"/>
              </w:rPr>
              <w:t>[1.0,1.2]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trPr>
        <w:tc>
          <w:tcPr>
            <w:tcW w:w="2850" w:type="dxa"/>
            <w:vAlign w:val="center"/>
          </w:tcPr>
          <w:p>
            <w:pPr>
              <w:jc w:val="center"/>
              <w:rPr>
                <w:rFonts w:ascii="宋体" w:hAnsi="宋体" w:eastAsia="宋体" w:cs="宋体"/>
                <w:bCs/>
                <w:color w:val="000000"/>
                <w:szCs w:val="21"/>
                <w:lang w:bidi="ar"/>
              </w:rPr>
            </w:pPr>
            <w:r>
              <w:rPr>
                <w:rFonts w:hint="eastAsia" w:ascii="宋体" w:hAnsi="宋体" w:eastAsia="宋体" w:cs="宋体"/>
                <w:bCs/>
                <w:color w:val="000000"/>
                <w:szCs w:val="21"/>
                <w:lang w:bidi="ar"/>
              </w:rPr>
              <w:t>所有责任共享10000元免赔额</w:t>
            </w:r>
          </w:p>
        </w:tc>
        <w:tc>
          <w:tcPr>
            <w:tcW w:w="2850" w:type="dxa"/>
            <w:vAlign w:val="center"/>
          </w:tcPr>
          <w:p>
            <w:pPr>
              <w:jc w:val="center"/>
              <w:rPr>
                <w:rFonts w:ascii="宋体" w:hAnsi="宋体" w:eastAsia="宋体" w:cs="宋体"/>
                <w:bCs/>
                <w:color w:val="000000"/>
                <w:szCs w:val="21"/>
              </w:rPr>
            </w:pPr>
            <w:r>
              <w:rPr>
                <w:rFonts w:hint="eastAsia" w:ascii="宋体" w:hAnsi="宋体" w:eastAsia="宋体" w:cs="宋体"/>
                <w:bCs/>
                <w:color w:val="000000"/>
                <w:szCs w:val="21"/>
              </w:rPr>
              <w:t>[0.9,1.1]</w:t>
            </w:r>
          </w:p>
        </w:tc>
      </w:tr>
    </w:tbl>
    <w:p>
      <w:pPr>
        <w:ind w:firstLine="420" w:firstLineChars="200"/>
        <w:rPr>
          <w:rFonts w:ascii="宋体" w:hAnsi="宋体" w:eastAsia="宋体" w:cs="宋体"/>
          <w:bCs/>
          <w:color w:val="000000"/>
          <w:szCs w:val="21"/>
        </w:rPr>
      </w:pPr>
    </w:p>
    <w:p>
      <w:pPr>
        <w:ind w:firstLine="420" w:firstLineChars="200"/>
        <w:rPr>
          <w:rFonts w:ascii="宋体" w:hAnsi="宋体" w:eastAsia="宋体" w:cs="宋体"/>
          <w:bCs/>
          <w:color w:val="000000"/>
          <w:szCs w:val="21"/>
          <w:lang w:bidi="ar"/>
        </w:rPr>
      </w:pPr>
      <w:r>
        <w:rPr>
          <w:rFonts w:hint="eastAsia" w:ascii="宋体" w:hAnsi="宋体" w:eastAsia="宋体" w:cs="宋体"/>
          <w:bCs/>
          <w:color w:val="000000"/>
          <w:szCs w:val="21"/>
        </w:rPr>
        <w:t>5、赔付比例调整系数：按保单</w:t>
      </w:r>
      <w:r>
        <w:rPr>
          <w:rFonts w:hint="eastAsia" w:ascii="宋体" w:hAnsi="宋体" w:eastAsia="宋体" w:cs="宋体"/>
          <w:bCs/>
          <w:color w:val="000000"/>
          <w:szCs w:val="21"/>
          <w:lang w:val="en-US" w:eastAsia="zh-CN"/>
        </w:rPr>
        <w:t>约定</w:t>
      </w:r>
      <w:r>
        <w:rPr>
          <w:rFonts w:hint="eastAsia" w:ascii="宋体" w:hAnsi="宋体" w:eastAsia="宋体" w:cs="宋体"/>
          <w:bCs/>
          <w:color w:val="000000"/>
          <w:szCs w:val="21"/>
        </w:rPr>
        <w:t>的赔付比例，进行划分。</w:t>
      </w:r>
    </w:p>
    <w:tbl>
      <w:tblPr>
        <w:tblStyle w:val="7"/>
        <w:tblW w:w="5700" w:type="dxa"/>
        <w:tblInd w:w="13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0"/>
        <w:gridCol w:w="2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jc w:val="center"/>
              <w:rPr>
                <w:rFonts w:ascii="宋体" w:hAnsi="宋体" w:eastAsia="宋体" w:cs="宋体"/>
                <w:bCs/>
                <w:color w:val="000000"/>
                <w:szCs w:val="21"/>
                <w:lang w:bidi="ar"/>
              </w:rPr>
            </w:pPr>
            <w:r>
              <w:rPr>
                <w:rFonts w:hint="eastAsia" w:ascii="宋体" w:hAnsi="宋体" w:eastAsia="宋体" w:cs="宋体"/>
                <w:bCs/>
                <w:color w:val="000000"/>
                <w:szCs w:val="21"/>
              </w:rPr>
              <w:t>赔付比例</w:t>
            </w:r>
          </w:p>
        </w:tc>
        <w:tc>
          <w:tcPr>
            <w:tcW w:w="2850" w:type="dxa"/>
          </w:tcPr>
          <w:p>
            <w:pPr>
              <w:jc w:val="center"/>
              <w:rPr>
                <w:rFonts w:ascii="宋体" w:hAnsi="宋体" w:eastAsia="宋体" w:cs="宋体"/>
                <w:bCs/>
                <w:color w:val="000000"/>
                <w:szCs w:val="21"/>
                <w:lang w:bidi="ar"/>
              </w:rPr>
            </w:pPr>
            <w:r>
              <w:rPr>
                <w:rFonts w:hint="eastAsia" w:ascii="宋体" w:hAnsi="宋体" w:eastAsia="宋体" w:cs="宋体"/>
                <w:bCs/>
                <w:color w:val="000000"/>
                <w:szCs w:val="21"/>
                <w:lang w:bidi="ar"/>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jc w:val="center"/>
              <w:rPr>
                <w:rFonts w:ascii="宋体" w:hAnsi="宋体" w:eastAsia="宋体" w:cs="宋体"/>
                <w:bCs/>
                <w:color w:val="000000"/>
                <w:szCs w:val="21"/>
                <w:lang w:bidi="ar"/>
              </w:rPr>
            </w:pPr>
            <w:r>
              <w:rPr>
                <w:rFonts w:hint="eastAsia" w:ascii="宋体" w:hAnsi="宋体" w:eastAsia="宋体" w:cs="宋体"/>
                <w:bCs/>
                <w:color w:val="000000"/>
                <w:szCs w:val="21"/>
                <w:lang w:bidi="ar"/>
              </w:rPr>
              <w:t>方案一</w:t>
            </w:r>
          </w:p>
        </w:tc>
        <w:tc>
          <w:tcPr>
            <w:tcW w:w="2850" w:type="dxa"/>
          </w:tcPr>
          <w:p>
            <w:pPr>
              <w:jc w:val="center"/>
              <w:rPr>
                <w:rFonts w:ascii="宋体" w:hAnsi="宋体" w:eastAsia="宋体" w:cs="宋体"/>
                <w:bCs/>
                <w:color w:val="000000"/>
                <w:szCs w:val="21"/>
              </w:rPr>
            </w:pPr>
            <w:r>
              <w:rPr>
                <w:rFonts w:hint="eastAsia" w:ascii="宋体" w:hAnsi="宋体" w:eastAsia="宋体" w:cs="宋体"/>
                <w:bCs/>
                <w:color w:val="000000"/>
                <w:szCs w:val="21"/>
              </w:rPr>
              <w:t>[1.0,1.2]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jc w:val="center"/>
              <w:rPr>
                <w:rFonts w:ascii="宋体" w:hAnsi="宋体" w:eastAsia="宋体" w:cs="宋体"/>
                <w:bCs/>
                <w:color w:val="000000"/>
                <w:szCs w:val="21"/>
                <w:lang w:bidi="ar"/>
              </w:rPr>
            </w:pPr>
            <w:r>
              <w:rPr>
                <w:rFonts w:hint="eastAsia" w:ascii="宋体" w:hAnsi="宋体" w:eastAsia="宋体" w:cs="宋体"/>
                <w:bCs/>
                <w:color w:val="000000"/>
                <w:szCs w:val="21"/>
                <w:lang w:bidi="ar"/>
              </w:rPr>
              <w:t>方案二</w:t>
            </w:r>
          </w:p>
        </w:tc>
        <w:tc>
          <w:tcPr>
            <w:tcW w:w="2850" w:type="dxa"/>
          </w:tcPr>
          <w:p>
            <w:pPr>
              <w:jc w:val="center"/>
              <w:rPr>
                <w:rFonts w:ascii="宋体" w:hAnsi="宋体" w:eastAsia="宋体" w:cs="宋体"/>
                <w:bCs/>
                <w:color w:val="000000"/>
                <w:szCs w:val="21"/>
              </w:rPr>
            </w:pPr>
            <w:r>
              <w:rPr>
                <w:rFonts w:hint="eastAsia" w:ascii="宋体" w:hAnsi="宋体" w:eastAsia="宋体" w:cs="宋体"/>
                <w:bCs/>
                <w:color w:val="000000"/>
                <w:szCs w:val="21"/>
              </w:rPr>
              <w:t>[0.9,1.1]</w:t>
            </w:r>
          </w:p>
        </w:tc>
      </w:tr>
    </w:tbl>
    <w:p>
      <w:pPr>
        <w:ind w:firstLine="420" w:firstLineChars="200"/>
        <w:rPr>
          <w:rFonts w:ascii="宋体" w:hAnsi="宋体" w:eastAsia="宋体" w:cs="宋体"/>
          <w:bCs/>
          <w:color w:val="000000"/>
          <w:szCs w:val="21"/>
        </w:rPr>
      </w:pPr>
    </w:p>
    <w:p>
      <w:pPr>
        <w:ind w:firstLine="420" w:firstLineChars="200"/>
        <w:rPr>
          <w:rFonts w:ascii="宋体" w:hAnsi="宋体" w:eastAsia="宋体" w:cs="宋体"/>
          <w:bCs/>
          <w:color w:val="000000"/>
          <w:szCs w:val="21"/>
          <w:lang w:bidi="ar"/>
        </w:rPr>
      </w:pPr>
      <w:r>
        <w:rPr>
          <w:rFonts w:hint="eastAsia" w:ascii="宋体" w:hAnsi="宋体" w:eastAsia="宋体" w:cs="宋体"/>
          <w:bCs/>
          <w:color w:val="000000"/>
          <w:szCs w:val="21"/>
        </w:rPr>
        <w:t>6、</w:t>
      </w:r>
      <w:r>
        <w:rPr>
          <w:rFonts w:hint="eastAsia" w:ascii="宋体" w:hAnsi="宋体" w:eastAsia="宋体" w:cs="宋体"/>
          <w:bCs/>
          <w:color w:val="000000"/>
          <w:szCs w:val="21"/>
          <w:lang w:val="en-US" w:eastAsia="zh-CN"/>
        </w:rPr>
        <w:t>被保险人健康状况</w:t>
      </w:r>
      <w:r>
        <w:rPr>
          <w:rFonts w:hint="eastAsia" w:ascii="宋体" w:hAnsi="宋体" w:eastAsia="宋体" w:cs="宋体"/>
          <w:bCs/>
          <w:color w:val="000000"/>
          <w:szCs w:val="21"/>
        </w:rPr>
        <w:t>调整系数：按</w:t>
      </w:r>
      <w:r>
        <w:rPr>
          <w:rFonts w:hint="eastAsia" w:ascii="宋体" w:hAnsi="宋体" w:eastAsia="宋体" w:cs="宋体"/>
          <w:bCs/>
          <w:color w:val="000000"/>
          <w:szCs w:val="21"/>
          <w:lang w:val="en-US" w:eastAsia="zh-CN"/>
        </w:rPr>
        <w:t>被保险人的健康状况</w:t>
      </w:r>
      <w:r>
        <w:rPr>
          <w:rFonts w:hint="eastAsia" w:ascii="宋体" w:hAnsi="宋体" w:eastAsia="宋体" w:cs="宋体"/>
          <w:bCs/>
          <w:color w:val="000000"/>
          <w:szCs w:val="21"/>
        </w:rPr>
        <w:t>，进行划分。</w:t>
      </w:r>
    </w:p>
    <w:tbl>
      <w:tblPr>
        <w:tblStyle w:val="7"/>
        <w:tblW w:w="5700" w:type="dxa"/>
        <w:tblInd w:w="13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0"/>
        <w:gridCol w:w="2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jc w:val="center"/>
              <w:rPr>
                <w:rFonts w:hint="default" w:ascii="宋体" w:hAnsi="宋体" w:eastAsia="宋体" w:cs="宋体"/>
                <w:bCs/>
                <w:color w:val="000000"/>
                <w:szCs w:val="21"/>
                <w:lang w:val="en-US" w:eastAsia="zh-CN" w:bidi="ar"/>
              </w:rPr>
            </w:pPr>
            <w:r>
              <w:rPr>
                <w:rFonts w:hint="eastAsia" w:ascii="宋体" w:hAnsi="宋体" w:eastAsia="宋体" w:cs="宋体"/>
                <w:bCs/>
                <w:color w:val="000000"/>
                <w:szCs w:val="21"/>
                <w:lang w:val="en-US" w:eastAsia="zh-CN" w:bidi="ar"/>
              </w:rPr>
              <w:t>被保险人健康状况</w:t>
            </w:r>
          </w:p>
        </w:tc>
        <w:tc>
          <w:tcPr>
            <w:tcW w:w="2850" w:type="dxa"/>
          </w:tcPr>
          <w:p>
            <w:pPr>
              <w:jc w:val="center"/>
              <w:rPr>
                <w:rFonts w:ascii="宋体" w:hAnsi="宋体" w:eastAsia="宋体" w:cs="宋体"/>
                <w:bCs/>
                <w:color w:val="000000"/>
                <w:szCs w:val="21"/>
                <w:lang w:bidi="ar"/>
              </w:rPr>
            </w:pPr>
            <w:r>
              <w:rPr>
                <w:rFonts w:hint="eastAsia" w:ascii="宋体" w:hAnsi="宋体" w:eastAsia="宋体" w:cs="宋体"/>
                <w:bCs/>
                <w:color w:val="000000"/>
                <w:szCs w:val="21"/>
                <w:lang w:bidi="ar"/>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vAlign w:val="center"/>
          </w:tcPr>
          <w:p>
            <w:pPr>
              <w:jc w:val="center"/>
              <w:rPr>
                <w:rFonts w:ascii="宋体" w:hAnsi="宋体" w:eastAsia="宋体" w:cs="宋体"/>
                <w:bCs/>
                <w:color w:val="000000"/>
                <w:szCs w:val="21"/>
                <w:lang w:bidi="ar"/>
              </w:rPr>
            </w:pPr>
            <w:r>
              <w:rPr>
                <w:rFonts w:hint="eastAsia" w:ascii="宋体" w:hAnsi="宋体" w:eastAsia="宋体" w:cs="宋体"/>
                <w:bCs/>
                <w:color w:val="000000"/>
                <w:szCs w:val="21"/>
                <w:lang w:val="en-US" w:eastAsia="zh-CN" w:bidi="ar"/>
              </w:rPr>
              <w:t>非标准体</w:t>
            </w:r>
          </w:p>
        </w:tc>
        <w:tc>
          <w:tcPr>
            <w:tcW w:w="2850" w:type="dxa"/>
          </w:tcPr>
          <w:p>
            <w:pPr>
              <w:jc w:val="center"/>
              <w:rPr>
                <w:rFonts w:ascii="宋体" w:hAnsi="宋体" w:eastAsia="宋体" w:cs="宋体"/>
                <w:bCs/>
                <w:color w:val="000000"/>
                <w:szCs w:val="21"/>
                <w:lang w:bidi="ar"/>
              </w:rPr>
            </w:pPr>
            <w:r>
              <w:rPr>
                <w:rFonts w:hint="eastAsia" w:ascii="宋体" w:hAnsi="宋体" w:eastAsia="宋体" w:cs="宋体"/>
                <w:bCs/>
                <w:color w:val="000000"/>
                <w:szCs w:val="21"/>
                <w:lang w:bidi="ar"/>
              </w:rPr>
              <w:t>[1.0,</w:t>
            </w:r>
            <w:r>
              <w:rPr>
                <w:rFonts w:hint="eastAsia" w:ascii="宋体" w:hAnsi="宋体" w:eastAsia="宋体" w:cs="宋体"/>
                <w:bCs/>
                <w:color w:val="000000"/>
                <w:szCs w:val="21"/>
                <w:lang w:val="en-US" w:eastAsia="zh-CN" w:bidi="ar"/>
              </w:rPr>
              <w:t>2.5</w:t>
            </w:r>
            <w:r>
              <w:rPr>
                <w:rFonts w:hint="eastAsia" w:ascii="宋体" w:hAnsi="宋体" w:eastAsia="宋体" w:cs="宋体"/>
                <w:bCs/>
                <w:color w:val="000000"/>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vAlign w:val="center"/>
          </w:tcPr>
          <w:p>
            <w:pPr>
              <w:jc w:val="center"/>
              <w:rPr>
                <w:rFonts w:ascii="宋体" w:hAnsi="宋体" w:eastAsia="宋体" w:cs="宋体"/>
                <w:bCs/>
                <w:color w:val="000000"/>
                <w:szCs w:val="21"/>
                <w:lang w:bidi="ar"/>
              </w:rPr>
            </w:pPr>
            <w:r>
              <w:rPr>
                <w:rFonts w:hint="eastAsia" w:ascii="宋体" w:hAnsi="宋体" w:eastAsia="宋体" w:cs="宋体"/>
                <w:bCs/>
                <w:color w:val="000000"/>
                <w:szCs w:val="21"/>
                <w:lang w:bidi="ar"/>
              </w:rPr>
              <w:t>标准体</w:t>
            </w:r>
          </w:p>
        </w:tc>
        <w:tc>
          <w:tcPr>
            <w:tcW w:w="2850" w:type="dxa"/>
          </w:tcPr>
          <w:p>
            <w:pPr>
              <w:jc w:val="center"/>
              <w:rPr>
                <w:rFonts w:ascii="宋体" w:hAnsi="宋体" w:eastAsia="宋体" w:cs="宋体"/>
                <w:bCs/>
                <w:color w:val="000000"/>
                <w:szCs w:val="21"/>
                <w:lang w:bidi="ar"/>
              </w:rPr>
            </w:pPr>
            <w:r>
              <w:rPr>
                <w:rFonts w:hint="eastAsia" w:ascii="宋体" w:hAnsi="宋体" w:eastAsia="宋体" w:cs="宋体"/>
                <w:bCs/>
                <w:color w:val="000000"/>
                <w:szCs w:val="21"/>
                <w:lang w:bidi="ar"/>
              </w:rPr>
              <w:t>1.0</w:t>
            </w:r>
          </w:p>
        </w:tc>
      </w:tr>
    </w:tbl>
    <w:p>
      <w:pPr>
        <w:spacing w:line="360" w:lineRule="auto"/>
        <w:ind w:firstLine="422" w:firstLineChars="200"/>
        <w:rPr>
          <w:rFonts w:ascii="宋体" w:hAnsi="宋体" w:eastAsia="宋体" w:cs="宋体"/>
          <w:b/>
          <w:bCs/>
          <w:szCs w:val="21"/>
        </w:rPr>
      </w:pP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s="宋体"/>
          <w:b/>
          <w:bCs/>
          <w:szCs w:val="21"/>
        </w:rPr>
      </w:pPr>
      <w:r>
        <w:rPr>
          <w:rFonts w:hint="eastAsia" w:ascii="宋体" w:hAnsi="宋体" w:eastAsia="宋体" w:cs="宋体"/>
          <w:b/>
          <w:bCs/>
          <w:szCs w:val="21"/>
        </w:rPr>
        <w:t>四、保险费计算</w:t>
      </w:r>
    </w:p>
    <w:p>
      <w:pPr>
        <w:spacing w:line="360" w:lineRule="auto"/>
        <w:ind w:firstLine="420" w:firstLineChars="200"/>
        <w:jc w:val="left"/>
        <w:rPr>
          <w:rFonts w:ascii="宋体" w:hAnsi="宋体" w:eastAsia="宋体" w:cs="宋体"/>
        </w:rPr>
      </w:pPr>
      <w:r>
        <w:rPr>
          <w:rFonts w:hint="eastAsia" w:ascii="宋体" w:hAnsi="宋体" w:eastAsia="宋体" w:cs="宋体"/>
        </w:rPr>
        <w:t>1、投保人选择一次性缴清保险费</w:t>
      </w:r>
    </w:p>
    <w:p>
      <w:pPr>
        <w:spacing w:line="360" w:lineRule="auto"/>
        <w:ind w:firstLine="420" w:firstLineChars="200"/>
        <w:jc w:val="left"/>
        <w:rPr>
          <w:rFonts w:ascii="宋体" w:hAnsi="宋体" w:eastAsia="宋体" w:cs="宋体"/>
          <w:szCs w:val="21"/>
        </w:rPr>
      </w:pPr>
      <w:r>
        <w:rPr>
          <w:rFonts w:hint="eastAsia" w:ascii="宋体" w:hAnsi="宋体" w:eastAsia="宋体" w:cs="宋体"/>
        </w:rPr>
        <w:t>年保险费=年基准保险费×规模调整系数×历史赔付率调整系数×</w:t>
      </w:r>
      <w:r>
        <w:rPr>
          <w:rFonts w:hint="eastAsia" w:ascii="宋体" w:hAnsi="宋体" w:eastAsia="宋体" w:cs="宋体"/>
          <w:bCs/>
          <w:color w:val="000000"/>
          <w:szCs w:val="21"/>
        </w:rPr>
        <w:t>缴费方式调整系数</w:t>
      </w:r>
      <w:r>
        <w:rPr>
          <w:rFonts w:hint="eastAsia" w:ascii="宋体" w:hAnsi="宋体" w:eastAsia="宋体" w:cs="宋体"/>
        </w:rPr>
        <w:t>×</w:t>
      </w:r>
      <w:r>
        <w:rPr>
          <w:rFonts w:hint="eastAsia" w:ascii="宋体" w:hAnsi="宋体" w:eastAsia="宋体" w:cs="宋体"/>
          <w:bCs/>
          <w:color w:val="000000"/>
          <w:szCs w:val="21"/>
        </w:rPr>
        <w:t>免赔额方式调整系数</w:t>
      </w:r>
      <w:r>
        <w:rPr>
          <w:rFonts w:hint="eastAsia" w:ascii="宋体" w:hAnsi="宋体" w:eastAsia="宋体" w:cs="宋体"/>
        </w:rPr>
        <w:t>×</w:t>
      </w:r>
      <w:r>
        <w:rPr>
          <w:rFonts w:hint="eastAsia" w:ascii="宋体" w:hAnsi="宋体" w:eastAsia="宋体" w:cs="宋体"/>
          <w:bCs/>
          <w:color w:val="000000"/>
          <w:szCs w:val="21"/>
        </w:rPr>
        <w:t>赔付比例调整系数</w:t>
      </w:r>
      <w:r>
        <w:rPr>
          <w:rFonts w:hint="eastAsia" w:ascii="宋体" w:hAnsi="宋体" w:eastAsia="宋体" w:cs="宋体"/>
        </w:rPr>
        <w:t>×</w:t>
      </w:r>
      <w:r>
        <w:rPr>
          <w:rFonts w:hint="eastAsia" w:ascii="宋体" w:hAnsi="宋体" w:eastAsia="宋体" w:cs="宋体"/>
          <w:bCs/>
          <w:color w:val="000000"/>
          <w:szCs w:val="21"/>
          <w:lang w:val="en-US" w:eastAsia="zh-CN"/>
        </w:rPr>
        <w:t>被保险人健康状况</w:t>
      </w:r>
      <w:r>
        <w:rPr>
          <w:rFonts w:hint="eastAsia" w:ascii="宋体" w:hAnsi="宋体" w:eastAsia="宋体" w:cs="宋体"/>
          <w:bCs/>
          <w:color w:val="000000"/>
          <w:szCs w:val="21"/>
        </w:rPr>
        <w:t>调整系数</w:t>
      </w:r>
    </w:p>
    <w:p>
      <w:pPr>
        <w:spacing w:line="360" w:lineRule="auto"/>
        <w:ind w:firstLine="420" w:firstLineChars="200"/>
        <w:jc w:val="left"/>
        <w:rPr>
          <w:rFonts w:ascii="宋体" w:hAnsi="宋体" w:eastAsia="宋体" w:cs="宋体"/>
        </w:rPr>
      </w:pPr>
      <w:r>
        <w:rPr>
          <w:rFonts w:ascii="宋体" w:hAnsi="宋体" w:eastAsia="宋体" w:cs="宋体"/>
        </w:rPr>
        <w:t>2、投保人选择分期缴付保险费，保险人根据保险费分期缴费期数，计收每期保险费：</w:t>
      </w:r>
    </w:p>
    <w:p>
      <w:pPr>
        <w:spacing w:line="360" w:lineRule="auto"/>
        <w:ind w:firstLine="420" w:firstLineChars="200"/>
        <w:jc w:val="left"/>
        <w:rPr>
          <w:rFonts w:hAnsi="宋体" w:cs="Arial"/>
          <w:bCs/>
          <w:color w:val="000000"/>
          <w:szCs w:val="21"/>
        </w:rPr>
      </w:pPr>
      <w:r>
        <w:rPr>
          <w:rFonts w:hint="eastAsia" w:ascii="宋体" w:hAnsi="宋体" w:eastAsia="宋体" w:cs="宋体"/>
        </w:rPr>
        <w:t>年保险费</w:t>
      </w:r>
      <w:r>
        <w:rPr>
          <w:rFonts w:ascii="宋体" w:hAnsi="宋体" w:eastAsia="宋体" w:cs="宋体"/>
        </w:rPr>
        <w:t>=</w:t>
      </w:r>
      <w:r>
        <w:rPr>
          <w:rFonts w:hint="eastAsia" w:ascii="宋体" w:hAnsi="宋体" w:eastAsia="宋体" w:cs="宋体"/>
        </w:rPr>
        <w:t>年基准保险费×规模调整系数×历史赔付率调整系数×</w:t>
      </w:r>
      <w:r>
        <w:rPr>
          <w:rFonts w:hint="eastAsia" w:ascii="宋体" w:hAnsi="宋体" w:eastAsia="宋体" w:cs="宋体"/>
          <w:bCs/>
          <w:color w:val="000000"/>
          <w:szCs w:val="21"/>
        </w:rPr>
        <w:t>缴费方式调整系数</w:t>
      </w:r>
      <w:r>
        <w:rPr>
          <w:rFonts w:hint="eastAsia" w:ascii="宋体" w:hAnsi="宋体" w:eastAsia="宋体" w:cs="宋体"/>
        </w:rPr>
        <w:t>×</w:t>
      </w:r>
      <w:r>
        <w:rPr>
          <w:rFonts w:hint="eastAsia" w:ascii="宋体" w:hAnsi="宋体" w:eastAsia="宋体" w:cs="宋体"/>
          <w:bCs/>
          <w:color w:val="000000"/>
          <w:szCs w:val="21"/>
        </w:rPr>
        <w:t>免赔额方式调整系数</w:t>
      </w:r>
      <w:r>
        <w:rPr>
          <w:rFonts w:hint="eastAsia" w:ascii="宋体" w:hAnsi="宋体" w:eastAsia="宋体" w:cs="宋体"/>
        </w:rPr>
        <w:t>×</w:t>
      </w:r>
      <w:r>
        <w:rPr>
          <w:rFonts w:hint="eastAsia" w:ascii="宋体" w:hAnsi="宋体" w:eastAsia="宋体" w:cs="宋体"/>
          <w:bCs/>
          <w:color w:val="000000"/>
          <w:szCs w:val="21"/>
        </w:rPr>
        <w:t>赔付比例调整系数</w:t>
      </w:r>
      <w:r>
        <w:rPr>
          <w:rFonts w:hint="eastAsia" w:ascii="宋体" w:hAnsi="宋体" w:eastAsia="宋体" w:cs="宋体"/>
        </w:rPr>
        <w:t>×</w:t>
      </w:r>
      <w:r>
        <w:rPr>
          <w:rFonts w:hint="eastAsia" w:ascii="宋体" w:hAnsi="宋体" w:eastAsia="宋体" w:cs="宋体"/>
          <w:bCs/>
          <w:color w:val="000000"/>
          <w:szCs w:val="21"/>
          <w:lang w:val="en-US" w:eastAsia="zh-CN"/>
        </w:rPr>
        <w:t>被保险人健康状况</w:t>
      </w:r>
      <w:r>
        <w:rPr>
          <w:rFonts w:hint="eastAsia" w:ascii="宋体" w:hAnsi="宋体" w:eastAsia="宋体" w:cs="宋体"/>
          <w:bCs/>
          <w:color w:val="000000"/>
          <w:szCs w:val="21"/>
        </w:rPr>
        <w:t>调整系数</w:t>
      </w:r>
    </w:p>
    <w:p>
      <w:pPr>
        <w:spacing w:line="360" w:lineRule="auto"/>
        <w:ind w:firstLine="420" w:firstLineChars="200"/>
        <w:jc w:val="left"/>
        <w:rPr>
          <w:rFonts w:ascii="宋体" w:hAnsi="宋体" w:eastAsia="宋体" w:cs="宋体"/>
          <w:bCs/>
          <w:color w:val="000000"/>
          <w:szCs w:val="21"/>
        </w:rPr>
      </w:pPr>
      <w:r>
        <w:rPr>
          <w:rFonts w:hint="eastAsia" w:ascii="宋体" w:hAnsi="宋体" w:eastAsia="宋体" w:cs="宋体"/>
          <w:bCs/>
          <w:color w:val="000000"/>
          <w:szCs w:val="21"/>
        </w:rPr>
        <w:t>每期保险费（按四舍五入计算）</w:t>
      </w:r>
      <w:r>
        <w:rPr>
          <w:rFonts w:ascii="宋体" w:hAnsi="宋体" w:eastAsia="宋体" w:cs="宋体"/>
          <w:bCs/>
          <w:color w:val="000000"/>
          <w:szCs w:val="21"/>
        </w:rPr>
        <w:t>=年保险费÷分期缴费期数</w:t>
      </w:r>
    </w:p>
    <w:p>
      <w:pPr>
        <w:spacing w:line="360" w:lineRule="auto"/>
        <w:ind w:firstLine="420" w:firstLineChars="200"/>
        <w:jc w:val="left"/>
        <w:rPr>
          <w:rFonts w:ascii="宋体" w:hAnsi="宋体" w:eastAsia="宋体" w:cs="宋体"/>
          <w:bCs/>
          <w:color w:val="000000"/>
          <w:szCs w:val="21"/>
        </w:rPr>
      </w:pPr>
      <w:r>
        <w:rPr>
          <w:rFonts w:ascii="宋体" w:hAnsi="宋体" w:eastAsia="宋体" w:cs="宋体"/>
          <w:bCs/>
          <w:color w:val="000000"/>
          <w:szCs w:val="21"/>
        </w:rPr>
        <w:t>注</w:t>
      </w:r>
      <w:r>
        <w:rPr>
          <w:rFonts w:hint="eastAsia" w:ascii="宋体" w:hAnsi="宋体" w:eastAsia="宋体" w:cs="宋体"/>
          <w:bCs/>
          <w:color w:val="000000"/>
          <w:szCs w:val="21"/>
        </w:rPr>
        <w:t>：本产品涉及分期缴费，每期缴费金额一致。</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eastAsia="宋体" w:cs="宋体"/>
          <w:b/>
        </w:rPr>
      </w:pPr>
      <w:r>
        <w:rPr>
          <w:rFonts w:hint="eastAsia" w:ascii="宋体" w:hAnsi="宋体" w:eastAsia="宋体" w:cs="宋体"/>
          <w:b/>
        </w:rPr>
        <w:t>五、</w:t>
      </w:r>
      <w:r>
        <w:rPr>
          <w:rFonts w:hint="eastAsia" w:ascii="宋体" w:hAnsi="宋体" w:eastAsia="宋体" w:cs="宋体"/>
          <w:b/>
          <w:bCs/>
          <w:szCs w:val="21"/>
        </w:rPr>
        <w:t>短期</w:t>
      </w:r>
      <w:r>
        <w:rPr>
          <w:rFonts w:hint="eastAsia" w:ascii="宋体" w:hAnsi="宋体" w:eastAsia="宋体" w:cs="宋体"/>
          <w:b/>
        </w:rPr>
        <w:t>费率表</w:t>
      </w:r>
    </w:p>
    <w:p>
      <w:pPr>
        <w:snapToGrid w:val="0"/>
        <w:spacing w:line="288" w:lineRule="auto"/>
        <w:ind w:firstLine="482"/>
        <w:rPr>
          <w:rFonts w:ascii="宋体" w:hAnsi="宋体" w:eastAsia="宋体" w:cs="宋体"/>
        </w:rPr>
      </w:pPr>
      <w:r>
        <w:rPr>
          <w:rFonts w:hint="eastAsia" w:ascii="宋体" w:hAnsi="宋体" w:eastAsia="宋体" w:cs="宋体"/>
        </w:rPr>
        <w:t>保险期间不足一年的，按以下标准计算短期保险费（按年保险费的百分比计算，不足一个月的按一个月计算）：</w:t>
      </w:r>
    </w:p>
    <w:tbl>
      <w:tblPr>
        <w:tblStyle w:val="7"/>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5"/>
        <w:gridCol w:w="673"/>
        <w:gridCol w:w="673"/>
        <w:gridCol w:w="673"/>
        <w:gridCol w:w="673"/>
        <w:gridCol w:w="673"/>
        <w:gridCol w:w="673"/>
        <w:gridCol w:w="673"/>
        <w:gridCol w:w="673"/>
        <w:gridCol w:w="673"/>
        <w:gridCol w:w="673"/>
        <w:gridCol w:w="673"/>
        <w:gridCol w:w="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55"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宋体"/>
              </w:rPr>
            </w:pPr>
            <w:r>
              <w:rPr>
                <w:rFonts w:hint="eastAsia" w:ascii="宋体" w:hAnsi="宋体" w:eastAsia="宋体" w:cs="宋体"/>
              </w:rPr>
              <w:t>保险期间（月）</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宋体"/>
              </w:rPr>
            </w:pPr>
            <w:r>
              <w:rPr>
                <w:rFonts w:hint="eastAsia" w:ascii="宋体" w:hAnsi="宋体" w:eastAsia="宋体" w:cs="宋体"/>
              </w:rPr>
              <w:t>1</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宋体"/>
              </w:rPr>
            </w:pPr>
            <w:r>
              <w:rPr>
                <w:rFonts w:hint="eastAsia" w:ascii="宋体" w:hAnsi="宋体" w:eastAsia="宋体" w:cs="宋体"/>
              </w:rPr>
              <w:t>2</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宋体"/>
              </w:rPr>
            </w:pPr>
            <w:r>
              <w:rPr>
                <w:rFonts w:hint="eastAsia" w:ascii="宋体" w:hAnsi="宋体" w:eastAsia="宋体" w:cs="宋体"/>
              </w:rPr>
              <w:t>3</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宋体"/>
              </w:rPr>
            </w:pPr>
            <w:r>
              <w:rPr>
                <w:rFonts w:hint="eastAsia" w:ascii="宋体" w:hAnsi="宋体" w:eastAsia="宋体" w:cs="宋体"/>
              </w:rPr>
              <w:t>4</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宋体"/>
              </w:rPr>
            </w:pPr>
            <w:r>
              <w:rPr>
                <w:rFonts w:hint="eastAsia" w:ascii="宋体" w:hAnsi="宋体" w:eastAsia="宋体" w:cs="宋体"/>
              </w:rPr>
              <w:t>5</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宋体"/>
              </w:rPr>
            </w:pPr>
            <w:r>
              <w:rPr>
                <w:rFonts w:hint="eastAsia" w:ascii="宋体" w:hAnsi="宋体" w:eastAsia="宋体" w:cs="宋体"/>
              </w:rPr>
              <w:t>6</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宋体"/>
              </w:rPr>
            </w:pPr>
            <w:r>
              <w:rPr>
                <w:rFonts w:hint="eastAsia" w:ascii="宋体" w:hAnsi="宋体" w:eastAsia="宋体" w:cs="宋体"/>
              </w:rPr>
              <w:t>7</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宋体"/>
              </w:rPr>
            </w:pPr>
            <w:r>
              <w:rPr>
                <w:rFonts w:hint="eastAsia" w:ascii="宋体" w:hAnsi="宋体" w:eastAsia="宋体" w:cs="宋体"/>
              </w:rPr>
              <w:t>8</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宋体"/>
              </w:rPr>
            </w:pPr>
            <w:r>
              <w:rPr>
                <w:rFonts w:hint="eastAsia" w:ascii="宋体" w:hAnsi="宋体" w:eastAsia="宋体" w:cs="宋体"/>
              </w:rPr>
              <w:t>9</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宋体"/>
              </w:rPr>
            </w:pPr>
            <w:r>
              <w:rPr>
                <w:rFonts w:hint="eastAsia" w:ascii="宋体" w:hAnsi="宋体" w:eastAsia="宋体" w:cs="宋体"/>
              </w:rPr>
              <w:t>10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宋体"/>
              </w:rPr>
            </w:pPr>
            <w:r>
              <w:rPr>
                <w:rFonts w:hint="eastAsia" w:ascii="宋体" w:hAnsi="宋体" w:eastAsia="宋体" w:cs="宋体"/>
              </w:rPr>
              <w:t>11</w:t>
            </w:r>
          </w:p>
        </w:tc>
        <w:tc>
          <w:tcPr>
            <w:tcW w:w="795"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宋体"/>
              </w:rPr>
            </w:pPr>
            <w:r>
              <w:rPr>
                <w:rFonts w:hint="eastAsia" w:ascii="宋体" w:hAnsi="宋体" w:eastAsia="宋体" w:cs="宋体"/>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55"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宋体"/>
              </w:rPr>
            </w:pPr>
            <w:r>
              <w:rPr>
                <w:rFonts w:hint="eastAsia" w:ascii="宋体" w:hAnsi="宋体" w:eastAsia="宋体" w:cs="宋体"/>
              </w:rPr>
              <w:t>年保险费的百分比</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宋体"/>
              </w:rPr>
            </w:pPr>
            <w:r>
              <w:rPr>
                <w:rFonts w:hint="eastAsia" w:ascii="宋体" w:hAnsi="宋体" w:eastAsia="宋体" w:cs="宋体"/>
              </w:rPr>
              <w:t>10%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宋体"/>
              </w:rPr>
            </w:pPr>
            <w:r>
              <w:rPr>
                <w:rFonts w:hint="eastAsia" w:ascii="宋体" w:hAnsi="宋体" w:eastAsia="宋体" w:cs="宋体"/>
              </w:rPr>
              <w:t>20%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宋体"/>
              </w:rPr>
            </w:pPr>
            <w:r>
              <w:rPr>
                <w:rFonts w:hint="eastAsia" w:ascii="宋体" w:hAnsi="宋体" w:eastAsia="宋体" w:cs="宋体"/>
              </w:rPr>
              <w:t>30%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宋体"/>
              </w:rPr>
            </w:pPr>
            <w:r>
              <w:rPr>
                <w:rFonts w:hint="eastAsia" w:ascii="宋体" w:hAnsi="宋体" w:eastAsia="宋体" w:cs="宋体"/>
              </w:rPr>
              <w:t>40%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宋体"/>
              </w:rPr>
            </w:pPr>
            <w:r>
              <w:rPr>
                <w:rFonts w:hint="eastAsia" w:ascii="宋体" w:hAnsi="宋体" w:eastAsia="宋体" w:cs="宋体"/>
              </w:rPr>
              <w:t>50%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宋体"/>
              </w:rPr>
            </w:pPr>
            <w:r>
              <w:rPr>
                <w:rFonts w:hint="eastAsia" w:ascii="宋体" w:hAnsi="宋体" w:eastAsia="宋体" w:cs="宋体"/>
              </w:rPr>
              <w:t>60%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宋体"/>
              </w:rPr>
            </w:pPr>
            <w:r>
              <w:rPr>
                <w:rFonts w:hint="eastAsia" w:ascii="宋体" w:hAnsi="宋体" w:eastAsia="宋体" w:cs="宋体"/>
              </w:rPr>
              <w:t>70%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宋体"/>
              </w:rPr>
            </w:pPr>
            <w:r>
              <w:rPr>
                <w:rFonts w:hint="eastAsia" w:ascii="宋体" w:hAnsi="宋体" w:eastAsia="宋体" w:cs="宋体"/>
              </w:rPr>
              <w:t>80%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宋体"/>
              </w:rPr>
            </w:pPr>
            <w:r>
              <w:rPr>
                <w:rFonts w:hint="eastAsia" w:ascii="宋体" w:hAnsi="宋体" w:eastAsia="宋体" w:cs="宋体"/>
              </w:rPr>
              <w:t>85%</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宋体"/>
              </w:rPr>
            </w:pPr>
            <w:r>
              <w:rPr>
                <w:rFonts w:hint="eastAsia" w:ascii="宋体" w:hAnsi="宋体" w:eastAsia="宋体" w:cs="宋体"/>
              </w:rPr>
              <w:t>90%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宋体"/>
              </w:rPr>
            </w:pPr>
            <w:r>
              <w:rPr>
                <w:rFonts w:hint="eastAsia" w:ascii="宋体" w:hAnsi="宋体" w:eastAsia="宋体" w:cs="宋体"/>
              </w:rPr>
              <w:t>95%</w:t>
            </w:r>
          </w:p>
        </w:tc>
        <w:tc>
          <w:tcPr>
            <w:tcW w:w="795"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宋体"/>
              </w:rPr>
            </w:pPr>
            <w:r>
              <w:rPr>
                <w:rFonts w:hint="eastAsia" w:ascii="宋体" w:hAnsi="宋体" w:eastAsia="宋体" w:cs="宋体"/>
              </w:rPr>
              <w:t>100%</w:t>
            </w:r>
          </w:p>
        </w:tc>
      </w:tr>
    </w:tbl>
    <w:p>
      <w:pPr>
        <w:jc w:val="left"/>
        <w:rPr>
          <w:rFonts w:ascii="宋体" w:hAnsi="宋体" w:eastAsia="宋体" w:cs="宋体"/>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385D7E"/>
    <w:multiLevelType w:val="singleLevel"/>
    <w:tmpl w:val="B7385D7E"/>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5EBE"/>
    <w:rsid w:val="00031AD0"/>
    <w:rsid w:val="00067978"/>
    <w:rsid w:val="000E23FB"/>
    <w:rsid w:val="000F6296"/>
    <w:rsid w:val="001B5EBE"/>
    <w:rsid w:val="001F113A"/>
    <w:rsid w:val="00214BF5"/>
    <w:rsid w:val="0025119D"/>
    <w:rsid w:val="00307FB4"/>
    <w:rsid w:val="00312204"/>
    <w:rsid w:val="003156AE"/>
    <w:rsid w:val="003161C0"/>
    <w:rsid w:val="0031785E"/>
    <w:rsid w:val="00331B57"/>
    <w:rsid w:val="00346F3F"/>
    <w:rsid w:val="003C432D"/>
    <w:rsid w:val="003D61E1"/>
    <w:rsid w:val="00401115"/>
    <w:rsid w:val="00440883"/>
    <w:rsid w:val="00586F39"/>
    <w:rsid w:val="005A3F88"/>
    <w:rsid w:val="005A5A3B"/>
    <w:rsid w:val="005E62B5"/>
    <w:rsid w:val="00626D20"/>
    <w:rsid w:val="00653535"/>
    <w:rsid w:val="0067728A"/>
    <w:rsid w:val="006A2EF8"/>
    <w:rsid w:val="006F75FC"/>
    <w:rsid w:val="00744F3C"/>
    <w:rsid w:val="007B05B5"/>
    <w:rsid w:val="007E36C2"/>
    <w:rsid w:val="00890002"/>
    <w:rsid w:val="00960831"/>
    <w:rsid w:val="00970626"/>
    <w:rsid w:val="0099441D"/>
    <w:rsid w:val="009B2D01"/>
    <w:rsid w:val="009E1615"/>
    <w:rsid w:val="00A805B1"/>
    <w:rsid w:val="00AB0688"/>
    <w:rsid w:val="00B80580"/>
    <w:rsid w:val="00B81B91"/>
    <w:rsid w:val="00C955A5"/>
    <w:rsid w:val="00CB0C5C"/>
    <w:rsid w:val="00CB6738"/>
    <w:rsid w:val="00CB6A12"/>
    <w:rsid w:val="00D134A8"/>
    <w:rsid w:val="00D433E6"/>
    <w:rsid w:val="00DC530A"/>
    <w:rsid w:val="00E0495F"/>
    <w:rsid w:val="00E70AA2"/>
    <w:rsid w:val="00ED7A77"/>
    <w:rsid w:val="00FC64AF"/>
    <w:rsid w:val="00FF3179"/>
    <w:rsid w:val="037E1CCA"/>
    <w:rsid w:val="03986C36"/>
    <w:rsid w:val="060E7E49"/>
    <w:rsid w:val="08B3761E"/>
    <w:rsid w:val="0D3E5E25"/>
    <w:rsid w:val="0E4E14D1"/>
    <w:rsid w:val="0E8245F8"/>
    <w:rsid w:val="0ED053F6"/>
    <w:rsid w:val="0FB87A19"/>
    <w:rsid w:val="12277ACF"/>
    <w:rsid w:val="14173695"/>
    <w:rsid w:val="19F13CB5"/>
    <w:rsid w:val="1A2A760D"/>
    <w:rsid w:val="1A452A9D"/>
    <w:rsid w:val="1B584AB1"/>
    <w:rsid w:val="1D3D05AB"/>
    <w:rsid w:val="1F7733A8"/>
    <w:rsid w:val="22EC709D"/>
    <w:rsid w:val="23540439"/>
    <w:rsid w:val="299A60EA"/>
    <w:rsid w:val="2A5114B7"/>
    <w:rsid w:val="2CF00002"/>
    <w:rsid w:val="2D8942D8"/>
    <w:rsid w:val="31AF5519"/>
    <w:rsid w:val="31DA5E20"/>
    <w:rsid w:val="32CD27CF"/>
    <w:rsid w:val="34CA4F44"/>
    <w:rsid w:val="35530566"/>
    <w:rsid w:val="39D032A6"/>
    <w:rsid w:val="3B783AC3"/>
    <w:rsid w:val="3C12268B"/>
    <w:rsid w:val="3C583032"/>
    <w:rsid w:val="3D767D44"/>
    <w:rsid w:val="3DD305AA"/>
    <w:rsid w:val="3DE3177C"/>
    <w:rsid w:val="40DB3913"/>
    <w:rsid w:val="41123D9B"/>
    <w:rsid w:val="42F2770A"/>
    <w:rsid w:val="493623DD"/>
    <w:rsid w:val="4B940A7E"/>
    <w:rsid w:val="4C8229F4"/>
    <w:rsid w:val="4C952A83"/>
    <w:rsid w:val="4F81701C"/>
    <w:rsid w:val="50147BF7"/>
    <w:rsid w:val="54ED7259"/>
    <w:rsid w:val="56C81C19"/>
    <w:rsid w:val="5B4F5670"/>
    <w:rsid w:val="5B6F2DB1"/>
    <w:rsid w:val="5B936219"/>
    <w:rsid w:val="5C327970"/>
    <w:rsid w:val="5DFE5DFA"/>
    <w:rsid w:val="5F1B4C4C"/>
    <w:rsid w:val="5F685328"/>
    <w:rsid w:val="5FEA94CC"/>
    <w:rsid w:val="60663FE1"/>
    <w:rsid w:val="62130018"/>
    <w:rsid w:val="639F31E3"/>
    <w:rsid w:val="69E57003"/>
    <w:rsid w:val="6ACC1485"/>
    <w:rsid w:val="6C595D60"/>
    <w:rsid w:val="6E76441A"/>
    <w:rsid w:val="6EA96EEA"/>
    <w:rsid w:val="6EAE7478"/>
    <w:rsid w:val="75AD03B6"/>
    <w:rsid w:val="7619186B"/>
    <w:rsid w:val="76196289"/>
    <w:rsid w:val="7A5C6A01"/>
    <w:rsid w:val="7C4A71C8"/>
    <w:rsid w:val="7D387D68"/>
    <w:rsid w:val="7D7FEFB8"/>
    <w:rsid w:val="7F421573"/>
    <w:rsid w:val="7FE345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link w:val="16"/>
    <w:unhideWhenUsed/>
    <w:qFormat/>
    <w:uiPriority w:val="99"/>
    <w:pPr>
      <w:jc w:val="left"/>
    </w:pPr>
  </w:style>
  <w:style w:type="paragraph" w:styleId="3">
    <w:name w:val="Balloon Text"/>
    <w:basedOn w:val="1"/>
    <w:link w:val="14"/>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7"/>
    <w:unhideWhenUsed/>
    <w:uiPriority w:val="99"/>
    <w:rPr>
      <w:b/>
      <w:bCs/>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unhideWhenUsed/>
    <w:qFormat/>
    <w:uiPriority w:val="99"/>
    <w:rPr>
      <w:sz w:val="21"/>
      <w:szCs w:val="21"/>
    </w:r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paragraph" w:customStyle="1" w:styleId="13">
    <w:name w:val="列表段落1"/>
    <w:basedOn w:val="1"/>
    <w:qFormat/>
    <w:uiPriority w:val="34"/>
    <w:pPr>
      <w:ind w:firstLine="420" w:firstLineChars="200"/>
    </w:pPr>
  </w:style>
  <w:style w:type="character" w:customStyle="1" w:styleId="14">
    <w:name w:val="批注框文本 字符"/>
    <w:basedOn w:val="9"/>
    <w:link w:val="3"/>
    <w:semiHidden/>
    <w:qFormat/>
    <w:uiPriority w:val="99"/>
    <w:rPr>
      <w:sz w:val="18"/>
      <w:szCs w:val="18"/>
    </w:rPr>
  </w:style>
  <w:style w:type="paragraph" w:customStyle="1" w:styleId="15">
    <w:name w:val="Revision"/>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16">
    <w:name w:val="批注文字 字符"/>
    <w:basedOn w:val="9"/>
    <w:link w:val="2"/>
    <w:qFormat/>
    <w:uiPriority w:val="99"/>
    <w:rPr>
      <w:rFonts w:asciiTheme="minorHAnsi" w:hAnsiTheme="minorHAnsi" w:eastAsiaTheme="minorEastAsia" w:cstheme="minorBidi"/>
      <w:kern w:val="2"/>
      <w:sz w:val="21"/>
      <w:szCs w:val="22"/>
    </w:rPr>
  </w:style>
  <w:style w:type="character" w:customStyle="1" w:styleId="17">
    <w:name w:val="批注主题 字符"/>
    <w:basedOn w:val="16"/>
    <w:link w:val="6"/>
    <w:semiHidden/>
    <w:qFormat/>
    <w:uiPriority w:val="99"/>
    <w:rPr>
      <w:rFonts w:asciiTheme="minorHAnsi" w:hAnsiTheme="minorHAnsi" w:eastAsiaTheme="minorEastAsia" w:cstheme="minorBidi"/>
      <w:b/>
      <w:bCs/>
      <w:kern w:val="2"/>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1546</Words>
  <Characters>1687</Characters>
  <Lines>187</Lines>
  <Paragraphs>111</Paragraphs>
  <TotalTime>1</TotalTime>
  <ScaleCrop>false</ScaleCrop>
  <LinksUpToDate>false</LinksUpToDate>
  <CharactersWithSpaces>3122</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2020-02-15T23:24:00Z</dcterms:created>
  <dc:creator>林男 曹</dc:creator>
  <cp:lastModifiedBy>Zixuan Shen</cp:lastModifiedBy>
  <dcterms:modified xsi:type="dcterms:W3CDTF">2022-02-14T02:25:00Z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7801FBF54A7640399A3A653259F5135D</vt:lpwstr>
  </property>
</Properties>
</file>