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jc w:val="center"/>
        <w:rPr>
          <w:rFonts w:ascii="宋体" w:hAnsi="宋体" w:eastAsia="宋体" w:cs="宋体"/>
          <w:b/>
          <w:bCs/>
          <w:sz w:val="28"/>
          <w:szCs w:val="28"/>
        </w:rPr>
      </w:pPr>
      <w:r>
        <w:rPr>
          <w:rFonts w:hint="eastAsia" w:ascii="宋体" w:hAnsi="宋体" w:eastAsia="宋体" w:cs="宋体"/>
          <w:b/>
          <w:bCs/>
          <w:color w:val="000000"/>
          <w:kern w:val="0"/>
          <w:sz w:val="28"/>
          <w:szCs w:val="28"/>
        </w:rPr>
        <w:t>住院医疗费用保险</w:t>
      </w:r>
      <w:r>
        <w:rPr>
          <w:rFonts w:ascii="宋体" w:hAnsi="宋体" w:eastAsia="宋体" w:cs="宋体"/>
          <w:b/>
          <w:bCs/>
          <w:color w:val="000000"/>
          <w:kern w:val="0"/>
          <w:sz w:val="28"/>
          <w:szCs w:val="28"/>
        </w:rPr>
        <w:t>S</w:t>
      </w:r>
      <w:r>
        <w:rPr>
          <w:rFonts w:hint="eastAsia" w:ascii="宋体" w:hAnsi="宋体" w:eastAsia="宋体" w:cs="宋体"/>
          <w:b/>
          <w:bCs/>
          <w:color w:val="000000"/>
          <w:kern w:val="0"/>
          <w:sz w:val="28"/>
          <w:szCs w:val="28"/>
        </w:rPr>
        <w:t>款费率表（互联网专属）</w:t>
      </w:r>
    </w:p>
    <w:p>
      <w:pPr>
        <w:jc w:val="center"/>
        <w:rPr>
          <w:rFonts w:ascii="宋体" w:hAnsi="宋体" w:eastAsia="宋体" w:cs="宋体"/>
          <w:b/>
          <w:bCs/>
          <w:sz w:val="28"/>
          <w:szCs w:val="28"/>
        </w:rPr>
      </w:pPr>
    </w:p>
    <w:p>
      <w:pPr>
        <w:spacing w:line="360" w:lineRule="auto"/>
        <w:jc w:val="left"/>
        <w:rPr>
          <w:rFonts w:ascii="宋体" w:hAnsi="宋体" w:eastAsia="宋体" w:cs="宋体"/>
          <w:b/>
          <w:bCs/>
          <w:szCs w:val="21"/>
        </w:rPr>
      </w:pPr>
      <w:r>
        <w:rPr>
          <w:rFonts w:hint="eastAsia" w:ascii="宋体" w:hAnsi="宋体" w:eastAsia="宋体" w:cs="宋体"/>
          <w:b/>
          <w:bCs/>
          <w:szCs w:val="21"/>
        </w:rPr>
        <w:t>一、方案一</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（1）基本责任：</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年度累计保险金额：600万元，其中：</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一般医疗保险金：300万元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重大疾病医疗保险金：在一般医疗保险金基础上叠加300万元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质子重离子医疗保险金：与一般医疗保险金及重大疾病医疗保险金共享保险金额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重大疾病异地转诊保险金：</w:t>
      </w:r>
      <w:r>
        <w:rPr>
          <w:rFonts w:ascii="宋体" w:hAnsi="宋体" w:eastAsia="宋体" w:cs="宋体"/>
          <w:szCs w:val="21"/>
        </w:rPr>
        <w:t>10</w:t>
      </w:r>
      <w:r>
        <w:rPr>
          <w:rFonts w:hint="eastAsia" w:ascii="宋体" w:hAnsi="宋体" w:eastAsia="宋体" w:cs="宋体"/>
          <w:szCs w:val="21"/>
          <w:lang w:eastAsia="zh-Hans"/>
        </w:rPr>
        <w:t>万</w:t>
      </w:r>
      <w:r>
        <w:rPr>
          <w:rFonts w:hint="eastAsia" w:ascii="宋体" w:hAnsi="宋体" w:eastAsia="宋体" w:cs="宋体"/>
          <w:szCs w:val="21"/>
        </w:rPr>
        <w:t>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恶性肿瘤特定药品费用保险金：100万元</w:t>
      </w:r>
    </w:p>
    <w:p>
      <w:pPr>
        <w:widowControl/>
        <w:numPr>
          <w:ilvl w:val="255"/>
          <w:numId w:val="0"/>
        </w:num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（2）可选责任：</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①重大疾病保险金：</w:t>
      </w:r>
      <w:r>
        <w:rPr>
          <w:rFonts w:ascii="宋体" w:hAnsi="宋体" w:eastAsia="宋体" w:cs="宋体"/>
          <w:szCs w:val="21"/>
        </w:rPr>
        <w:t>1</w:t>
      </w:r>
      <w:r>
        <w:rPr>
          <w:rFonts w:hint="eastAsia" w:ascii="宋体" w:hAnsi="宋体" w:eastAsia="宋体" w:cs="宋体"/>
          <w:szCs w:val="21"/>
        </w:rPr>
        <w:t>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②门（急）诊医疗保险金：1</w:t>
      </w:r>
      <w:r>
        <w:rPr>
          <w:rFonts w:ascii="宋体" w:hAnsi="宋体" w:eastAsia="宋体" w:cs="宋体"/>
          <w:szCs w:val="21"/>
        </w:rPr>
        <w:t>000元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一般医疗保险金：年免赔额1万元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因重大疾病导致的医疗费用免赔额为0元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eastAsia="zh-Hans"/>
        </w:rPr>
        <w:t>门（急）诊医疗保险金：单次免赔额</w:t>
      </w:r>
      <w:r>
        <w:rPr>
          <w:rFonts w:hint="eastAsia" w:ascii="宋体" w:hAnsi="宋体" w:eastAsia="宋体" w:cs="宋体"/>
          <w:szCs w:val="21"/>
        </w:rPr>
        <w:t>1</w:t>
      </w:r>
      <w:r>
        <w:rPr>
          <w:rFonts w:ascii="宋体" w:hAnsi="宋体" w:eastAsia="宋体" w:cs="宋体"/>
          <w:szCs w:val="21"/>
        </w:rPr>
        <w:t>00</w:t>
      </w:r>
      <w:r>
        <w:rPr>
          <w:rFonts w:hint="eastAsia" w:ascii="宋体" w:hAnsi="宋体" w:eastAsia="宋体" w:cs="宋体"/>
          <w:szCs w:val="21"/>
        </w:rPr>
        <w:t>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3、赔付比例</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（1）一般医疗及重大疾病医疗保险金：</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①保险人以参加基本医疗保险或公费医疗身份投保，并以基本医疗保险或公费医疗身份就诊并结算，赔付比例为100%。</w:t>
      </w:r>
    </w:p>
    <w:p>
      <w:pPr>
        <w:snapToGrid w:val="0"/>
        <w:spacing w:line="360" w:lineRule="auto"/>
        <w:ind w:firstLine="440"/>
        <w:rPr>
          <w:rFonts w:ascii="宋体" w:hAnsi="宋体" w:eastAsia="宋体" w:cs="宋体"/>
          <w:b/>
          <w:color w:val="FF0000"/>
          <w:szCs w:val="21"/>
        </w:rPr>
      </w:pPr>
      <w:r>
        <w:rPr>
          <w:rFonts w:hint="eastAsia" w:ascii="宋体" w:hAnsi="宋体" w:eastAsia="宋体" w:cs="宋体"/>
          <w:szCs w:val="21"/>
        </w:rPr>
        <w:t>②若被保险人以参加基本医疗保险或公费医疗身份投保，但未以基本医疗保险或公费医疗身份就诊并结算，赔付比例为60%。</w:t>
      </w:r>
      <w:bookmarkStart w:id="0" w:name="_Hlk32919537"/>
      <w:r>
        <w:rPr>
          <w:rFonts w:hint="eastAsia" w:ascii="宋体" w:hAnsi="宋体" w:eastAsia="宋体" w:cs="宋体"/>
          <w:bCs/>
          <w:color w:val="000000" w:themeColor="text1"/>
          <w:szCs w:val="21"/>
          <w14:textFill>
            <w14:solidFill>
              <w14:schemeClr w14:val="tx1"/>
            </w14:solidFill>
          </w14:textFill>
        </w:rPr>
        <w:t>若同时符合以下三个要件，赔付比例调整为80%：(a) 跨省或自治区或直辖市（仅限中国大陆境内，不包括境外及港、澳、台地区）异地就医；(b)异地就医的医院无法使用被保险人参保所在地的基本医疗保险结算；(c )被保险人已向参保所在地的医保经办机构申请报销，但参保地医保经办机构无法给予基本医疗保险报销。</w:t>
      </w:r>
      <w:bookmarkEnd w:id="0"/>
    </w:p>
    <w:p>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③若被保险人未以参加基本医疗保险或公费医疗身份投保，赔付比例为100%。</w:t>
      </w:r>
    </w:p>
    <w:p>
      <w:pPr>
        <w:numPr>
          <w:ilvl w:val="0"/>
          <w:numId w:val="0"/>
        </w:numPr>
        <w:adjustRightInd w:val="0"/>
        <w:snapToGrid w:val="0"/>
        <w:spacing w:line="360" w:lineRule="auto"/>
        <w:ind w:left="420" w:firstLine="0" w:firstLineChars="0"/>
        <w:rPr>
          <w:rFonts w:ascii="宋体" w:hAnsi="宋体" w:eastAsia="宋体" w:cs="宋体"/>
          <w:szCs w:val="21"/>
        </w:rPr>
      </w:pPr>
      <w:r>
        <w:rPr>
          <w:rFonts w:hint="eastAsia" w:ascii="宋体" w:hAnsi="宋体" w:eastAsia="宋体" w:cs="宋体"/>
          <w:szCs w:val="21"/>
        </w:rPr>
        <w:t>（2）质子重离子医疗保险金：赔付比例为100%。</w:t>
      </w:r>
    </w:p>
    <w:p>
      <w:pPr>
        <w:numPr>
          <w:ilvl w:val="0"/>
          <w:numId w:val="0"/>
        </w:numPr>
        <w:adjustRightInd w:val="0"/>
        <w:snapToGrid w:val="0"/>
        <w:spacing w:line="360" w:lineRule="auto"/>
        <w:ind w:left="420" w:firstLine="0" w:firstLineChars="0"/>
        <w:rPr>
          <w:rFonts w:ascii="宋体" w:hAnsi="宋体" w:eastAsia="宋体" w:cs="宋体"/>
          <w:szCs w:val="21"/>
        </w:rPr>
      </w:pPr>
      <w:r>
        <w:rPr>
          <w:rFonts w:hint="eastAsia" w:ascii="宋体" w:hAnsi="宋体" w:eastAsia="宋体" w:cs="宋体"/>
          <w:szCs w:val="21"/>
        </w:rPr>
        <w:t>（3）恶性肿瘤特定药品费用保险金：</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①</w:t>
      </w:r>
      <w:r>
        <w:rPr>
          <w:rFonts w:hint="eastAsia" w:ascii="宋体" w:hAnsi="宋体" w:eastAsia="宋体" w:cs="宋体"/>
          <w:bCs/>
          <w:color w:val="000000" w:themeColor="text1"/>
          <w:szCs w:val="21"/>
          <w14:textFill>
            <w14:solidFill>
              <w14:schemeClr w14:val="tx1"/>
            </w14:solidFill>
          </w14:textFill>
        </w:rPr>
        <w:t>若被保险人以参加基本医疗保险</w:t>
      </w:r>
      <w:r>
        <w:rPr>
          <w:rFonts w:hint="eastAsia" w:ascii="宋体" w:hAnsi="宋体" w:eastAsia="宋体" w:cs="宋体"/>
          <w:szCs w:val="21"/>
        </w:rPr>
        <w:t>或公费医疗</w:t>
      </w:r>
      <w:r>
        <w:rPr>
          <w:rFonts w:hint="eastAsia" w:ascii="宋体" w:hAnsi="宋体" w:eastAsia="宋体" w:cs="宋体"/>
          <w:bCs/>
          <w:color w:val="000000" w:themeColor="text1"/>
          <w:szCs w:val="21"/>
          <w14:textFill>
            <w14:solidFill>
              <w14:schemeClr w14:val="tx1"/>
            </w14:solidFill>
          </w14:textFill>
        </w:rPr>
        <w:t>身份投保：</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a.如药品为基本医疗保险药品目录内且已经过基本医疗保险报销，赔付比例为100%；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b.如药品为基本医疗保险药品目录内但未经过基本医疗保险报销，赔付比例为60%；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c.如药品为基本医疗保险药品目录外，赔付比例为100%。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②</w:t>
      </w:r>
      <w:r>
        <w:rPr>
          <w:rFonts w:hint="eastAsia" w:ascii="宋体" w:hAnsi="宋体" w:eastAsia="宋体" w:cs="宋体"/>
          <w:bCs/>
          <w:color w:val="000000" w:themeColor="text1"/>
          <w:szCs w:val="21"/>
          <w14:textFill>
            <w14:solidFill>
              <w14:schemeClr w14:val="tx1"/>
            </w14:solidFill>
          </w14:textFill>
        </w:rPr>
        <w:t>若被保险人未以参加基本医疗保险</w:t>
      </w:r>
      <w:r>
        <w:rPr>
          <w:rFonts w:hint="eastAsia" w:ascii="宋体" w:hAnsi="宋体" w:eastAsia="宋体" w:cs="宋体"/>
          <w:szCs w:val="21"/>
        </w:rPr>
        <w:t>或公费医疗</w:t>
      </w:r>
      <w:r>
        <w:rPr>
          <w:rFonts w:hint="eastAsia" w:ascii="宋体" w:hAnsi="宋体" w:eastAsia="宋体" w:cs="宋体"/>
          <w:bCs/>
          <w:color w:val="000000" w:themeColor="text1"/>
          <w:szCs w:val="21"/>
          <w14:textFill>
            <w14:solidFill>
              <w14:schemeClr w14:val="tx1"/>
            </w14:solidFill>
          </w14:textFill>
        </w:rPr>
        <w:t>身份投保，则基本医疗保险药品目录内药品和基本医疗保险药品目录外药品赔付比例均为100%。</w:t>
      </w:r>
    </w:p>
    <w:p>
      <w:pPr>
        <w:widowControl/>
        <w:snapToGrid w:val="0"/>
        <w:spacing w:line="360" w:lineRule="auto"/>
        <w:ind w:firstLine="442"/>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③</w:t>
      </w:r>
      <w:r>
        <w:rPr>
          <w:rFonts w:hint="eastAsia" w:ascii="宋体" w:hAnsi="宋体" w:eastAsia="宋体" w:cs="宋体"/>
          <w:bCs/>
          <w:color w:val="000000" w:themeColor="text1"/>
          <w:szCs w:val="21"/>
          <w14:textFill>
            <w14:solidFill>
              <w14:schemeClr w14:val="tx1"/>
            </w14:solidFill>
          </w14:textFill>
        </w:rPr>
        <w:t>海南博鳌乐城国际医疗旅游先行区临床急需进口药品费用保险金计算方法：</w:t>
      </w:r>
    </w:p>
    <w:p>
      <w:pPr>
        <w:widowControl/>
        <w:adjustRightInd/>
        <w:snapToGrid w:val="0"/>
        <w:spacing w:line="360" w:lineRule="auto"/>
        <w:ind w:firstLine="442"/>
        <w:jc w:val="left"/>
        <w:rPr>
          <w:rFonts w:ascii="宋体" w:hAnsi="宋体" w:eastAsia="宋体" w:cs="宋体"/>
          <w:szCs w:val="21"/>
        </w:rPr>
      </w:pPr>
      <w:r>
        <w:rPr>
          <w:rFonts w:hint="eastAsia" w:ascii="宋体" w:hAnsi="宋体" w:eastAsia="宋体" w:cs="宋体"/>
          <w:bCs/>
          <w:color w:val="000000" w:themeColor="text1"/>
          <w:szCs w:val="21"/>
          <w14:textFill>
            <w14:solidFill>
              <w14:schemeClr w14:val="tx1"/>
            </w14:solidFill>
          </w14:textFill>
        </w:rPr>
        <w:t>海南博鳌乐城国际医疗旅游先行区临床急需进口药品费用保险金=（发生的进口药品费用-从其他途径已获得的进口药品费用补偿）×80%。</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（二）年基准</w:t>
      </w:r>
      <w:r>
        <w:rPr>
          <w:rFonts w:hint="eastAsia" w:ascii="宋体" w:hAnsi="宋体" w:eastAsia="宋体" w:cs="宋体"/>
          <w:b/>
          <w:bCs/>
          <w:szCs w:val="21"/>
          <w:lang w:eastAsia="zh-Hans"/>
        </w:rPr>
        <w:t>保险费</w:t>
      </w:r>
    </w:p>
    <w:p>
      <w:pPr>
        <w:widowControl/>
        <w:snapToGrid w:val="0"/>
        <w:spacing w:line="360" w:lineRule="auto"/>
        <w:ind w:firstLine="420" w:firstLineChars="20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（1）</w:t>
      </w:r>
      <w:r>
        <w:rPr>
          <w:rFonts w:hint="eastAsia" w:ascii="宋体" w:hAnsi="宋体" w:eastAsia="宋体" w:cs="宋体"/>
          <w:bCs/>
          <w:color w:val="000000" w:themeColor="text1"/>
          <w:szCs w:val="21"/>
          <w14:textFill>
            <w14:solidFill>
              <w14:schemeClr w14:val="tx1"/>
            </w14:solidFill>
          </w14:textFill>
        </w:rPr>
        <w:t>基本责任：</w:t>
      </w:r>
      <w:r>
        <w:rPr>
          <w:rFonts w:ascii="宋体" w:hAnsi="宋体" w:eastAsia="宋体" w:cs="宋体"/>
          <w:bCs/>
          <w:color w:val="000000" w:themeColor="text1"/>
          <w:szCs w:val="21"/>
          <w14:textFill>
            <w14:solidFill>
              <w14:schemeClr w14:val="tx1"/>
            </w14:solidFill>
          </w14:textFill>
        </w:rPr>
        <w:t xml:space="preserve"> </w:t>
      </w:r>
    </w:p>
    <w:tbl>
      <w:tblPr>
        <w:tblStyle w:val="9"/>
        <w:tblW w:w="6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2126"/>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restart"/>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bookmarkStart w:id="1" w:name="_GoBack" w:colFirst="0" w:colLast="2"/>
            <w:r>
              <w:rPr>
                <w:rFonts w:hint="eastAsia" w:ascii="宋体" w:hAnsi="宋体" w:eastAsia="宋体" w:cs="宋体"/>
                <w:szCs w:val="21"/>
              </w:rPr>
              <w:t>年龄</w:t>
            </w:r>
          </w:p>
        </w:tc>
        <w:tc>
          <w:tcPr>
            <w:tcW w:w="4064" w:type="dxa"/>
            <w:gridSpan w:val="2"/>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基本责任</w:t>
            </w:r>
            <w:r>
              <w:rPr>
                <w:rFonts w:hint="eastAsia" w:ascii="宋体" w:hAnsi="宋体" w:eastAsia="宋体" w:cs="宋体"/>
                <w:bCs/>
                <w:color w:val="000000" w:themeColor="text1"/>
                <w:szCs w:val="21"/>
                <w14:textFill>
                  <w14:solidFill>
                    <w14:schemeClr w14:val="tx1"/>
                  </w14:solidFill>
                </w14:textFill>
              </w:rPr>
              <w:t>年基准保险费（单位：元）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continue"/>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p>
        </w:tc>
        <w:tc>
          <w:tcPr>
            <w:tcW w:w="2126"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有社保</w:t>
            </w:r>
          </w:p>
        </w:tc>
        <w:tc>
          <w:tcPr>
            <w:tcW w:w="1938"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0-4周岁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821</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360</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11-15周岁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144</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16-20周岁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172</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21-25周岁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241</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26-30周岁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303</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31-35周岁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403</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36-40周岁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498</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41-45周岁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606</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46-50周岁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941</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51-55周岁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1163</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56-60周岁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1562</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61-65周岁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2008</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66-70周岁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2976</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8592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71-75周岁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3766</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10866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76-80周岁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4566</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13487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81-85周岁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7113</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86-90周岁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9078</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25629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91-95周岁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11548</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31776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96-100周岁</w:t>
            </w:r>
          </w:p>
        </w:tc>
        <w:tc>
          <w:tcPr>
            <w:tcW w:w="2126"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14688</w:t>
            </w:r>
          </w:p>
        </w:tc>
        <w:tc>
          <w:tcPr>
            <w:tcW w:w="1938"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39521</w:t>
            </w:r>
          </w:p>
        </w:tc>
      </w:tr>
      <w:bookmarkEnd w:id="1"/>
    </w:tbl>
    <w:p>
      <w:pPr>
        <w:widowControl/>
        <w:numPr>
          <w:ilvl w:val="255"/>
          <w:numId w:val="0"/>
        </w:numPr>
        <w:snapToGrid w:val="0"/>
        <w:spacing w:line="360" w:lineRule="auto"/>
        <w:ind w:firstLine="420" w:firstLineChars="200"/>
        <w:jc w:val="left"/>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widowControl/>
        <w:numPr>
          <w:ilvl w:val="255"/>
          <w:numId w:val="0"/>
        </w:numPr>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（2）可选责任1：</w:t>
      </w:r>
    </w:p>
    <w:tbl>
      <w:tblPr>
        <w:tblStyle w:val="9"/>
        <w:tblW w:w="6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年龄</w:t>
            </w:r>
          </w:p>
        </w:tc>
        <w:tc>
          <w:tcPr>
            <w:tcW w:w="4043" w:type="dxa"/>
            <w:tcBorders>
              <w:bottom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重大疾病保险金年基准保险费（单位：元）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0-4周岁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11-15周岁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16-20周岁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21-25周岁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26-30周岁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31-35周岁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36-40周岁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41-45周岁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46-50周岁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51-55周岁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56-60周岁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61-65周岁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66-70周岁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71-75周岁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76-80周岁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81-85周岁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86-90周岁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91-95周岁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96-100周岁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4392</w:t>
            </w:r>
          </w:p>
        </w:tc>
      </w:tr>
    </w:tbl>
    <w:p>
      <w:pPr>
        <w:adjustRightInd w:val="0"/>
        <w:snapToGrid w:val="0"/>
        <w:spacing w:line="360" w:lineRule="auto"/>
        <w:ind w:firstLine="420" w:firstLineChars="200"/>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（3）可选责任2：</w:t>
      </w:r>
    </w:p>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门（急）诊医疗保险金年基准费率：1</w:t>
      </w:r>
      <w:r>
        <w:rPr>
          <w:rFonts w:ascii="宋体" w:hAnsi="宋体" w:eastAsia="宋体" w:cs="宋体"/>
          <w:szCs w:val="21"/>
        </w:rPr>
        <w:t>2</w:t>
      </w:r>
      <w:r>
        <w:rPr>
          <w:rFonts w:hint="eastAsia" w:ascii="宋体" w:hAnsi="宋体" w:eastAsia="宋体" w:cs="宋体"/>
          <w:szCs w:val="21"/>
        </w:rPr>
        <w:t>%</w:t>
      </w:r>
    </w:p>
    <w:p>
      <w:pPr>
        <w:spacing w:line="360" w:lineRule="auto"/>
        <w:jc w:val="left"/>
        <w:rPr>
          <w:rFonts w:ascii="宋体" w:hAnsi="宋体" w:eastAsia="宋体" w:cs="宋体"/>
          <w:b/>
          <w:bCs/>
          <w:szCs w:val="21"/>
        </w:rPr>
      </w:pPr>
      <w:r>
        <w:rPr>
          <w:rFonts w:hint="eastAsia" w:ascii="宋体" w:hAnsi="宋体" w:eastAsia="宋体" w:cs="宋体"/>
          <w:b/>
          <w:bCs/>
          <w:szCs w:val="21"/>
        </w:rPr>
        <w:t>二、方案二</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（一）基准给付标准</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（1）基本责任：</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年度累计保险金额：600万元，其中：</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一般医疗保险金：300万元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重大疾病医疗保险金：在一般医疗保险金基础上叠加300万元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质子重离子医疗保险金：与一般医疗保险金及重大疾病医疗保险金共享保险金额</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重大疾病异地转诊保险金：</w:t>
      </w:r>
      <w:r>
        <w:rPr>
          <w:rFonts w:ascii="宋体" w:hAnsi="宋体" w:eastAsia="宋体" w:cs="宋体"/>
          <w:szCs w:val="21"/>
        </w:rPr>
        <w:t>10</w:t>
      </w:r>
      <w:r>
        <w:rPr>
          <w:rFonts w:hint="eastAsia" w:ascii="宋体" w:hAnsi="宋体" w:eastAsia="宋体" w:cs="宋体"/>
          <w:szCs w:val="21"/>
          <w:lang w:eastAsia="zh-Hans"/>
        </w:rPr>
        <w:t>万</w:t>
      </w:r>
      <w:r>
        <w:rPr>
          <w:rFonts w:hint="eastAsia" w:ascii="宋体" w:hAnsi="宋体" w:eastAsia="宋体" w:cs="宋体"/>
          <w:szCs w:val="21"/>
        </w:rPr>
        <w:t>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恶性肿瘤特定药品费用保险金：100万元</w:t>
      </w:r>
    </w:p>
    <w:p>
      <w:pPr>
        <w:widowControl/>
        <w:numPr>
          <w:ilvl w:val="255"/>
          <w:numId w:val="0"/>
        </w:numPr>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（2）可选责任：</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①重大疾病保险金：</w:t>
      </w:r>
      <w:r>
        <w:rPr>
          <w:rFonts w:ascii="宋体" w:hAnsi="宋体" w:eastAsia="宋体" w:cs="宋体"/>
          <w:szCs w:val="21"/>
        </w:rPr>
        <w:t>1</w:t>
      </w:r>
      <w:r>
        <w:rPr>
          <w:rFonts w:hint="eastAsia" w:ascii="宋体" w:hAnsi="宋体" w:eastAsia="宋体" w:cs="宋体"/>
          <w:szCs w:val="21"/>
        </w:rPr>
        <w:t>万元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②门（急）诊医疗保险金：1</w:t>
      </w:r>
      <w:r>
        <w:rPr>
          <w:rFonts w:ascii="宋体" w:hAnsi="宋体" w:eastAsia="宋体" w:cs="宋体"/>
          <w:szCs w:val="21"/>
        </w:rPr>
        <w:t>000元</w:t>
      </w:r>
    </w:p>
    <w:p>
      <w:pPr>
        <w:widowControl/>
        <w:adjustRightInd w:val="0"/>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2、免赔额</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一般医疗保险金：年免赔额</w:t>
      </w:r>
      <w:r>
        <w:rPr>
          <w:rFonts w:ascii="宋体" w:hAnsi="宋体" w:eastAsia="宋体" w:cs="宋体"/>
          <w:szCs w:val="21"/>
        </w:rPr>
        <w:t>5000</w:t>
      </w:r>
      <w:r>
        <w:rPr>
          <w:rFonts w:hint="eastAsia" w:ascii="宋体" w:hAnsi="宋体" w:eastAsia="宋体" w:cs="宋体"/>
          <w:szCs w:val="21"/>
        </w:rPr>
        <w:t>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因重大疾病导致的医疗费用免赔额为0元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lang w:eastAsia="zh-Hans"/>
        </w:rPr>
        <w:t>门（急）诊医疗保险金：单次免赔额</w:t>
      </w:r>
      <w:r>
        <w:rPr>
          <w:rFonts w:hint="eastAsia" w:ascii="宋体" w:hAnsi="宋体" w:eastAsia="宋体" w:cs="宋体"/>
          <w:szCs w:val="21"/>
        </w:rPr>
        <w:t>1</w:t>
      </w:r>
      <w:r>
        <w:rPr>
          <w:rFonts w:ascii="宋体" w:hAnsi="宋体" w:eastAsia="宋体" w:cs="宋体"/>
          <w:szCs w:val="21"/>
        </w:rPr>
        <w:t>00</w:t>
      </w:r>
      <w:r>
        <w:rPr>
          <w:rFonts w:hint="eastAsia" w:ascii="宋体" w:hAnsi="宋体" w:eastAsia="宋体" w:cs="宋体"/>
          <w:szCs w:val="21"/>
        </w:rPr>
        <w:t>元</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3、赔付比例</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（1）一般医疗及重大疾病医疗保险金：</w:t>
      </w:r>
    </w:p>
    <w:p>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①保险人以参加基本医疗保险或公费医疗身份投保，并以基本医疗保险或公费医疗身份就诊并结算，赔付比例为100%。</w:t>
      </w:r>
    </w:p>
    <w:p>
      <w:pPr>
        <w:snapToGrid w:val="0"/>
        <w:spacing w:line="360" w:lineRule="auto"/>
        <w:ind w:firstLine="440"/>
        <w:rPr>
          <w:rFonts w:ascii="宋体" w:hAnsi="宋体" w:eastAsia="宋体" w:cs="宋体"/>
          <w:b/>
          <w:color w:val="FF0000"/>
          <w:szCs w:val="21"/>
        </w:rPr>
      </w:pPr>
      <w:r>
        <w:rPr>
          <w:rFonts w:hint="eastAsia" w:ascii="宋体" w:hAnsi="宋体" w:eastAsia="宋体" w:cs="宋体"/>
          <w:szCs w:val="21"/>
        </w:rPr>
        <w:t>②若被保险人以参加基本医疗保险或公费医疗身份投保，但未以基本医疗保险或公费医疗身份就诊并结算，赔付比例为60%。</w:t>
      </w:r>
      <w:r>
        <w:rPr>
          <w:rFonts w:hint="eastAsia" w:ascii="宋体" w:hAnsi="宋体" w:eastAsia="宋体" w:cs="宋体"/>
          <w:bCs/>
          <w:color w:val="000000" w:themeColor="text1"/>
          <w:szCs w:val="21"/>
          <w14:textFill>
            <w14:solidFill>
              <w14:schemeClr w14:val="tx1"/>
            </w14:solidFill>
          </w14:textFill>
        </w:rPr>
        <w:t>若同时符合以下三个要件，赔付比例调整为80%：(a) 跨省或自治区或直辖市（仅限中国大陆境内，不包括境外及港、澳、台地区）异地就医；(b)异地就医的医院无法使用被保险人参保所在地的基本医疗保险结算；(c )被保险人已向参保所在地的医保经办机构申请报销，但参保地医保经办机构无法给予基本医疗保险报销。</w:t>
      </w:r>
    </w:p>
    <w:p>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③若被保险人未以参加基本医疗保险或公费医疗身份投保，赔付比例为100%。</w:t>
      </w:r>
    </w:p>
    <w:p>
      <w:pPr>
        <w:numPr>
          <w:ilvl w:val="0"/>
          <w:numId w:val="0"/>
        </w:numPr>
        <w:adjustRightInd w:val="0"/>
        <w:snapToGrid w:val="0"/>
        <w:spacing w:line="360" w:lineRule="auto"/>
        <w:ind w:left="420" w:firstLine="0" w:firstLineChars="0"/>
        <w:rPr>
          <w:rFonts w:ascii="宋体" w:hAnsi="宋体" w:eastAsia="宋体" w:cs="宋体"/>
          <w:szCs w:val="21"/>
        </w:rPr>
      </w:pPr>
      <w:r>
        <w:rPr>
          <w:rFonts w:hint="eastAsia" w:ascii="宋体" w:hAnsi="宋体" w:eastAsia="宋体" w:cs="宋体"/>
          <w:szCs w:val="21"/>
        </w:rPr>
        <w:t>（2）质子重离子医疗保险金：赔付比例为100%。</w:t>
      </w:r>
    </w:p>
    <w:p>
      <w:pPr>
        <w:numPr>
          <w:ilvl w:val="0"/>
          <w:numId w:val="0"/>
        </w:numPr>
        <w:adjustRightInd w:val="0"/>
        <w:snapToGrid w:val="0"/>
        <w:spacing w:line="360" w:lineRule="auto"/>
        <w:ind w:left="420" w:firstLine="0" w:firstLineChars="0"/>
        <w:rPr>
          <w:rFonts w:ascii="宋体" w:hAnsi="宋体" w:eastAsia="宋体" w:cs="宋体"/>
          <w:szCs w:val="21"/>
        </w:rPr>
      </w:pPr>
      <w:r>
        <w:rPr>
          <w:rFonts w:hint="eastAsia" w:ascii="宋体" w:hAnsi="宋体" w:eastAsia="宋体" w:cs="宋体"/>
          <w:szCs w:val="21"/>
        </w:rPr>
        <w:t>（3）恶性肿瘤特定药品费用保险金：</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①</w:t>
      </w:r>
      <w:r>
        <w:rPr>
          <w:rFonts w:hint="eastAsia" w:ascii="宋体" w:hAnsi="宋体" w:eastAsia="宋体" w:cs="宋体"/>
          <w:bCs/>
          <w:color w:val="000000" w:themeColor="text1"/>
          <w:szCs w:val="21"/>
          <w14:textFill>
            <w14:solidFill>
              <w14:schemeClr w14:val="tx1"/>
            </w14:solidFill>
          </w14:textFill>
        </w:rPr>
        <w:t>若被保险人以参加基本医疗保险</w:t>
      </w:r>
      <w:r>
        <w:rPr>
          <w:rFonts w:hint="eastAsia" w:ascii="宋体" w:hAnsi="宋体" w:eastAsia="宋体" w:cs="宋体"/>
          <w:szCs w:val="21"/>
        </w:rPr>
        <w:t>或公费医疗</w:t>
      </w:r>
      <w:r>
        <w:rPr>
          <w:rFonts w:hint="eastAsia" w:ascii="宋体" w:hAnsi="宋体" w:eastAsia="宋体" w:cs="宋体"/>
          <w:bCs/>
          <w:color w:val="000000" w:themeColor="text1"/>
          <w:szCs w:val="21"/>
          <w14:textFill>
            <w14:solidFill>
              <w14:schemeClr w14:val="tx1"/>
            </w14:solidFill>
          </w14:textFill>
        </w:rPr>
        <w:t>身份投保：</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a.如药品为基本医疗保险药品目录内且已经过基本医疗保险报销，赔付比例为100%；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b.如药品为基本医疗保险药品目录内但未经过基本医疗保险报销，赔付比例为60%；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c.如药品为基本医疗保险药品目录外，赔付比例为100%。</w:t>
      </w:r>
    </w:p>
    <w:p>
      <w:pPr>
        <w:widowControl/>
        <w:snapToGrid w:val="0"/>
        <w:spacing w:line="360" w:lineRule="auto"/>
        <w:ind w:firstLine="44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②</w:t>
      </w:r>
      <w:r>
        <w:rPr>
          <w:rFonts w:hint="eastAsia" w:ascii="宋体" w:hAnsi="宋体" w:eastAsia="宋体" w:cs="宋体"/>
          <w:bCs/>
          <w:color w:val="000000" w:themeColor="text1"/>
          <w:szCs w:val="21"/>
          <w14:textFill>
            <w14:solidFill>
              <w14:schemeClr w14:val="tx1"/>
            </w14:solidFill>
          </w14:textFill>
        </w:rPr>
        <w:t>若被保险人未以参加基本医疗保险</w:t>
      </w:r>
      <w:r>
        <w:rPr>
          <w:rFonts w:hint="eastAsia" w:ascii="宋体" w:hAnsi="宋体" w:eastAsia="宋体" w:cs="宋体"/>
          <w:szCs w:val="21"/>
        </w:rPr>
        <w:t>或公费医疗</w:t>
      </w:r>
      <w:r>
        <w:rPr>
          <w:rFonts w:hint="eastAsia" w:ascii="宋体" w:hAnsi="宋体" w:eastAsia="宋体" w:cs="宋体"/>
          <w:bCs/>
          <w:color w:val="000000" w:themeColor="text1"/>
          <w:szCs w:val="21"/>
          <w14:textFill>
            <w14:solidFill>
              <w14:schemeClr w14:val="tx1"/>
            </w14:solidFill>
          </w14:textFill>
        </w:rPr>
        <w:t>身份投保，则基本医疗保险药品目录内药品和基本医疗保险药品目录外药品赔付比例均为100%。</w:t>
      </w:r>
    </w:p>
    <w:p>
      <w:pPr>
        <w:widowControl/>
        <w:snapToGrid w:val="0"/>
        <w:spacing w:line="360" w:lineRule="auto"/>
        <w:ind w:firstLine="442"/>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③</w:t>
      </w:r>
      <w:r>
        <w:rPr>
          <w:rFonts w:hint="eastAsia" w:ascii="宋体" w:hAnsi="宋体" w:eastAsia="宋体" w:cs="宋体"/>
          <w:bCs/>
          <w:color w:val="000000" w:themeColor="text1"/>
          <w:szCs w:val="21"/>
          <w14:textFill>
            <w14:solidFill>
              <w14:schemeClr w14:val="tx1"/>
            </w14:solidFill>
          </w14:textFill>
        </w:rPr>
        <w:t>海南博鳌乐城国际医疗旅游先行区临床急需进口药品费用保险金计算方法：</w:t>
      </w:r>
    </w:p>
    <w:p>
      <w:pPr>
        <w:widowControl/>
        <w:snapToGrid w:val="0"/>
        <w:spacing w:line="360" w:lineRule="auto"/>
        <w:ind w:firstLine="442"/>
        <w:jc w:val="left"/>
        <w:rPr>
          <w:rFonts w:ascii="宋体" w:hAnsi="宋体" w:eastAsia="宋体" w:cs="宋体"/>
          <w:szCs w:val="21"/>
        </w:rPr>
      </w:pPr>
      <w:r>
        <w:rPr>
          <w:rFonts w:hint="eastAsia" w:ascii="宋体" w:hAnsi="宋体" w:eastAsia="宋体" w:cs="宋体"/>
          <w:bCs/>
          <w:color w:val="000000" w:themeColor="text1"/>
          <w:szCs w:val="21"/>
          <w14:textFill>
            <w14:solidFill>
              <w14:schemeClr w14:val="tx1"/>
            </w14:solidFill>
          </w14:textFill>
        </w:rPr>
        <w:t>海南博鳌乐城国际医疗旅游先行区临床急需进口药品费用保险金=（发生的进口药品费用-从其他途径已获得的进口药品费用补偿）×80%。</w:t>
      </w:r>
    </w:p>
    <w:p>
      <w:pPr>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（二）年基准</w:t>
      </w:r>
      <w:r>
        <w:rPr>
          <w:rFonts w:hint="eastAsia" w:ascii="宋体" w:hAnsi="宋体" w:eastAsia="宋体" w:cs="宋体"/>
          <w:b/>
          <w:bCs/>
          <w:szCs w:val="21"/>
          <w:lang w:eastAsia="zh-Hans"/>
        </w:rPr>
        <w:t>保险费</w:t>
      </w:r>
    </w:p>
    <w:p>
      <w:pPr>
        <w:widowControl/>
        <w:snapToGrid w:val="0"/>
        <w:spacing w:line="360" w:lineRule="auto"/>
        <w:ind w:firstLine="420" w:firstLineChars="200"/>
        <w:jc w:val="left"/>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szCs w:val="21"/>
        </w:rPr>
        <w:t>（1）</w:t>
      </w:r>
      <w:r>
        <w:rPr>
          <w:rFonts w:hint="eastAsia" w:ascii="宋体" w:hAnsi="宋体" w:eastAsia="宋体" w:cs="宋体"/>
          <w:bCs/>
          <w:color w:val="000000" w:themeColor="text1"/>
          <w:szCs w:val="21"/>
          <w14:textFill>
            <w14:solidFill>
              <w14:schemeClr w14:val="tx1"/>
            </w14:solidFill>
          </w14:textFill>
        </w:rPr>
        <w:t>基本责任：</w:t>
      </w:r>
      <w:r>
        <w:rPr>
          <w:rFonts w:ascii="宋体" w:hAnsi="宋体" w:eastAsia="宋体" w:cs="宋体"/>
          <w:bCs/>
          <w:color w:val="000000" w:themeColor="text1"/>
          <w:szCs w:val="21"/>
          <w14:textFill>
            <w14:solidFill>
              <w14:schemeClr w14:val="tx1"/>
            </w14:solidFill>
          </w14:textFill>
        </w:rPr>
        <w:t xml:space="preserve"> </w:t>
      </w:r>
    </w:p>
    <w:tbl>
      <w:tblPr>
        <w:tblStyle w:val="9"/>
        <w:tblW w:w="6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2126"/>
        <w:gridCol w:w="1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restart"/>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年龄</w:t>
            </w:r>
          </w:p>
        </w:tc>
        <w:tc>
          <w:tcPr>
            <w:tcW w:w="4064" w:type="dxa"/>
            <w:gridSpan w:val="2"/>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基本责任</w:t>
            </w:r>
            <w:r>
              <w:rPr>
                <w:rFonts w:hint="eastAsia" w:ascii="宋体" w:hAnsi="宋体" w:eastAsia="宋体" w:cs="宋体"/>
                <w:bCs/>
                <w:color w:val="000000" w:themeColor="text1"/>
                <w:szCs w:val="21"/>
                <w14:textFill>
                  <w14:solidFill>
                    <w14:schemeClr w14:val="tx1"/>
                  </w14:solidFill>
                </w14:textFill>
              </w:rPr>
              <w:t>年基准保险费（单位：元）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vMerge w:val="continue"/>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p>
        </w:tc>
        <w:tc>
          <w:tcPr>
            <w:tcW w:w="2126"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有社保</w:t>
            </w:r>
          </w:p>
        </w:tc>
        <w:tc>
          <w:tcPr>
            <w:tcW w:w="1938"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0-4周岁</w:t>
            </w:r>
          </w:p>
        </w:tc>
        <w:tc>
          <w:tcPr>
            <w:tcW w:w="212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1224</w:t>
            </w:r>
          </w:p>
        </w:tc>
        <w:tc>
          <w:tcPr>
            <w:tcW w:w="1938"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544</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11-15周岁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230</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16-20周岁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270</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21-25周岁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362</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26-30周岁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464</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31-35周岁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610</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36-40周岁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751</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41-45周岁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934</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46-50周岁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1413</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4293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51-55周岁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1745</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5631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56-60周岁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2345</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7131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61-65周岁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3045</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9177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66-70周岁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4381</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12624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71-75周岁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5638</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16373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76-80周岁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6876</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20215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81-85周岁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10765</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31319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86-90周岁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13686</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39211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91-95周岁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17366</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48987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97" w:type="dxa"/>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96-100周岁</w:t>
            </w:r>
          </w:p>
        </w:tc>
        <w:tc>
          <w:tcPr>
            <w:tcW w:w="212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22118</w:t>
            </w:r>
          </w:p>
        </w:tc>
        <w:tc>
          <w:tcPr>
            <w:tcW w:w="193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ascii="宋体" w:hAnsi="宋体" w:eastAsia="宋体"/>
                <w:sz w:val="21"/>
                <w:szCs w:val="21"/>
              </w:rPr>
              <w:t>61870</w:t>
            </w:r>
          </w:p>
        </w:tc>
      </w:tr>
    </w:tbl>
    <w:p>
      <w:pPr>
        <w:widowControl/>
        <w:numPr>
          <w:ilvl w:val="255"/>
          <w:numId w:val="0"/>
        </w:numPr>
        <w:snapToGrid w:val="0"/>
        <w:spacing w:line="360" w:lineRule="auto"/>
        <w:ind w:firstLine="420" w:firstLineChars="200"/>
        <w:jc w:val="left"/>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widowControl/>
        <w:numPr>
          <w:ilvl w:val="255"/>
          <w:numId w:val="0"/>
        </w:numPr>
        <w:snapToGrid w:val="0"/>
        <w:spacing w:line="360" w:lineRule="auto"/>
        <w:ind w:firstLine="420" w:firstLineChars="200"/>
        <w:jc w:val="left"/>
        <w:rPr>
          <w:rFonts w:ascii="宋体" w:hAnsi="宋体" w:eastAsia="宋体" w:cs="宋体"/>
          <w:szCs w:val="21"/>
        </w:rPr>
      </w:pPr>
      <w:r>
        <w:rPr>
          <w:rFonts w:hint="eastAsia" w:ascii="宋体" w:hAnsi="宋体" w:eastAsia="宋体" w:cs="宋体"/>
          <w:szCs w:val="21"/>
        </w:rPr>
        <w:t>（2）可选责任1：</w:t>
      </w:r>
    </w:p>
    <w:tbl>
      <w:tblPr>
        <w:tblStyle w:val="9"/>
        <w:tblW w:w="6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4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年龄</w:t>
            </w:r>
          </w:p>
        </w:tc>
        <w:tc>
          <w:tcPr>
            <w:tcW w:w="4043" w:type="dxa"/>
            <w:tcBorders>
              <w:bottom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重大疾病保险金年基准保险费（单位：元）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0-4周岁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11-15周岁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16-20周岁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21-25周岁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26-30周岁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31-35周岁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36-40周岁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41-45周岁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46-50周岁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51-55周岁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56-60周岁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61-65周岁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66-70周岁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71-75周岁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76-80周岁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81-85周岁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1912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86-90周岁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2604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91-95周岁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3455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976" w:type="dxa"/>
            <w:tcBorders>
              <w:right w:val="single" w:color="auto" w:sz="4" w:space="0"/>
            </w:tcBorders>
            <w:noWrap/>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s="宋体"/>
                <w:szCs w:val="21"/>
              </w:rPr>
              <w:t>96-100周岁</w:t>
            </w:r>
          </w:p>
        </w:tc>
        <w:tc>
          <w:tcPr>
            <w:tcW w:w="404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ascii="宋体" w:hAnsi="宋体" w:eastAsia="宋体" w:cs="宋体"/>
                <w:szCs w:val="21"/>
              </w:rPr>
            </w:pPr>
            <w:r>
              <w:rPr>
                <w:rFonts w:hint="eastAsia" w:ascii="宋体" w:hAnsi="宋体" w:eastAsia="宋体"/>
                <w:color w:val="000000"/>
                <w:szCs w:val="21"/>
              </w:rPr>
              <w:t>4392</w:t>
            </w:r>
          </w:p>
        </w:tc>
      </w:tr>
    </w:tbl>
    <w:p>
      <w:pPr>
        <w:adjustRightInd w:val="0"/>
        <w:snapToGrid w:val="0"/>
        <w:spacing w:line="360" w:lineRule="auto"/>
        <w:ind w:firstLine="420" w:firstLineChars="200"/>
        <w:rPr>
          <w:rFonts w:ascii="宋体" w:hAnsi="宋体" w:eastAsia="宋体" w:cs="宋体"/>
          <w:szCs w:val="21"/>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（3）可选责任2：</w:t>
      </w:r>
    </w:p>
    <w:p>
      <w:pPr>
        <w:adjustRightInd w:val="0"/>
        <w:snapToGrid w:val="0"/>
        <w:spacing w:line="360" w:lineRule="auto"/>
        <w:ind w:firstLine="420"/>
        <w:rPr>
          <w:rFonts w:ascii="宋体" w:hAnsi="宋体" w:eastAsia="宋体" w:cs="宋体"/>
          <w:szCs w:val="21"/>
        </w:rPr>
      </w:pPr>
      <w:r>
        <w:rPr>
          <w:rFonts w:hint="eastAsia" w:ascii="宋体" w:hAnsi="宋体" w:eastAsia="宋体" w:cs="宋体"/>
          <w:szCs w:val="21"/>
        </w:rPr>
        <w:t>门（急）诊医疗保险金年基准费率：1</w:t>
      </w:r>
      <w:r>
        <w:rPr>
          <w:rFonts w:ascii="宋体" w:hAnsi="宋体" w:eastAsia="宋体" w:cs="宋体"/>
          <w:szCs w:val="21"/>
        </w:rPr>
        <w:t>2</w:t>
      </w:r>
      <w:r>
        <w:rPr>
          <w:rFonts w:hint="eastAsia" w:ascii="宋体" w:hAnsi="宋体" w:eastAsia="宋体" w:cs="宋体"/>
          <w:szCs w:val="21"/>
        </w:rPr>
        <w:t>%</w:t>
      </w:r>
    </w:p>
    <w:p>
      <w:pPr>
        <w:adjustRightInd w:val="0"/>
        <w:snapToGrid w:val="0"/>
        <w:spacing w:line="360" w:lineRule="auto"/>
        <w:ind w:firstLine="420"/>
        <w:rPr>
          <w:rFonts w:ascii="宋体" w:hAnsi="宋体" w:eastAsia="宋体" w:cs="宋体"/>
          <w:szCs w:val="21"/>
        </w:rPr>
      </w:pPr>
    </w:p>
    <w:p>
      <w:pPr>
        <w:jc w:val="left"/>
        <w:rPr>
          <w:rFonts w:ascii="宋体" w:hAnsi="宋体" w:eastAsia="宋体" w:cs="宋体"/>
          <w:b/>
          <w:szCs w:val="21"/>
        </w:rPr>
      </w:pPr>
      <w:r>
        <w:rPr>
          <w:rFonts w:hint="eastAsia" w:ascii="宋体" w:hAnsi="宋体" w:eastAsia="宋体" w:cs="宋体"/>
          <w:b/>
          <w:szCs w:val="21"/>
        </w:rPr>
        <w:t>三、费率调整</w:t>
      </w:r>
      <w:r>
        <w:rPr>
          <w:rFonts w:ascii="宋体" w:hAnsi="宋体" w:eastAsia="宋体" w:cs="宋体"/>
          <w:b/>
          <w:szCs w:val="21"/>
        </w:rPr>
        <w:t>系数</w:t>
      </w:r>
    </w:p>
    <w:p>
      <w:pPr>
        <w:adjustRightInd w:val="0"/>
        <w:snapToGrid w:val="0"/>
        <w:spacing w:line="360" w:lineRule="auto"/>
        <w:ind w:firstLine="420"/>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、门（急）诊医疗保险金单次免赔额调整系数（F</w:t>
      </w:r>
      <w:r>
        <w:rPr>
          <w:rFonts w:ascii="宋体" w:hAnsi="宋体" w:eastAsia="宋体" w:cs="宋体"/>
          <w:szCs w:val="21"/>
        </w:rPr>
        <w:t>1</w:t>
      </w:r>
      <w:r>
        <w:rPr>
          <w:rFonts w:hint="eastAsia" w:ascii="宋体" w:hAnsi="宋体" w:eastAsia="宋体" w:cs="宋体"/>
          <w:szCs w:val="21"/>
        </w:rPr>
        <w:t>）：根据承保时约定的单次免赔额，进行划分。</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1496"/>
        <w:gridCol w:w="1722"/>
        <w:gridCol w:w="1722"/>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758" w:type="dxa"/>
            <w:vAlign w:val="center"/>
          </w:tcPr>
          <w:p>
            <w:pPr>
              <w:widowControl/>
              <w:spacing w:after="156" w:afterLines="50"/>
              <w:jc w:val="center"/>
              <w:rPr>
                <w:rFonts w:ascii="宋体" w:hAnsi="宋体" w:eastAsia="宋体" w:cs="宋体"/>
                <w:kern w:val="0"/>
                <w:szCs w:val="21"/>
              </w:rPr>
            </w:pPr>
            <w:r>
              <w:rPr>
                <w:rFonts w:hint="eastAsia" w:ascii="宋体" w:hAnsi="宋体" w:eastAsia="宋体" w:cs="宋体"/>
                <w:kern w:val="0"/>
                <w:szCs w:val="21"/>
              </w:rPr>
              <w:t>单次免赔额（元）</w:t>
            </w:r>
          </w:p>
        </w:tc>
        <w:tc>
          <w:tcPr>
            <w:tcW w:w="1496"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0（含）-100</w:t>
            </w:r>
          </w:p>
        </w:tc>
        <w:tc>
          <w:tcPr>
            <w:tcW w:w="172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100（含）-200</w:t>
            </w:r>
          </w:p>
        </w:tc>
        <w:tc>
          <w:tcPr>
            <w:tcW w:w="172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200（含）-500</w:t>
            </w:r>
          </w:p>
        </w:tc>
        <w:tc>
          <w:tcPr>
            <w:tcW w:w="172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500（含）及以上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758" w:type="dxa"/>
            <w:vAlign w:val="center"/>
          </w:tcPr>
          <w:p>
            <w:pPr>
              <w:widowControl/>
              <w:spacing w:after="156" w:afterLines="50"/>
              <w:jc w:val="center"/>
              <w:rPr>
                <w:rFonts w:ascii="宋体" w:hAnsi="宋体" w:eastAsia="宋体" w:cs="宋体"/>
                <w:kern w:val="0"/>
                <w:szCs w:val="21"/>
              </w:rPr>
            </w:pPr>
            <w:r>
              <w:rPr>
                <w:rFonts w:hint="eastAsia" w:ascii="宋体" w:hAnsi="宋体" w:eastAsia="宋体" w:cs="宋体"/>
                <w:kern w:val="0"/>
                <w:szCs w:val="21"/>
              </w:rPr>
              <w:t>调整系数</w:t>
            </w:r>
          </w:p>
        </w:tc>
        <w:tc>
          <w:tcPr>
            <w:tcW w:w="1496"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(1.0</w:t>
            </w:r>
            <w:r>
              <w:rPr>
                <w:rFonts w:ascii="宋体" w:hAnsi="宋体" w:eastAsia="宋体" w:cs="宋体"/>
                <w:kern w:val="0"/>
              </w:rPr>
              <w:t>,</w:t>
            </w:r>
            <w:r>
              <w:rPr>
                <w:rFonts w:hint="eastAsia" w:ascii="宋体" w:hAnsi="宋体" w:eastAsia="宋体" w:cs="宋体"/>
                <w:kern w:val="0"/>
              </w:rPr>
              <w:t>3</w:t>
            </w:r>
            <w:r>
              <w:rPr>
                <w:rFonts w:hint="eastAsia" w:ascii="宋体" w:hAnsi="宋体" w:eastAsia="宋体" w:cs="宋体"/>
                <w:kern w:val="0"/>
                <w:lang w:eastAsia="zh-Hans"/>
              </w:rPr>
              <w:t>.0</w:t>
            </w:r>
            <w:r>
              <w:rPr>
                <w:rFonts w:hint="eastAsia" w:ascii="宋体" w:hAnsi="宋体" w:eastAsia="宋体" w:cs="宋体"/>
                <w:kern w:val="0"/>
              </w:rPr>
              <w:t>]</w:t>
            </w:r>
          </w:p>
        </w:tc>
        <w:tc>
          <w:tcPr>
            <w:tcW w:w="172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(0.95</w:t>
            </w:r>
            <w:r>
              <w:rPr>
                <w:rFonts w:ascii="宋体" w:hAnsi="宋体" w:eastAsia="宋体" w:cs="宋体"/>
                <w:kern w:val="0"/>
              </w:rPr>
              <w:t>,</w:t>
            </w:r>
            <w:r>
              <w:rPr>
                <w:rFonts w:hint="eastAsia" w:ascii="宋体" w:hAnsi="宋体" w:eastAsia="宋体" w:cs="宋体"/>
                <w:kern w:val="0"/>
              </w:rPr>
              <w:t>1.0]</w:t>
            </w:r>
          </w:p>
        </w:tc>
        <w:tc>
          <w:tcPr>
            <w:tcW w:w="172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(0.85</w:t>
            </w:r>
            <w:r>
              <w:rPr>
                <w:rFonts w:ascii="宋体" w:hAnsi="宋体" w:eastAsia="宋体" w:cs="宋体"/>
                <w:kern w:val="0"/>
              </w:rPr>
              <w:t>,</w:t>
            </w:r>
            <w:r>
              <w:rPr>
                <w:rFonts w:hint="eastAsia" w:ascii="宋体" w:hAnsi="宋体" w:eastAsia="宋体" w:cs="宋体"/>
                <w:kern w:val="0"/>
              </w:rPr>
              <w:t>0.95]</w:t>
            </w:r>
          </w:p>
        </w:tc>
        <w:tc>
          <w:tcPr>
            <w:tcW w:w="1722" w:type="dxa"/>
            <w:vAlign w:val="center"/>
          </w:tcPr>
          <w:p>
            <w:pPr>
              <w:widowControl/>
              <w:spacing w:after="156" w:afterLines="50"/>
              <w:jc w:val="center"/>
              <w:rPr>
                <w:rFonts w:ascii="宋体" w:hAnsi="宋体" w:eastAsia="宋体" w:cs="宋体"/>
                <w:kern w:val="0"/>
              </w:rPr>
            </w:pPr>
            <w:r>
              <w:rPr>
                <w:rFonts w:ascii="宋体" w:hAnsi="宋体" w:eastAsia="宋体" w:cs="宋体"/>
                <w:kern w:val="0"/>
              </w:rPr>
              <w:t>[</w:t>
            </w:r>
            <w:r>
              <w:rPr>
                <w:rFonts w:hint="eastAsia" w:ascii="宋体" w:hAnsi="宋体" w:eastAsia="宋体" w:cs="宋体"/>
                <w:kern w:val="0"/>
              </w:rPr>
              <w:t>0.7</w:t>
            </w:r>
            <w:r>
              <w:rPr>
                <w:rFonts w:ascii="宋体" w:hAnsi="宋体" w:eastAsia="宋体" w:cs="宋体"/>
                <w:kern w:val="0"/>
              </w:rPr>
              <w:t>,</w:t>
            </w:r>
            <w:r>
              <w:rPr>
                <w:rFonts w:hint="eastAsia" w:ascii="宋体" w:hAnsi="宋体" w:eastAsia="宋体" w:cs="宋体"/>
                <w:kern w:val="0"/>
              </w:rPr>
              <w:t>0.85]</w:t>
            </w:r>
          </w:p>
        </w:tc>
      </w:tr>
    </w:tbl>
    <w:p>
      <w:pPr>
        <w:adjustRightInd w:val="0"/>
        <w:snapToGrid w:val="0"/>
        <w:spacing w:line="360" w:lineRule="auto"/>
        <w:ind w:firstLine="420"/>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、门（急）诊医疗保险金赔付比例调整系数（F</w:t>
      </w:r>
      <w:r>
        <w:rPr>
          <w:rFonts w:ascii="宋体" w:hAnsi="宋体" w:eastAsia="宋体" w:cs="宋体"/>
          <w:szCs w:val="21"/>
        </w:rPr>
        <w:t>2</w:t>
      </w:r>
      <w:r>
        <w:rPr>
          <w:rFonts w:hint="eastAsia" w:ascii="宋体" w:hAnsi="宋体" w:eastAsia="宋体" w:cs="宋体"/>
          <w:szCs w:val="21"/>
        </w:rPr>
        <w:t>）：根据承保时约定的赔付比例，进行划分。</w:t>
      </w:r>
    </w:p>
    <w:tbl>
      <w:tblPr>
        <w:tblStyle w:val="8"/>
        <w:tblW w:w="7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1301"/>
        <w:gridCol w:w="1301"/>
        <w:gridCol w:w="1301"/>
        <w:gridCol w:w="1301"/>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给付比例</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(95%</w:t>
            </w:r>
            <w:r>
              <w:rPr>
                <w:rFonts w:ascii="宋体" w:hAnsi="宋体" w:eastAsia="宋体" w:cs="宋体"/>
                <w:kern w:val="0"/>
              </w:rPr>
              <w:t>,</w:t>
            </w:r>
            <w:r>
              <w:rPr>
                <w:rFonts w:hint="eastAsia" w:ascii="宋体" w:hAnsi="宋体" w:eastAsia="宋体" w:cs="宋体"/>
                <w:kern w:val="0"/>
              </w:rPr>
              <w:t>100%]</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(80%</w:t>
            </w:r>
            <w:r>
              <w:rPr>
                <w:rFonts w:ascii="宋体" w:hAnsi="宋体" w:eastAsia="宋体" w:cs="宋体"/>
                <w:kern w:val="0"/>
              </w:rPr>
              <w:t>,</w:t>
            </w:r>
            <w:r>
              <w:rPr>
                <w:rFonts w:hint="eastAsia" w:ascii="宋体" w:hAnsi="宋体" w:eastAsia="宋体" w:cs="宋体"/>
                <w:kern w:val="0"/>
              </w:rPr>
              <w:t>95%]</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(70%</w:t>
            </w:r>
            <w:r>
              <w:rPr>
                <w:rFonts w:ascii="宋体" w:hAnsi="宋体" w:eastAsia="宋体" w:cs="宋体"/>
                <w:kern w:val="0"/>
              </w:rPr>
              <w:t>,</w:t>
            </w:r>
            <w:r>
              <w:rPr>
                <w:rFonts w:hint="eastAsia" w:ascii="宋体" w:hAnsi="宋体" w:eastAsia="宋体" w:cs="宋体"/>
                <w:kern w:val="0"/>
              </w:rPr>
              <w:t>80%]</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w:t>
            </w:r>
            <w:r>
              <w:rPr>
                <w:rFonts w:ascii="宋体" w:hAnsi="宋体" w:eastAsia="宋体" w:cs="宋体"/>
                <w:kern w:val="0"/>
              </w:rPr>
              <w:t>5</w:t>
            </w: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70%]</w:t>
            </w:r>
          </w:p>
        </w:tc>
        <w:tc>
          <w:tcPr>
            <w:tcW w:w="1302"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调整系数</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(1.0</w:t>
            </w:r>
            <w:r>
              <w:rPr>
                <w:rFonts w:ascii="宋体" w:hAnsi="宋体" w:eastAsia="宋体" w:cs="宋体"/>
                <w:kern w:val="0"/>
              </w:rPr>
              <w:t>,</w:t>
            </w:r>
            <w:r>
              <w:rPr>
                <w:rFonts w:hint="eastAsia" w:ascii="宋体" w:hAnsi="宋体" w:eastAsia="宋体" w:cs="宋体"/>
                <w:kern w:val="0"/>
              </w:rPr>
              <w:t>3</w:t>
            </w:r>
            <w:r>
              <w:rPr>
                <w:rFonts w:hint="eastAsia" w:ascii="宋体" w:hAnsi="宋体" w:eastAsia="宋体" w:cs="宋体"/>
                <w:kern w:val="0"/>
                <w:lang w:eastAsia="zh-Hans"/>
              </w:rPr>
              <w:t>.0</w:t>
            </w:r>
            <w:r>
              <w:rPr>
                <w:rFonts w:hint="eastAsia" w:ascii="宋体" w:hAnsi="宋体" w:eastAsia="宋体" w:cs="宋体"/>
                <w:kern w:val="0"/>
              </w:rPr>
              <w:t>]</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(0.9</w:t>
            </w:r>
            <w:r>
              <w:rPr>
                <w:rFonts w:ascii="宋体" w:hAnsi="宋体" w:eastAsia="宋体" w:cs="宋体"/>
                <w:kern w:val="0"/>
              </w:rPr>
              <w:t>,</w:t>
            </w:r>
            <w:r>
              <w:rPr>
                <w:rFonts w:hint="eastAsia" w:ascii="宋体" w:hAnsi="宋体" w:eastAsia="宋体" w:cs="宋体"/>
                <w:kern w:val="0"/>
              </w:rPr>
              <w:t>1.0]</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(0.8</w:t>
            </w:r>
            <w:r>
              <w:rPr>
                <w:rFonts w:ascii="宋体" w:hAnsi="宋体" w:eastAsia="宋体" w:cs="宋体"/>
                <w:kern w:val="0"/>
              </w:rPr>
              <w:t>,</w:t>
            </w:r>
            <w:r>
              <w:rPr>
                <w:rFonts w:hint="eastAsia" w:ascii="宋体" w:hAnsi="宋体" w:eastAsia="宋体" w:cs="宋体"/>
                <w:kern w:val="0"/>
              </w:rPr>
              <w:t>0.9]</w:t>
            </w:r>
          </w:p>
        </w:tc>
        <w:tc>
          <w:tcPr>
            <w:tcW w:w="1301" w:type="dxa"/>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(0.75</w:t>
            </w:r>
            <w:r>
              <w:rPr>
                <w:rFonts w:ascii="宋体" w:hAnsi="宋体" w:eastAsia="宋体" w:cs="宋体"/>
                <w:kern w:val="0"/>
              </w:rPr>
              <w:t>,</w:t>
            </w:r>
            <w:r>
              <w:rPr>
                <w:rFonts w:hint="eastAsia" w:ascii="宋体" w:hAnsi="宋体" w:eastAsia="宋体" w:cs="宋体"/>
                <w:kern w:val="0"/>
              </w:rPr>
              <w:t>0.8]</w:t>
            </w:r>
          </w:p>
        </w:tc>
        <w:tc>
          <w:tcPr>
            <w:tcW w:w="1302" w:type="dxa"/>
            <w:vAlign w:val="center"/>
          </w:tcPr>
          <w:p>
            <w:pPr>
              <w:widowControl/>
              <w:spacing w:after="156" w:afterLines="50"/>
              <w:jc w:val="center"/>
              <w:rPr>
                <w:rFonts w:ascii="宋体" w:hAnsi="宋体" w:eastAsia="宋体" w:cs="宋体"/>
                <w:kern w:val="0"/>
              </w:rPr>
            </w:pPr>
            <w:r>
              <w:rPr>
                <w:rFonts w:ascii="宋体" w:hAnsi="宋体" w:eastAsia="宋体" w:cs="宋体"/>
                <w:kern w:val="0"/>
              </w:rPr>
              <w:t>[</w:t>
            </w:r>
            <w:r>
              <w:rPr>
                <w:rFonts w:hint="eastAsia" w:ascii="宋体" w:hAnsi="宋体" w:eastAsia="宋体" w:cs="宋体"/>
                <w:kern w:val="0"/>
              </w:rPr>
              <w:t>0.6</w:t>
            </w:r>
            <w:r>
              <w:rPr>
                <w:rFonts w:ascii="宋体" w:hAnsi="宋体" w:eastAsia="宋体" w:cs="宋体"/>
                <w:kern w:val="0"/>
              </w:rPr>
              <w:t>,</w:t>
            </w:r>
            <w:r>
              <w:rPr>
                <w:rFonts w:hint="eastAsia" w:ascii="宋体" w:hAnsi="宋体" w:eastAsia="宋体" w:cs="宋体"/>
                <w:kern w:val="0"/>
              </w:rPr>
              <w:t>0.75]</w:t>
            </w:r>
          </w:p>
        </w:tc>
      </w:tr>
    </w:tbl>
    <w:p>
      <w:pPr>
        <w:adjustRightInd w:val="0"/>
        <w:snapToGrid w:val="0"/>
        <w:spacing w:line="360" w:lineRule="auto"/>
        <w:ind w:firstLine="420"/>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、单次门（急）诊医疗费用保险金额调整系数（F</w:t>
      </w:r>
      <w:r>
        <w:rPr>
          <w:rFonts w:ascii="宋体" w:hAnsi="宋体" w:eastAsia="宋体" w:cs="宋体"/>
          <w:szCs w:val="21"/>
        </w:rPr>
        <w:t>3</w:t>
      </w:r>
      <w:r>
        <w:rPr>
          <w:rFonts w:hint="eastAsia" w:ascii="宋体" w:hAnsi="宋体" w:eastAsia="宋体" w:cs="宋体"/>
          <w:szCs w:val="21"/>
        </w:rPr>
        <w:t>）：根据承保时约定的单次门（急）诊医疗费用保险金额，进行划分。</w:t>
      </w:r>
    </w:p>
    <w:tbl>
      <w:tblPr>
        <w:tblStyle w:val="17"/>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szCs w:val="21"/>
              </w:rPr>
            </w:pPr>
            <w:r>
              <w:rPr>
                <w:rFonts w:hint="eastAsia" w:ascii="宋体" w:hAnsi="宋体" w:eastAsia="宋体" w:cs="宋体"/>
                <w:bCs/>
                <w:szCs w:val="21"/>
              </w:rPr>
              <w:t>单次保险金额(元）</w:t>
            </w:r>
          </w:p>
        </w:tc>
        <w:tc>
          <w:tcPr>
            <w:tcW w:w="2838" w:type="dxa"/>
          </w:tcPr>
          <w:p>
            <w:pPr>
              <w:jc w:val="center"/>
              <w:rPr>
                <w:rFonts w:ascii="宋体" w:hAnsi="宋体" w:eastAsia="宋体" w:cs="宋体"/>
                <w:bCs/>
                <w:szCs w:val="21"/>
              </w:rPr>
            </w:pPr>
            <w:r>
              <w:rPr>
                <w:rFonts w:hint="eastAsia" w:ascii="宋体" w:hAnsi="宋体" w:eastAsia="宋体" w:cs="宋体"/>
                <w:bCs/>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100]</w:t>
            </w:r>
          </w:p>
        </w:tc>
        <w:tc>
          <w:tcPr>
            <w:tcW w:w="2838" w:type="dxa"/>
          </w:tcPr>
          <w:p>
            <w:pPr>
              <w:widowControl/>
              <w:spacing w:after="156" w:afterLines="50"/>
              <w:jc w:val="center"/>
              <w:rPr>
                <w:rFonts w:ascii="宋体" w:hAnsi="宋体" w:eastAsia="宋体" w:cs="宋体"/>
                <w:kern w:val="0"/>
              </w:rPr>
            </w:pPr>
            <w:r>
              <w:rPr>
                <w:rFonts w:ascii="宋体" w:hAnsi="宋体" w:eastAsia="宋体" w:cs="宋体"/>
                <w:kern w:val="0"/>
              </w:rPr>
              <w:t>[</w:t>
            </w:r>
            <w:r>
              <w:rPr>
                <w:rFonts w:hint="eastAsia" w:ascii="宋体" w:hAnsi="宋体" w:eastAsia="宋体" w:cs="宋体"/>
                <w:kern w:val="0"/>
              </w:rPr>
              <w:t>0.9</w:t>
            </w:r>
            <w:r>
              <w:rPr>
                <w:rFonts w:ascii="宋体" w:hAnsi="宋体" w:eastAsia="宋体" w:cs="宋体"/>
                <w:kern w:val="0"/>
              </w:rPr>
              <w:t>,</w:t>
            </w: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（100</w:t>
            </w:r>
            <w:r>
              <w:rPr>
                <w:rFonts w:ascii="宋体" w:hAnsi="宋体" w:eastAsia="宋体" w:cs="宋体"/>
                <w:kern w:val="0"/>
              </w:rPr>
              <w:t>,</w:t>
            </w:r>
            <w:r>
              <w:rPr>
                <w:rFonts w:hint="eastAsia" w:ascii="宋体" w:hAnsi="宋体" w:eastAsia="宋体" w:cs="宋体"/>
                <w:kern w:val="0"/>
              </w:rPr>
              <w:t>500]</w:t>
            </w:r>
          </w:p>
        </w:tc>
        <w:tc>
          <w:tcPr>
            <w:tcW w:w="2838" w:type="dxa"/>
          </w:tcPr>
          <w:p>
            <w:pPr>
              <w:widowControl/>
              <w:spacing w:after="156" w:afterLines="50"/>
              <w:jc w:val="center"/>
              <w:rPr>
                <w:rFonts w:ascii="宋体" w:hAnsi="宋体" w:eastAsia="宋体" w:cs="宋体"/>
                <w:kern w:val="0"/>
              </w:rPr>
            </w:pP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（500</w:t>
            </w:r>
            <w:r>
              <w:rPr>
                <w:rFonts w:ascii="宋体" w:hAnsi="宋体" w:eastAsia="宋体" w:cs="宋体"/>
                <w:kern w:val="0"/>
              </w:rPr>
              <w:t>,</w:t>
            </w:r>
            <w:r>
              <w:rPr>
                <w:rFonts w:hint="eastAsia" w:ascii="宋体" w:hAnsi="宋体" w:eastAsia="宋体" w:cs="宋体"/>
                <w:kern w:val="0"/>
              </w:rPr>
              <w:t>1000]</w:t>
            </w:r>
          </w:p>
        </w:tc>
        <w:tc>
          <w:tcPr>
            <w:tcW w:w="2838" w:type="dxa"/>
          </w:tcPr>
          <w:p>
            <w:pPr>
              <w:widowControl/>
              <w:spacing w:after="156" w:afterLines="50"/>
              <w:jc w:val="center"/>
              <w:rPr>
                <w:rFonts w:ascii="宋体" w:hAnsi="宋体" w:eastAsia="宋体" w:cs="宋体"/>
                <w:kern w:val="0"/>
              </w:rPr>
            </w:pPr>
            <w:r>
              <w:rPr>
                <w:rFonts w:hint="eastAsia" w:ascii="宋体" w:hAnsi="宋体" w:eastAsia="宋体" w:cs="宋体"/>
                <w:kern w:val="0"/>
              </w:rPr>
              <w:t>(1.1</w:t>
            </w:r>
            <w:r>
              <w:rPr>
                <w:rFonts w:ascii="宋体" w:hAnsi="宋体" w:eastAsia="宋体" w:cs="宋体"/>
                <w:kern w:val="0"/>
              </w:rPr>
              <w:t>,</w:t>
            </w: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不限</w:t>
            </w:r>
          </w:p>
        </w:tc>
        <w:tc>
          <w:tcPr>
            <w:tcW w:w="2838" w:type="dxa"/>
          </w:tcPr>
          <w:p>
            <w:pPr>
              <w:widowControl/>
              <w:spacing w:after="156" w:afterLines="50"/>
              <w:jc w:val="center"/>
              <w:rPr>
                <w:rFonts w:ascii="宋体" w:hAnsi="宋体" w:eastAsia="宋体" w:cs="宋体"/>
                <w:kern w:val="0"/>
              </w:rPr>
            </w:pPr>
            <w:r>
              <w:rPr>
                <w:rFonts w:hint="eastAsia" w:ascii="宋体" w:hAnsi="宋体" w:eastAsia="宋体" w:cs="宋体"/>
                <w:kern w:val="0"/>
              </w:rPr>
              <w:t>(1.2</w:t>
            </w:r>
            <w:r>
              <w:rPr>
                <w:rFonts w:ascii="宋体" w:hAnsi="宋体" w:eastAsia="宋体" w:cs="宋体"/>
                <w:kern w:val="0"/>
              </w:rPr>
              <w:t>,</w:t>
            </w:r>
            <w:r>
              <w:rPr>
                <w:rFonts w:hint="eastAsia" w:ascii="宋体" w:hAnsi="宋体" w:eastAsia="宋体" w:cs="宋体"/>
                <w:kern w:val="0"/>
              </w:rPr>
              <w:t>1.5]</w:t>
            </w:r>
          </w:p>
        </w:tc>
      </w:tr>
    </w:tbl>
    <w:p>
      <w:pPr>
        <w:adjustRightInd w:val="0"/>
        <w:snapToGrid w:val="0"/>
        <w:spacing w:line="360" w:lineRule="auto"/>
        <w:ind w:firstLine="420"/>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、门（急）诊医疗保险金给付次数调整系数（F</w:t>
      </w:r>
      <w:r>
        <w:rPr>
          <w:rFonts w:ascii="宋体" w:hAnsi="宋体" w:eastAsia="宋体" w:cs="宋体"/>
          <w:szCs w:val="21"/>
        </w:rPr>
        <w:t>4</w:t>
      </w:r>
      <w:r>
        <w:rPr>
          <w:rFonts w:hint="eastAsia" w:ascii="宋体" w:hAnsi="宋体" w:eastAsia="宋体" w:cs="宋体"/>
          <w:szCs w:val="21"/>
        </w:rPr>
        <w:t>）：根据承保时约定的最高给付次数，进行划分。</w:t>
      </w:r>
    </w:p>
    <w:tbl>
      <w:tblPr>
        <w:tblStyle w:val="17"/>
        <w:tblW w:w="5688" w:type="dxa"/>
        <w:tblInd w:w="14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宋体"/>
                <w:bCs/>
                <w:szCs w:val="21"/>
              </w:rPr>
            </w:pPr>
            <w:r>
              <w:rPr>
                <w:rFonts w:hint="eastAsia" w:ascii="宋体" w:hAnsi="宋体" w:eastAsia="宋体" w:cs="宋体"/>
                <w:bCs/>
                <w:szCs w:val="21"/>
              </w:rPr>
              <w:t>给付次数（次）</w:t>
            </w:r>
          </w:p>
        </w:tc>
        <w:tc>
          <w:tcPr>
            <w:tcW w:w="2838" w:type="dxa"/>
          </w:tcPr>
          <w:p>
            <w:pPr>
              <w:jc w:val="center"/>
              <w:rPr>
                <w:rFonts w:ascii="宋体" w:hAnsi="宋体" w:eastAsia="宋体" w:cs="宋体"/>
                <w:bCs/>
                <w:szCs w:val="21"/>
              </w:rPr>
            </w:pPr>
            <w:r>
              <w:rPr>
                <w:rFonts w:hint="eastAsia" w:ascii="宋体" w:hAnsi="宋体" w:eastAsia="宋体" w:cs="宋体"/>
                <w:bCs/>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10]</w:t>
            </w:r>
          </w:p>
        </w:tc>
        <w:tc>
          <w:tcPr>
            <w:tcW w:w="2838" w:type="dxa"/>
          </w:tcPr>
          <w:p>
            <w:pPr>
              <w:widowControl/>
              <w:spacing w:after="156" w:afterLines="50"/>
              <w:jc w:val="center"/>
              <w:rPr>
                <w:rFonts w:ascii="宋体" w:hAnsi="宋体" w:eastAsia="宋体" w:cs="宋体"/>
                <w:kern w:val="0"/>
              </w:rPr>
            </w:pPr>
            <w:r>
              <w:rPr>
                <w:rFonts w:ascii="宋体" w:hAnsi="宋体" w:eastAsia="宋体" w:cs="宋体"/>
                <w:kern w:val="0"/>
              </w:rPr>
              <w:t>[</w:t>
            </w:r>
            <w:r>
              <w:rPr>
                <w:rFonts w:hint="eastAsia" w:ascii="宋体" w:hAnsi="宋体" w:eastAsia="宋体" w:cs="宋体"/>
                <w:kern w:val="0"/>
              </w:rPr>
              <w:t>0.9</w:t>
            </w:r>
            <w:r>
              <w:rPr>
                <w:rFonts w:ascii="宋体" w:hAnsi="宋体" w:eastAsia="宋体" w:cs="宋体"/>
                <w:kern w:val="0"/>
              </w:rPr>
              <w:t>,</w:t>
            </w: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（10</w:t>
            </w:r>
            <w:r>
              <w:rPr>
                <w:rFonts w:ascii="宋体" w:hAnsi="宋体" w:eastAsia="宋体" w:cs="宋体"/>
                <w:kern w:val="0"/>
              </w:rPr>
              <w:t>,</w:t>
            </w:r>
            <w:r>
              <w:rPr>
                <w:rFonts w:hint="eastAsia" w:ascii="宋体" w:hAnsi="宋体" w:eastAsia="宋体" w:cs="宋体"/>
                <w:kern w:val="0"/>
              </w:rPr>
              <w:t>20]</w:t>
            </w:r>
          </w:p>
        </w:tc>
        <w:tc>
          <w:tcPr>
            <w:tcW w:w="2838" w:type="dxa"/>
          </w:tcPr>
          <w:p>
            <w:pPr>
              <w:widowControl/>
              <w:spacing w:after="156" w:afterLines="50"/>
              <w:jc w:val="center"/>
              <w:rPr>
                <w:rFonts w:ascii="宋体" w:hAnsi="宋体" w:eastAsia="宋体" w:cs="宋体"/>
                <w:kern w:val="0"/>
              </w:rPr>
            </w:pP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0</w:t>
            </w:r>
            <w:r>
              <w:rPr>
                <w:rFonts w:ascii="宋体" w:hAnsi="宋体" w:eastAsia="宋体" w:cs="宋体"/>
                <w:kern w:val="0"/>
              </w:rPr>
              <w:t>,</w:t>
            </w:r>
            <w:r>
              <w:rPr>
                <w:rFonts w:hint="eastAsia" w:ascii="宋体" w:hAnsi="宋体" w:eastAsia="宋体" w:cs="宋体"/>
                <w:kern w:val="0"/>
              </w:rPr>
              <w:t>1</w:t>
            </w:r>
            <w:r>
              <w:rPr>
                <w:rFonts w:hint="eastAsia" w:ascii="宋体" w:hAnsi="宋体" w:eastAsia="宋体" w:cs="宋体"/>
                <w:kern w:val="0"/>
                <w:lang w:eastAsia="zh-Hans"/>
              </w:rPr>
              <w:t>.</w:t>
            </w:r>
            <w:r>
              <w:rPr>
                <w:rFonts w:hint="eastAsia" w:ascii="宋体" w:hAnsi="宋体" w:eastAsia="宋体" w:cs="宋体"/>
                <w:kern w:val="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widowControl/>
              <w:spacing w:after="156" w:afterLines="50"/>
              <w:jc w:val="center"/>
              <w:rPr>
                <w:rFonts w:ascii="宋体" w:hAnsi="宋体" w:eastAsia="宋体" w:cs="宋体"/>
                <w:kern w:val="0"/>
              </w:rPr>
            </w:pPr>
            <w:r>
              <w:rPr>
                <w:rFonts w:hint="eastAsia" w:ascii="宋体" w:hAnsi="宋体" w:eastAsia="宋体" w:cs="宋体"/>
                <w:kern w:val="0"/>
              </w:rPr>
              <w:t>不限</w:t>
            </w:r>
          </w:p>
        </w:tc>
        <w:tc>
          <w:tcPr>
            <w:tcW w:w="2838" w:type="dxa"/>
          </w:tcPr>
          <w:p>
            <w:pPr>
              <w:widowControl/>
              <w:spacing w:after="156" w:afterLines="50"/>
              <w:jc w:val="center"/>
              <w:rPr>
                <w:rFonts w:ascii="宋体" w:hAnsi="宋体" w:eastAsia="宋体" w:cs="宋体"/>
                <w:kern w:val="0"/>
              </w:rPr>
            </w:pPr>
            <w:r>
              <w:rPr>
                <w:rFonts w:hint="eastAsia" w:ascii="宋体" w:hAnsi="宋体" w:eastAsia="宋体" w:cs="宋体"/>
                <w:kern w:val="0"/>
              </w:rPr>
              <w:t>(1.1</w:t>
            </w:r>
            <w:r>
              <w:rPr>
                <w:rFonts w:ascii="宋体" w:hAnsi="宋体" w:eastAsia="宋体" w:cs="宋体"/>
                <w:kern w:val="0"/>
              </w:rPr>
              <w:t>,</w:t>
            </w:r>
            <w:r>
              <w:rPr>
                <w:rFonts w:hint="eastAsia" w:ascii="宋体" w:hAnsi="宋体" w:eastAsia="宋体" w:cs="宋体"/>
                <w:kern w:val="0"/>
              </w:rPr>
              <w:t>1.2]</w:t>
            </w:r>
          </w:p>
        </w:tc>
      </w:tr>
    </w:tbl>
    <w:p>
      <w:pPr>
        <w:adjustRightInd w:val="0"/>
        <w:snapToGrid w:val="0"/>
        <w:spacing w:line="360" w:lineRule="auto"/>
        <w:ind w:firstLine="420"/>
        <w:rPr>
          <w:rFonts w:ascii="宋体" w:hAnsi="宋体" w:eastAsia="宋体" w:cs="宋体"/>
          <w:szCs w:val="21"/>
        </w:rPr>
      </w:pPr>
      <w:r>
        <w:rPr>
          <w:rFonts w:ascii="宋体" w:hAnsi="宋体" w:eastAsia="宋体" w:cs="宋体"/>
          <w:szCs w:val="21"/>
        </w:rPr>
        <w:t>5</w:t>
      </w:r>
      <w:r>
        <w:rPr>
          <w:rFonts w:hint="eastAsia" w:ascii="宋体" w:hAnsi="宋体" w:eastAsia="宋体" w:cs="宋体"/>
          <w:szCs w:val="21"/>
        </w:rPr>
        <w:t>、</w:t>
      </w:r>
      <w:r>
        <w:rPr>
          <w:rFonts w:hint="eastAsia" w:ascii="宋体" w:hAnsi="宋体" w:eastAsia="宋体" w:cs="宋体"/>
          <w:szCs w:val="21"/>
          <w:lang w:val="en-US" w:eastAsia="zh-CN"/>
        </w:rPr>
        <w:t>被保险人</w:t>
      </w:r>
      <w:r>
        <w:rPr>
          <w:rFonts w:hint="eastAsia" w:ascii="宋体" w:hAnsi="宋体" w:eastAsia="宋体" w:cs="宋体"/>
          <w:szCs w:val="21"/>
        </w:rPr>
        <w:t>参加社保状况调整系数（F</w:t>
      </w:r>
      <w:r>
        <w:rPr>
          <w:rFonts w:ascii="宋体" w:hAnsi="宋体" w:eastAsia="宋体" w:cs="宋体"/>
          <w:szCs w:val="21"/>
        </w:rPr>
        <w:t>5</w:t>
      </w:r>
      <w:r>
        <w:rPr>
          <w:rFonts w:hint="eastAsia" w:ascii="宋体" w:hAnsi="宋体" w:eastAsia="宋体" w:cs="宋体"/>
          <w:szCs w:val="21"/>
        </w:rPr>
        <w:t>）：按被保险人参加社会保险状况，进行划分。</w:t>
      </w:r>
    </w:p>
    <w:tbl>
      <w:tblPr>
        <w:tblStyle w:val="8"/>
        <w:tblW w:w="0" w:type="auto"/>
        <w:jc w:val="center"/>
        <w:tblLayout w:type="fixed"/>
        <w:tblCellMar>
          <w:top w:w="0" w:type="dxa"/>
          <w:left w:w="108" w:type="dxa"/>
          <w:bottom w:w="0" w:type="dxa"/>
          <w:right w:w="108" w:type="dxa"/>
        </w:tblCellMar>
      </w:tblPr>
      <w:tblGrid>
        <w:gridCol w:w="5760"/>
        <w:gridCol w:w="1269"/>
      </w:tblGrid>
      <w:tr>
        <w:tblPrEx>
          <w:tblCellMar>
            <w:top w:w="0" w:type="dxa"/>
            <w:left w:w="108" w:type="dxa"/>
            <w:bottom w:w="0" w:type="dxa"/>
            <w:right w:w="108" w:type="dxa"/>
          </w:tblCellMar>
        </w:tblPrEx>
        <w:trPr>
          <w:trHeight w:val="255"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被保险人社会保险状况</w:t>
            </w:r>
          </w:p>
        </w:tc>
        <w:tc>
          <w:tcPr>
            <w:tcW w:w="1269" w:type="dxa"/>
            <w:tcBorders>
              <w:top w:val="single" w:color="auto" w:sz="4" w:space="0"/>
              <w:left w:val="nil"/>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调整系数</w:t>
            </w:r>
          </w:p>
        </w:tc>
      </w:tr>
      <w:tr>
        <w:tblPrEx>
          <w:tblCellMar>
            <w:top w:w="0" w:type="dxa"/>
            <w:left w:w="108" w:type="dxa"/>
            <w:bottom w:w="0" w:type="dxa"/>
            <w:right w:w="108" w:type="dxa"/>
          </w:tblCellMar>
        </w:tblPrEx>
        <w:trPr>
          <w:trHeight w:val="255"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未参加任何社会保险</w:t>
            </w:r>
          </w:p>
        </w:tc>
        <w:tc>
          <w:tcPr>
            <w:tcW w:w="1269" w:type="dxa"/>
            <w:tcBorders>
              <w:top w:val="single" w:color="auto" w:sz="4" w:space="0"/>
              <w:left w:val="nil"/>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(1.1</w:t>
            </w:r>
            <w:r>
              <w:rPr>
                <w:rFonts w:ascii="宋体" w:hAnsi="宋体" w:eastAsia="宋体" w:cs="宋体"/>
                <w:kern w:val="0"/>
              </w:rPr>
              <w:t>,</w:t>
            </w:r>
            <w:r>
              <w:rPr>
                <w:rFonts w:hint="eastAsia" w:ascii="宋体" w:hAnsi="宋体" w:eastAsia="宋体" w:cs="宋体"/>
                <w:kern w:val="0"/>
              </w:rPr>
              <w:t>3.0]</w:t>
            </w:r>
          </w:p>
        </w:tc>
      </w:tr>
      <w:tr>
        <w:tblPrEx>
          <w:tblCellMar>
            <w:top w:w="0" w:type="dxa"/>
            <w:left w:w="108" w:type="dxa"/>
            <w:bottom w:w="0" w:type="dxa"/>
            <w:right w:w="108" w:type="dxa"/>
          </w:tblCellMar>
        </w:tblPrEx>
        <w:trPr>
          <w:trHeight w:val="255"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已参加任意一项：公费医疗、基本医疗保险或其他费用补偿型医疗保险</w:t>
            </w:r>
          </w:p>
        </w:tc>
        <w:tc>
          <w:tcPr>
            <w:tcW w:w="1269" w:type="dxa"/>
            <w:tcBorders>
              <w:top w:val="single" w:color="auto" w:sz="4" w:space="0"/>
              <w:left w:val="nil"/>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(0.9</w:t>
            </w:r>
            <w:r>
              <w:rPr>
                <w:rFonts w:ascii="宋体" w:hAnsi="宋体" w:eastAsia="宋体" w:cs="宋体"/>
                <w:kern w:val="0"/>
              </w:rPr>
              <w:t>,</w:t>
            </w:r>
            <w:r>
              <w:rPr>
                <w:rFonts w:hint="eastAsia" w:ascii="宋体" w:hAnsi="宋体" w:eastAsia="宋体" w:cs="宋体"/>
                <w:kern w:val="0"/>
              </w:rPr>
              <w:t>1.1]</w:t>
            </w:r>
          </w:p>
        </w:tc>
      </w:tr>
      <w:tr>
        <w:tblPrEx>
          <w:tblCellMar>
            <w:top w:w="0" w:type="dxa"/>
            <w:left w:w="108" w:type="dxa"/>
            <w:bottom w:w="0" w:type="dxa"/>
            <w:right w:w="108" w:type="dxa"/>
          </w:tblCellMar>
        </w:tblPrEx>
        <w:trPr>
          <w:trHeight w:val="255"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hint="eastAsia" w:ascii="宋体" w:hAnsi="宋体" w:eastAsia="宋体" w:cs="宋体"/>
                <w:kern w:val="0"/>
              </w:rPr>
              <w:t>已参加任意两项及以上：公费医疗、基本医疗保险或其他费用补偿型医疗保险</w:t>
            </w:r>
          </w:p>
        </w:tc>
        <w:tc>
          <w:tcPr>
            <w:tcW w:w="1269" w:type="dxa"/>
            <w:tcBorders>
              <w:top w:val="single" w:color="auto" w:sz="4" w:space="0"/>
              <w:left w:val="nil"/>
              <w:bottom w:val="single" w:color="auto" w:sz="4" w:space="0"/>
              <w:right w:val="single" w:color="auto" w:sz="4" w:space="0"/>
            </w:tcBorders>
            <w:vAlign w:val="center"/>
          </w:tcPr>
          <w:p>
            <w:pPr>
              <w:widowControl/>
              <w:spacing w:after="156" w:afterLines="50"/>
              <w:jc w:val="center"/>
              <w:rPr>
                <w:rFonts w:ascii="宋体" w:hAnsi="宋体" w:eastAsia="宋体" w:cs="宋体"/>
                <w:kern w:val="0"/>
              </w:rPr>
            </w:pPr>
            <w:r>
              <w:rPr>
                <w:rFonts w:ascii="宋体" w:hAnsi="宋体" w:eastAsia="宋体" w:cs="宋体"/>
                <w:kern w:val="0"/>
              </w:rPr>
              <w:t>[</w:t>
            </w:r>
            <w:r>
              <w:rPr>
                <w:rFonts w:hint="eastAsia" w:ascii="宋体" w:hAnsi="宋体" w:eastAsia="宋体" w:cs="宋体"/>
                <w:kern w:val="0"/>
              </w:rPr>
              <w:t>0.8</w:t>
            </w:r>
            <w:r>
              <w:rPr>
                <w:rFonts w:ascii="宋体" w:hAnsi="宋体" w:eastAsia="宋体" w:cs="宋体"/>
                <w:kern w:val="0"/>
              </w:rPr>
              <w:t>,</w:t>
            </w:r>
            <w:r>
              <w:rPr>
                <w:rFonts w:hint="eastAsia" w:ascii="宋体" w:hAnsi="宋体" w:eastAsia="宋体" w:cs="宋体"/>
                <w:kern w:val="0"/>
              </w:rPr>
              <w:t>0.9]</w:t>
            </w:r>
          </w:p>
        </w:tc>
      </w:tr>
    </w:tbl>
    <w:p>
      <w:pPr>
        <w:spacing w:line="312" w:lineRule="auto"/>
        <w:ind w:firstLine="420" w:firstLineChars="200"/>
        <w:rPr>
          <w:rFonts w:ascii="宋体" w:hAnsi="宋体" w:eastAsia="宋体" w:cs="宋体"/>
          <w:szCs w:val="21"/>
        </w:rPr>
      </w:pPr>
      <w:r>
        <w:rPr>
          <w:rFonts w:hint="eastAsia" w:ascii="宋体" w:hAnsi="宋体" w:eastAsia="宋体" w:cs="宋体"/>
          <w:szCs w:val="21"/>
        </w:rPr>
        <w:t>注：F</w:t>
      </w:r>
      <w:r>
        <w:rPr>
          <w:rFonts w:ascii="宋体" w:hAnsi="宋体" w:eastAsia="宋体" w:cs="宋体"/>
          <w:szCs w:val="21"/>
        </w:rPr>
        <w:t>1-F5</w:t>
      </w:r>
      <w:r>
        <w:rPr>
          <w:rFonts w:hint="eastAsia" w:ascii="宋体" w:hAnsi="宋体" w:eastAsia="宋体" w:cs="宋体"/>
          <w:szCs w:val="21"/>
        </w:rPr>
        <w:t>仅适用于门（急）诊医疗保险责任。</w:t>
      </w:r>
    </w:p>
    <w:p>
      <w:pPr>
        <w:spacing w:line="312" w:lineRule="auto"/>
        <w:ind w:firstLine="420" w:firstLineChars="200"/>
        <w:rPr>
          <w:rFonts w:ascii="宋体" w:hAnsi="宋体" w:eastAsia="宋体" w:cs="Times New Roman"/>
          <w:kern w:val="0"/>
        </w:rPr>
      </w:pPr>
      <w:r>
        <w:rPr>
          <w:rFonts w:hint="eastAsia" w:ascii="宋体" w:hAnsi="宋体" w:eastAsia="宋体" w:cs="宋体"/>
          <w:szCs w:val="21"/>
        </w:rPr>
        <w:t>6、</w:t>
      </w:r>
      <w:r>
        <w:rPr>
          <w:rFonts w:hint="eastAsia" w:ascii="宋体" w:hAnsi="宋体" w:eastAsia="宋体" w:cs="Times New Roman"/>
          <w:kern w:val="0"/>
        </w:rPr>
        <w:t>规模调整系数</w:t>
      </w:r>
      <w:r>
        <w:rPr>
          <w:rFonts w:hint="eastAsia" w:ascii="宋体" w:hAnsi="宋体" w:eastAsia="宋体" w:cs="宋体"/>
          <w:szCs w:val="21"/>
        </w:rPr>
        <w:t>（F</w:t>
      </w:r>
      <w:r>
        <w:rPr>
          <w:rFonts w:ascii="宋体" w:hAnsi="宋体" w:eastAsia="宋体" w:cs="宋体"/>
          <w:szCs w:val="21"/>
        </w:rPr>
        <w:t>6</w:t>
      </w:r>
      <w:r>
        <w:rPr>
          <w:rFonts w:hint="eastAsia" w:ascii="宋体" w:hAnsi="宋体" w:eastAsia="宋体" w:cs="宋体"/>
          <w:szCs w:val="21"/>
        </w:rPr>
        <w:t>）</w:t>
      </w:r>
      <w:r>
        <w:rPr>
          <w:rFonts w:hint="eastAsia" w:ascii="宋体" w:hAnsi="宋体" w:eastAsia="宋体" w:cs="Times New Roman"/>
          <w:kern w:val="0"/>
        </w:rPr>
        <w:t>：按渠道年度投保人数规模，进行划分。</w:t>
      </w:r>
    </w:p>
    <w:tbl>
      <w:tblPr>
        <w:tblStyle w:val="8"/>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年度投保人数（N人）</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N&gt;5</w:t>
            </w:r>
            <w:r>
              <w:rPr>
                <w:rFonts w:ascii="宋体" w:hAnsi="宋体" w:eastAsia="宋体" w:cs="Times New Roman"/>
                <w:kern w:val="0"/>
              </w:rPr>
              <w:t>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[0.6,0.7)</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3</w:t>
            </w:r>
            <w:r>
              <w:rPr>
                <w:rFonts w:ascii="宋体" w:hAnsi="宋体" w:eastAsia="宋体" w:cs="Times New Roman"/>
                <w:kern w:val="0"/>
              </w:rPr>
              <w:t>00</w:t>
            </w:r>
            <w:r>
              <w:rPr>
                <w:rFonts w:hint="eastAsia" w:ascii="宋体" w:hAnsi="宋体" w:eastAsia="宋体" w:cs="Times New Roman"/>
                <w:kern w:val="0"/>
              </w:rPr>
              <w:t>00&lt;N≤5</w:t>
            </w:r>
            <w:r>
              <w:rPr>
                <w:rFonts w:ascii="宋体" w:hAnsi="宋体" w:eastAsia="宋体" w:cs="Times New Roman"/>
                <w:kern w:val="0"/>
              </w:rPr>
              <w:t>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[0.7,0.9)</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10</w:t>
            </w:r>
            <w:r>
              <w:rPr>
                <w:rFonts w:ascii="宋体" w:hAnsi="宋体" w:eastAsia="宋体" w:cs="Times New Roman"/>
                <w:kern w:val="0"/>
              </w:rPr>
              <w:t>0</w:t>
            </w:r>
            <w:r>
              <w:rPr>
                <w:rFonts w:hint="eastAsia" w:ascii="宋体" w:hAnsi="宋体" w:eastAsia="宋体" w:cs="Times New Roman"/>
                <w:kern w:val="0"/>
              </w:rPr>
              <w:t>00&lt;N≤3</w:t>
            </w:r>
            <w:r>
              <w:rPr>
                <w:rFonts w:ascii="宋体" w:hAnsi="宋体" w:eastAsia="宋体" w:cs="Times New Roman"/>
                <w:kern w:val="0"/>
              </w:rPr>
              <w:t>00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[0.9,1.1)</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N≤10</w:t>
            </w:r>
            <w:r>
              <w:rPr>
                <w:rFonts w:ascii="宋体" w:hAnsi="宋体" w:eastAsia="宋体" w:cs="Times New Roman"/>
                <w:kern w:val="0"/>
              </w:rPr>
              <w:t>0</w:t>
            </w:r>
            <w:r>
              <w:rPr>
                <w:rFonts w:hint="eastAsia" w:ascii="宋体" w:hAnsi="宋体" w:eastAsia="宋体" w:cs="Times New Roman"/>
                <w:kern w:val="0"/>
              </w:rPr>
              <w:t>00</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[1.1,1.5]</w:t>
            </w:r>
          </w:p>
        </w:tc>
      </w:tr>
    </w:tbl>
    <w:p>
      <w:pPr>
        <w:spacing w:line="312" w:lineRule="auto"/>
        <w:ind w:firstLine="420" w:firstLineChars="200"/>
        <w:rPr>
          <w:rFonts w:ascii="宋体" w:hAnsi="宋体" w:eastAsia="宋体" w:cs="Times New Roman"/>
          <w:kern w:val="0"/>
        </w:rPr>
      </w:pPr>
      <w:r>
        <w:rPr>
          <w:rFonts w:ascii="宋体" w:hAnsi="宋体" w:eastAsia="宋体" w:cs="Times New Roman"/>
          <w:kern w:val="0"/>
        </w:rPr>
        <w:t>7</w:t>
      </w:r>
      <w:r>
        <w:rPr>
          <w:rFonts w:hint="eastAsia" w:ascii="宋体" w:hAnsi="宋体" w:eastAsia="宋体" w:cs="Times New Roman"/>
          <w:kern w:val="0"/>
        </w:rPr>
        <w:t>、历史赔付率调整系数</w:t>
      </w:r>
      <w:r>
        <w:rPr>
          <w:rFonts w:hint="eastAsia" w:ascii="宋体" w:hAnsi="宋体" w:eastAsia="宋体" w:cs="宋体"/>
          <w:szCs w:val="21"/>
        </w:rPr>
        <w:t>（F</w:t>
      </w:r>
      <w:r>
        <w:rPr>
          <w:rFonts w:ascii="宋体" w:hAnsi="宋体" w:eastAsia="宋体" w:cs="宋体"/>
          <w:szCs w:val="21"/>
        </w:rPr>
        <w:t>7</w:t>
      </w:r>
      <w:r>
        <w:rPr>
          <w:rFonts w:hint="eastAsia" w:ascii="宋体" w:hAnsi="宋体" w:eastAsia="宋体" w:cs="宋体"/>
          <w:szCs w:val="21"/>
        </w:rPr>
        <w:t>）</w:t>
      </w:r>
      <w:r>
        <w:rPr>
          <w:rFonts w:hint="eastAsia" w:ascii="宋体" w:hAnsi="宋体" w:eastAsia="宋体" w:cs="Times New Roman"/>
          <w:kern w:val="0"/>
        </w:rPr>
        <w:t>：按渠道近三年赔付率情况，进行划分。</w:t>
      </w:r>
    </w:p>
    <w:tbl>
      <w:tblPr>
        <w:tblStyle w:val="8"/>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历史赔付率</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0%-30%（含）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0.5,0.7</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30%-50%（含）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0.7,0.9</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50%-80%（含）</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0.9,1.1</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80%以上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ascii="宋体" w:hAnsi="宋体" w:eastAsia="宋体" w:cs="Times New Roman"/>
                <w:kern w:val="0"/>
              </w:rPr>
              <w:t>(</w:t>
            </w:r>
            <w:r>
              <w:rPr>
                <w:rFonts w:hint="eastAsia" w:ascii="宋体" w:hAnsi="宋体" w:eastAsia="宋体" w:cs="Times New Roman"/>
                <w:kern w:val="0"/>
              </w:rPr>
              <w:t>1.1,1.5</w:t>
            </w:r>
            <w:r>
              <w:rPr>
                <w:rFonts w:ascii="宋体" w:hAnsi="宋体" w:eastAsia="宋体" w:cs="Times New Roman"/>
                <w:kern w:val="0"/>
              </w:rPr>
              <w:t>]</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无历史赔付率</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Times New Roman"/>
                <w:kern w:val="0"/>
              </w:rPr>
            </w:pPr>
            <w:r>
              <w:rPr>
                <w:rFonts w:hint="eastAsia" w:ascii="宋体" w:hAnsi="宋体" w:eastAsia="宋体" w:cs="Times New Roman"/>
                <w:kern w:val="0"/>
              </w:rPr>
              <w:t>1.0</w:t>
            </w:r>
          </w:p>
        </w:tc>
      </w:tr>
    </w:tbl>
    <w:p>
      <w:pPr>
        <w:spacing w:line="312" w:lineRule="auto"/>
        <w:ind w:firstLine="420" w:firstLineChars="200"/>
        <w:rPr>
          <w:rFonts w:hint="eastAsia" w:ascii="宋体" w:hAnsi="宋体" w:eastAsia="宋体" w:cs="宋体"/>
          <w:szCs w:val="21"/>
          <w:lang w:eastAsia="zh-CN" w:bidi="ar"/>
        </w:rPr>
      </w:pPr>
      <w:r>
        <w:rPr>
          <w:rFonts w:ascii="宋体" w:hAnsi="宋体" w:eastAsia="宋体" w:cs="宋体"/>
          <w:szCs w:val="21"/>
          <w:lang w:bidi="ar"/>
        </w:rPr>
        <w:t>8</w:t>
      </w:r>
      <w:r>
        <w:rPr>
          <w:rFonts w:hint="eastAsia" w:ascii="宋体" w:hAnsi="宋体" w:eastAsia="宋体" w:cs="宋体"/>
          <w:szCs w:val="21"/>
          <w:lang w:bidi="ar"/>
        </w:rPr>
        <w:t>、</w:t>
      </w:r>
      <w:r>
        <w:rPr>
          <w:rFonts w:ascii="宋体" w:hAnsi="宋体" w:eastAsia="宋体" w:cs="宋体"/>
          <w:szCs w:val="21"/>
          <w:lang w:bidi="ar"/>
        </w:rPr>
        <w:t>投保人数调整系数</w:t>
      </w:r>
      <w:r>
        <w:rPr>
          <w:rFonts w:hint="eastAsia" w:ascii="宋体" w:hAnsi="宋体" w:eastAsia="宋体" w:cs="宋体"/>
          <w:szCs w:val="21"/>
        </w:rPr>
        <w:t>（F</w:t>
      </w:r>
      <w:r>
        <w:rPr>
          <w:rFonts w:ascii="宋体" w:hAnsi="宋体" w:eastAsia="宋体" w:cs="宋体"/>
          <w:szCs w:val="21"/>
        </w:rPr>
        <w:t>8</w:t>
      </w:r>
      <w:r>
        <w:rPr>
          <w:rFonts w:hint="eastAsia" w:ascii="宋体" w:hAnsi="宋体" w:eastAsia="宋体" w:cs="宋体"/>
          <w:szCs w:val="21"/>
        </w:rPr>
        <w:t>）</w:t>
      </w:r>
      <w:r>
        <w:rPr>
          <w:rFonts w:hint="eastAsia" w:ascii="宋体" w:hAnsi="宋体" w:eastAsia="宋体" w:cs="宋体"/>
          <w:szCs w:val="21"/>
          <w:lang w:bidi="ar"/>
        </w:rPr>
        <w:t>：根据家庭投保人数，进行划分</w:t>
      </w:r>
      <w:r>
        <w:rPr>
          <w:rFonts w:hint="eastAsia" w:ascii="宋体" w:hAnsi="宋体" w:eastAsia="宋体" w:cs="宋体"/>
          <w:szCs w:val="21"/>
          <w:lang w:eastAsia="zh-CN" w:bidi="ar"/>
        </w:rPr>
        <w:t>。</w:t>
      </w:r>
    </w:p>
    <w:tbl>
      <w:tblPr>
        <w:tblStyle w:val="8"/>
        <w:tblW w:w="4680" w:type="dxa"/>
        <w:jc w:val="center"/>
        <w:tblLayout w:type="fixed"/>
        <w:tblCellMar>
          <w:top w:w="0" w:type="dxa"/>
          <w:left w:w="108" w:type="dxa"/>
          <w:bottom w:w="0" w:type="dxa"/>
          <w:right w:w="108" w:type="dxa"/>
        </w:tblCellMar>
      </w:tblPr>
      <w:tblGrid>
        <w:gridCol w:w="3080"/>
        <w:gridCol w:w="1600"/>
      </w:tblGrid>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投保人数</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调整系数</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个人投保</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rPr>
            </w:pPr>
            <w:r>
              <w:rPr>
                <w:rFonts w:ascii="宋体" w:hAnsi="宋体" w:eastAsia="宋体"/>
              </w:rPr>
              <w:t>1.0</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家庭投保2人</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rPr>
            </w:pPr>
            <w:r>
              <w:rPr>
                <w:rFonts w:ascii="宋体" w:hAnsi="宋体" w:eastAsia="宋体"/>
              </w:rPr>
              <w:t>0.8</w:t>
            </w:r>
          </w:p>
        </w:tc>
      </w:tr>
      <w:tr>
        <w:tblPrEx>
          <w:tblCellMar>
            <w:top w:w="0" w:type="dxa"/>
            <w:left w:w="108" w:type="dxa"/>
            <w:bottom w:w="0" w:type="dxa"/>
            <w:right w:w="108" w:type="dxa"/>
          </w:tblCellMar>
        </w:tblPrEx>
        <w:trPr>
          <w:trHeight w:val="300" w:hRule="atLeast"/>
          <w:jc w:val="center"/>
        </w:trPr>
        <w:tc>
          <w:tcPr>
            <w:tcW w:w="3080"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家庭投保3人及以上</w:t>
            </w:r>
          </w:p>
        </w:tc>
        <w:tc>
          <w:tcPr>
            <w:tcW w:w="160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rPr>
            </w:pPr>
            <w:r>
              <w:rPr>
                <w:rFonts w:ascii="宋体" w:hAnsi="宋体" w:eastAsia="宋体"/>
              </w:rPr>
              <w:t>0.7</w:t>
            </w:r>
          </w:p>
        </w:tc>
      </w:tr>
      <w:tr>
        <w:tblPrEx>
          <w:tblCellMar>
            <w:top w:w="0" w:type="dxa"/>
            <w:left w:w="108" w:type="dxa"/>
            <w:bottom w:w="0" w:type="dxa"/>
            <w:right w:w="108" w:type="dxa"/>
          </w:tblCellMar>
        </w:tblPrEx>
        <w:trPr>
          <w:trHeight w:val="300" w:hRule="atLeast"/>
          <w:jc w:val="center"/>
        </w:trPr>
        <w:tc>
          <w:tcPr>
            <w:tcW w:w="3080"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产品不做区分</w:t>
            </w:r>
          </w:p>
        </w:tc>
        <w:tc>
          <w:tcPr>
            <w:tcW w:w="160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rPr>
            </w:pPr>
            <w:r>
              <w:rPr>
                <w:rFonts w:hint="eastAsia" w:ascii="宋体" w:hAnsi="宋体" w:eastAsia="宋体"/>
              </w:rPr>
              <w:t>1</w:t>
            </w:r>
            <w:r>
              <w:rPr>
                <w:rFonts w:ascii="宋体" w:hAnsi="宋体" w:eastAsia="宋体"/>
              </w:rPr>
              <w:t>.0</w:t>
            </w:r>
          </w:p>
        </w:tc>
      </w:tr>
    </w:tbl>
    <w:p>
      <w:pPr>
        <w:numPr>
          <w:ilvl w:val="255"/>
          <w:numId w:val="0"/>
        </w:numPr>
        <w:ind w:firstLine="420" w:firstLineChars="200"/>
        <w:rPr>
          <w:rFonts w:ascii="宋体" w:hAnsi="宋体" w:eastAsia="宋体" w:cs="Arial"/>
          <w:bCs/>
          <w:color w:val="000000"/>
          <w:szCs w:val="21"/>
          <w:lang w:bidi="ar"/>
        </w:rPr>
      </w:pPr>
      <w:r>
        <w:rPr>
          <w:rFonts w:ascii="宋体" w:hAnsi="宋体" w:eastAsia="宋体" w:cs="Arial"/>
          <w:bCs/>
          <w:color w:val="000000"/>
          <w:szCs w:val="21"/>
        </w:rPr>
        <w:t>9</w:t>
      </w:r>
      <w:r>
        <w:rPr>
          <w:rFonts w:hint="eastAsia" w:ascii="宋体" w:hAnsi="宋体" w:eastAsia="宋体" w:cs="Arial"/>
          <w:bCs/>
          <w:color w:val="000000"/>
          <w:szCs w:val="21"/>
        </w:rPr>
        <w:t>、缴费方式调整系数</w:t>
      </w:r>
      <w:r>
        <w:rPr>
          <w:rFonts w:hint="eastAsia" w:ascii="宋体" w:hAnsi="宋体" w:eastAsia="宋体" w:cs="宋体"/>
          <w:szCs w:val="21"/>
        </w:rPr>
        <w:t>（F</w:t>
      </w:r>
      <w:r>
        <w:rPr>
          <w:rFonts w:ascii="宋体" w:hAnsi="宋体" w:eastAsia="宋体" w:cs="宋体"/>
          <w:szCs w:val="21"/>
        </w:rPr>
        <w:t>9</w:t>
      </w:r>
      <w:r>
        <w:rPr>
          <w:rFonts w:hint="eastAsia" w:ascii="宋体" w:hAnsi="宋体" w:eastAsia="宋体" w:cs="宋体"/>
          <w:szCs w:val="21"/>
        </w:rPr>
        <w:t>）</w:t>
      </w:r>
      <w:r>
        <w:rPr>
          <w:rFonts w:hint="eastAsia" w:ascii="宋体" w:hAnsi="宋体" w:eastAsia="宋体" w:cs="Arial"/>
          <w:bCs/>
          <w:color w:val="000000"/>
          <w:szCs w:val="21"/>
        </w:rPr>
        <w:t>：按保单约定的缴费方式，进行划分。</w:t>
      </w:r>
    </w:p>
    <w:tbl>
      <w:tblPr>
        <w:tblStyle w:val="8"/>
        <w:tblW w:w="5700" w:type="dxa"/>
        <w:tblInd w:w="13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缴费方式</w:t>
            </w:r>
          </w:p>
        </w:tc>
        <w:tc>
          <w:tcPr>
            <w:tcW w:w="2850" w:type="dxa"/>
          </w:tcPr>
          <w:p>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按月缴费</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[1.0,1.</w:t>
            </w:r>
            <w:r>
              <w:rPr>
                <w:rFonts w:ascii="宋体" w:hAnsi="宋体" w:eastAsia="宋体" w:cs="Arial"/>
                <w:bCs/>
                <w:color w:val="000000"/>
                <w:szCs w:val="21"/>
              </w:rPr>
              <w:t>2</w:t>
            </w:r>
            <w:r>
              <w:rPr>
                <w:rFonts w:hint="eastAsia" w:ascii="宋体" w:hAnsi="宋体" w:eastAsia="宋体" w:cs="Arial"/>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按季缴费</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[1.0,1.05]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0" w:type="dxa"/>
          </w:tcPr>
          <w:p>
            <w:pPr>
              <w:jc w:val="center"/>
              <w:rPr>
                <w:rFonts w:ascii="宋体" w:hAnsi="宋体" w:eastAsia="宋体" w:cs="Arial"/>
                <w:bCs/>
                <w:color w:val="000000"/>
                <w:szCs w:val="21"/>
                <w:lang w:bidi="ar"/>
              </w:rPr>
            </w:pPr>
            <w:r>
              <w:rPr>
                <w:rFonts w:hint="eastAsia" w:ascii="宋体" w:hAnsi="宋体" w:eastAsia="宋体" w:cs="Arial"/>
                <w:bCs/>
                <w:color w:val="000000"/>
                <w:szCs w:val="21"/>
                <w:lang w:bidi="ar"/>
              </w:rPr>
              <w:t>一次性缴清</w:t>
            </w:r>
          </w:p>
        </w:tc>
        <w:tc>
          <w:tcPr>
            <w:tcW w:w="2850" w:type="dxa"/>
          </w:tcPr>
          <w:p>
            <w:pPr>
              <w:jc w:val="center"/>
              <w:rPr>
                <w:rFonts w:ascii="宋体" w:hAnsi="宋体" w:eastAsia="宋体" w:cs="Arial"/>
                <w:bCs/>
                <w:color w:val="000000"/>
                <w:szCs w:val="21"/>
              </w:rPr>
            </w:pPr>
            <w:r>
              <w:rPr>
                <w:rFonts w:hint="eastAsia" w:ascii="宋体" w:hAnsi="宋体" w:eastAsia="宋体" w:cs="Arial"/>
                <w:bCs/>
                <w:color w:val="000000"/>
                <w:szCs w:val="21"/>
              </w:rPr>
              <w:t>[0.95,1.0]</w:t>
            </w:r>
          </w:p>
        </w:tc>
      </w:tr>
    </w:tbl>
    <w:p>
      <w:pPr>
        <w:jc w:val="left"/>
        <w:rPr>
          <w:rFonts w:ascii="宋体" w:hAnsi="宋体" w:eastAsia="宋体" w:cs="宋体"/>
          <w:b/>
          <w:szCs w:val="21"/>
        </w:rPr>
      </w:pPr>
    </w:p>
    <w:p>
      <w:pPr>
        <w:jc w:val="left"/>
        <w:rPr>
          <w:rFonts w:ascii="宋体" w:hAnsi="宋体" w:eastAsia="宋体" w:cs="宋体"/>
          <w:b/>
          <w:szCs w:val="21"/>
        </w:rPr>
      </w:pPr>
      <w:r>
        <w:rPr>
          <w:rFonts w:hint="eastAsia" w:ascii="宋体" w:hAnsi="宋体" w:eastAsia="宋体" w:cs="宋体"/>
          <w:b/>
          <w:szCs w:val="21"/>
        </w:rPr>
        <w:t>四、保险费</w:t>
      </w:r>
      <w:r>
        <w:rPr>
          <w:rFonts w:ascii="宋体" w:hAnsi="宋体" w:eastAsia="宋体" w:cs="宋体"/>
          <w:b/>
          <w:szCs w:val="21"/>
        </w:rPr>
        <w:t>计算</w:t>
      </w:r>
    </w:p>
    <w:p>
      <w:pPr>
        <w:spacing w:line="360" w:lineRule="auto"/>
        <w:ind w:firstLine="420" w:firstLineChars="200"/>
        <w:jc w:val="left"/>
        <w:rPr>
          <w:rFonts w:ascii="Calibri" w:hAnsi="宋体" w:eastAsia="宋体" w:cs="Times New Roman"/>
        </w:rPr>
      </w:pPr>
      <w:r>
        <w:rPr>
          <w:rFonts w:ascii="Calibri" w:hAnsi="宋体" w:eastAsia="宋体" w:cs="Times New Roman"/>
        </w:rPr>
        <w:t>1</w:t>
      </w:r>
      <w:r>
        <w:rPr>
          <w:rFonts w:hint="eastAsia" w:ascii="Calibri" w:hAnsi="宋体" w:eastAsia="宋体" w:cs="Times New Roman"/>
        </w:rPr>
        <w:t>、投保人选择一次性缴清保险费</w:t>
      </w:r>
    </w:p>
    <w:p>
      <w:pPr>
        <w:spacing w:line="360" w:lineRule="auto"/>
        <w:ind w:firstLine="420" w:firstLineChars="200"/>
        <w:jc w:val="left"/>
        <w:rPr>
          <w:rFonts w:ascii="Calibri" w:hAnsi="宋体" w:eastAsia="宋体" w:cs="Arial"/>
          <w:bCs/>
          <w:color w:val="000000"/>
          <w:szCs w:val="21"/>
        </w:rPr>
      </w:pPr>
      <w:r>
        <w:rPr>
          <w:rFonts w:hint="eastAsia" w:ascii="Calibri" w:hAnsi="宋体" w:eastAsia="宋体" w:cs="Times New Roman"/>
        </w:rPr>
        <w:t>基本责任年保险费=基本责任年基准保险费×F</w:t>
      </w:r>
      <w:r>
        <w:rPr>
          <w:rFonts w:ascii="Calibri" w:hAnsi="宋体" w:eastAsia="宋体" w:cs="Times New Roman"/>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bCs/>
          <w:color w:val="000000"/>
          <w:szCs w:val="21"/>
        </w:rPr>
      </w:pPr>
      <w:r>
        <w:rPr>
          <w:rFonts w:hint="eastAsia" w:ascii="Calibri" w:hAnsi="宋体" w:eastAsia="宋体" w:cs="Arial"/>
          <w:bCs/>
          <w:color w:val="000000"/>
          <w:szCs w:val="21"/>
        </w:rPr>
        <w:t>重大疾病保险金年保险费（可选）</w:t>
      </w:r>
      <w:r>
        <w:rPr>
          <w:rFonts w:hint="eastAsia" w:ascii="Calibri" w:hAnsi="宋体" w:eastAsia="宋体" w:cs="Times New Roman"/>
        </w:rPr>
        <w:t>=重大疾病保险金年基准保险费×F</w:t>
      </w:r>
      <w:r>
        <w:rPr>
          <w:rFonts w:ascii="Calibri" w:hAnsi="宋体" w:eastAsia="宋体" w:cs="Times New Roman"/>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bCs/>
          <w:color w:val="000000"/>
          <w:szCs w:val="21"/>
        </w:rPr>
      </w:pPr>
      <w:r>
        <w:rPr>
          <w:rFonts w:hint="eastAsia" w:ascii="宋体" w:hAnsi="宋体" w:eastAsia="宋体" w:cs="宋体"/>
          <w:szCs w:val="21"/>
        </w:rPr>
        <w:t>门（急）诊医疗保险金</w:t>
      </w:r>
      <w:r>
        <w:rPr>
          <w:rFonts w:hint="eastAsia" w:ascii="Calibri" w:hAnsi="宋体" w:eastAsia="宋体" w:cs="Arial"/>
          <w:bCs/>
          <w:color w:val="000000"/>
          <w:szCs w:val="21"/>
        </w:rPr>
        <w:t>年保险费（可选）=</w:t>
      </w:r>
      <w:r>
        <w:rPr>
          <w:rFonts w:hint="eastAsia" w:ascii="宋体" w:hAnsi="宋体" w:eastAsia="宋体" w:cs="宋体"/>
          <w:szCs w:val="21"/>
        </w:rPr>
        <w:t>门（急）诊医疗保险金</w:t>
      </w:r>
      <w:r>
        <w:rPr>
          <w:rFonts w:hint="eastAsia" w:ascii="Calibri" w:hAnsi="宋体" w:eastAsia="宋体" w:cs="Times New Roman"/>
        </w:rPr>
        <w:t>额×</w:t>
      </w:r>
      <w:r>
        <w:rPr>
          <w:rFonts w:hint="eastAsia" w:ascii="宋体" w:hAnsi="宋体" w:eastAsia="宋体" w:cs="宋体"/>
          <w:szCs w:val="21"/>
        </w:rPr>
        <w:t>门（急）诊医疗保险金年基准费率</w:t>
      </w:r>
      <w:r>
        <w:rPr>
          <w:rFonts w:hint="eastAsia" w:ascii="Calibri" w:hAnsi="宋体" w:eastAsia="宋体" w:cs="Times New Roman"/>
        </w:rPr>
        <w:t>×F</w:t>
      </w:r>
      <w:r>
        <w:rPr>
          <w:rFonts w:ascii="Calibri" w:hAnsi="宋体" w:eastAsia="宋体" w:cs="Times New Roman"/>
        </w:rPr>
        <w:t>1</w:t>
      </w:r>
      <w:r>
        <w:rPr>
          <w:rFonts w:hint="eastAsia" w:ascii="Calibri" w:hAnsi="宋体" w:eastAsia="宋体" w:cs="Times New Roman"/>
        </w:rPr>
        <w:t>×F</w:t>
      </w:r>
      <w:r>
        <w:rPr>
          <w:rFonts w:ascii="Calibri" w:hAnsi="宋体" w:eastAsia="宋体" w:cs="Times New Roman"/>
        </w:rPr>
        <w:t>2</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3</w:t>
      </w:r>
      <w:r>
        <w:rPr>
          <w:rFonts w:hint="eastAsia" w:ascii="Calibri" w:hAnsi="宋体" w:eastAsia="宋体" w:cs="Times New Roman"/>
        </w:rPr>
        <w:t>×F</w:t>
      </w:r>
      <w:r>
        <w:rPr>
          <w:rFonts w:ascii="Calibri" w:hAnsi="宋体" w:eastAsia="宋体" w:cs="Times New Roman"/>
        </w:rPr>
        <w:t>4</w:t>
      </w:r>
      <w:r>
        <w:rPr>
          <w:rFonts w:hint="eastAsia" w:ascii="Calibri" w:hAnsi="宋体" w:eastAsia="宋体" w:cs="Times New Roman"/>
        </w:rPr>
        <w:t>×F</w:t>
      </w:r>
      <w:r>
        <w:rPr>
          <w:rFonts w:ascii="Calibri" w:hAnsi="宋体" w:eastAsia="宋体" w:cs="Times New Roman"/>
        </w:rPr>
        <w:t>5</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szCs w:val="21"/>
        </w:rPr>
      </w:pPr>
      <w:r>
        <w:rPr>
          <w:rFonts w:ascii="Calibri" w:hAnsi="宋体" w:eastAsia="宋体" w:cs="Arial"/>
          <w:bCs/>
          <w:color w:val="000000"/>
          <w:szCs w:val="21"/>
        </w:rPr>
        <w:t>总年保险费</w:t>
      </w:r>
      <w:r>
        <w:rPr>
          <w:rFonts w:hint="eastAsia" w:ascii="Calibri" w:hAnsi="宋体" w:eastAsia="宋体" w:cs="Arial"/>
          <w:bCs/>
          <w:color w:val="000000"/>
          <w:szCs w:val="21"/>
        </w:rPr>
        <w:t>=</w:t>
      </w:r>
      <w:r>
        <w:rPr>
          <w:rFonts w:hint="eastAsia" w:ascii="Calibri" w:hAnsi="宋体" w:eastAsia="宋体" w:cs="Times New Roman"/>
        </w:rPr>
        <w:t>基本责任年保险费+</w:t>
      </w:r>
      <w:r>
        <w:rPr>
          <w:rFonts w:hint="eastAsia" w:ascii="Calibri" w:hAnsi="宋体" w:eastAsia="宋体" w:cs="Arial"/>
          <w:bCs/>
          <w:color w:val="000000"/>
          <w:szCs w:val="21"/>
        </w:rPr>
        <w:t>重大疾病保险金年保险费（可选）+</w:t>
      </w:r>
      <w:r>
        <w:rPr>
          <w:rFonts w:hint="eastAsia" w:ascii="宋体" w:hAnsi="宋体" w:eastAsia="宋体" w:cs="宋体"/>
          <w:szCs w:val="21"/>
        </w:rPr>
        <w:t>门（急）诊医疗保险金</w:t>
      </w:r>
      <w:r>
        <w:rPr>
          <w:rFonts w:hint="eastAsia" w:ascii="Calibri" w:hAnsi="宋体" w:eastAsia="宋体" w:cs="Arial"/>
          <w:bCs/>
          <w:color w:val="000000"/>
          <w:szCs w:val="21"/>
        </w:rPr>
        <w:t>年保险费（可选）</w:t>
      </w:r>
    </w:p>
    <w:p>
      <w:pPr>
        <w:spacing w:line="360" w:lineRule="auto"/>
        <w:ind w:firstLine="420" w:firstLineChars="200"/>
        <w:jc w:val="left"/>
        <w:rPr>
          <w:rFonts w:ascii="Calibri" w:hAnsi="宋体" w:eastAsia="宋体" w:cs="Times New Roman"/>
        </w:rPr>
      </w:pPr>
      <w:r>
        <w:rPr>
          <w:rFonts w:hint="eastAsia" w:ascii="Calibri" w:hAnsi="宋体" w:eastAsia="宋体" w:cs="Times New Roman"/>
        </w:rPr>
        <w:t>2、投保人选择分期缴付保险费，保险人根据保险费分期缴费期数，计收每期保险费：</w:t>
      </w:r>
    </w:p>
    <w:p>
      <w:pPr>
        <w:spacing w:line="360" w:lineRule="auto"/>
        <w:ind w:firstLine="420" w:firstLineChars="200"/>
        <w:jc w:val="left"/>
        <w:rPr>
          <w:rFonts w:ascii="Calibri" w:hAnsi="宋体" w:eastAsia="宋体" w:cs="Arial"/>
          <w:bCs/>
          <w:color w:val="000000"/>
          <w:szCs w:val="21"/>
        </w:rPr>
      </w:pPr>
      <w:r>
        <w:rPr>
          <w:rFonts w:hint="eastAsia" w:ascii="Calibri" w:hAnsi="宋体" w:eastAsia="宋体" w:cs="Times New Roman"/>
        </w:rPr>
        <w:t>基本责任年保险费=基本责任年基准保险费×F</w:t>
      </w:r>
      <w:r>
        <w:rPr>
          <w:rFonts w:ascii="Calibri" w:hAnsi="宋体" w:eastAsia="宋体" w:cs="Times New Roman"/>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bCs/>
          <w:color w:val="000000"/>
          <w:szCs w:val="21"/>
        </w:rPr>
      </w:pPr>
      <w:r>
        <w:rPr>
          <w:rFonts w:hint="eastAsia" w:ascii="Calibri" w:hAnsi="宋体" w:eastAsia="宋体" w:cs="Arial"/>
          <w:bCs/>
          <w:color w:val="000000"/>
          <w:szCs w:val="21"/>
        </w:rPr>
        <w:t>重大疾病保险金年保险费（可选）</w:t>
      </w:r>
      <w:r>
        <w:rPr>
          <w:rFonts w:hint="eastAsia" w:ascii="Calibri" w:hAnsi="宋体" w:eastAsia="宋体" w:cs="Times New Roman"/>
        </w:rPr>
        <w:t>=重大疾病保险金年基准保险费×F</w:t>
      </w:r>
      <w:r>
        <w:rPr>
          <w:rFonts w:ascii="Calibri" w:hAnsi="宋体" w:eastAsia="宋体" w:cs="Times New Roman"/>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bCs/>
          <w:color w:val="000000"/>
          <w:szCs w:val="21"/>
        </w:rPr>
      </w:pPr>
      <w:r>
        <w:rPr>
          <w:rFonts w:hint="eastAsia" w:ascii="宋体" w:hAnsi="宋体" w:eastAsia="宋体" w:cs="宋体"/>
          <w:szCs w:val="21"/>
        </w:rPr>
        <w:t>门（急）诊医疗保险金</w:t>
      </w:r>
      <w:r>
        <w:rPr>
          <w:rFonts w:hint="eastAsia" w:ascii="Calibri" w:hAnsi="宋体" w:eastAsia="宋体" w:cs="Arial"/>
          <w:bCs/>
          <w:color w:val="000000"/>
          <w:szCs w:val="21"/>
        </w:rPr>
        <w:t>年保险费（可选）=</w:t>
      </w:r>
      <w:r>
        <w:rPr>
          <w:rFonts w:hint="eastAsia" w:ascii="宋体" w:hAnsi="宋体" w:eastAsia="宋体" w:cs="宋体"/>
          <w:szCs w:val="21"/>
        </w:rPr>
        <w:t>门（急）诊医疗保险金</w:t>
      </w:r>
      <w:r>
        <w:rPr>
          <w:rFonts w:hint="eastAsia" w:ascii="Calibri" w:hAnsi="宋体" w:eastAsia="宋体" w:cs="Times New Roman"/>
        </w:rPr>
        <w:t>额×</w:t>
      </w:r>
      <w:r>
        <w:rPr>
          <w:rFonts w:hint="eastAsia" w:ascii="宋体" w:hAnsi="宋体" w:eastAsia="宋体" w:cs="宋体"/>
          <w:szCs w:val="21"/>
        </w:rPr>
        <w:t>门（急）诊医疗保险金年基准费率</w:t>
      </w:r>
      <w:r>
        <w:rPr>
          <w:rFonts w:hint="eastAsia" w:ascii="Calibri" w:hAnsi="宋体" w:eastAsia="宋体" w:cs="Times New Roman"/>
        </w:rPr>
        <w:t>×F</w:t>
      </w:r>
      <w:r>
        <w:rPr>
          <w:rFonts w:ascii="Calibri" w:hAnsi="宋体" w:eastAsia="宋体" w:cs="Times New Roman"/>
        </w:rPr>
        <w:t>1</w:t>
      </w:r>
      <w:r>
        <w:rPr>
          <w:rFonts w:hint="eastAsia" w:ascii="Calibri" w:hAnsi="宋体" w:eastAsia="宋体" w:cs="Times New Roman"/>
        </w:rPr>
        <w:t>×F</w:t>
      </w:r>
      <w:r>
        <w:rPr>
          <w:rFonts w:ascii="Calibri" w:hAnsi="宋体" w:eastAsia="宋体" w:cs="Times New Roman"/>
        </w:rPr>
        <w:t>2</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3</w:t>
      </w:r>
      <w:r>
        <w:rPr>
          <w:rFonts w:hint="eastAsia" w:ascii="Calibri" w:hAnsi="宋体" w:eastAsia="宋体" w:cs="Times New Roman"/>
        </w:rPr>
        <w:t>×F</w:t>
      </w:r>
      <w:r>
        <w:rPr>
          <w:rFonts w:ascii="Calibri" w:hAnsi="宋体" w:eastAsia="宋体" w:cs="Times New Roman"/>
        </w:rPr>
        <w:t>4</w:t>
      </w:r>
      <w:r>
        <w:rPr>
          <w:rFonts w:hint="eastAsia" w:ascii="Calibri" w:hAnsi="宋体" w:eastAsia="宋体" w:cs="Times New Roman"/>
        </w:rPr>
        <w:t>×F</w:t>
      </w:r>
      <w:r>
        <w:rPr>
          <w:rFonts w:ascii="Calibri" w:hAnsi="宋体" w:eastAsia="宋体" w:cs="Times New Roman"/>
        </w:rPr>
        <w:t>5</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6</w:t>
      </w:r>
      <w:r>
        <w:rPr>
          <w:rFonts w:hint="eastAsia" w:ascii="Calibri" w:hAnsi="宋体" w:eastAsia="宋体" w:cs="Times New Roman"/>
        </w:rPr>
        <w:t>×F</w:t>
      </w:r>
      <w:r>
        <w:rPr>
          <w:rFonts w:ascii="Calibri" w:hAnsi="宋体" w:eastAsia="宋体" w:cs="Times New Roman"/>
        </w:rPr>
        <w:t>7</w:t>
      </w:r>
      <w:r>
        <w:rPr>
          <w:rFonts w:hint="eastAsia" w:ascii="Calibri" w:hAnsi="宋体" w:eastAsia="宋体" w:cs="Times New Roman"/>
        </w:rPr>
        <w:t>×</w:t>
      </w:r>
      <w:r>
        <w:rPr>
          <w:rFonts w:hint="eastAsia" w:ascii="Calibri" w:hAnsi="宋体" w:eastAsia="宋体" w:cs="Arial"/>
          <w:bCs/>
          <w:color w:val="000000"/>
          <w:szCs w:val="21"/>
        </w:rPr>
        <w:t>F</w:t>
      </w:r>
      <w:r>
        <w:rPr>
          <w:rFonts w:ascii="Calibri" w:hAnsi="宋体" w:eastAsia="宋体" w:cs="Arial"/>
          <w:bCs/>
          <w:color w:val="000000"/>
          <w:szCs w:val="21"/>
        </w:rPr>
        <w:t>8×F9</w:t>
      </w:r>
    </w:p>
    <w:p>
      <w:pPr>
        <w:spacing w:line="360" w:lineRule="auto"/>
        <w:ind w:firstLine="420" w:firstLineChars="200"/>
        <w:jc w:val="left"/>
        <w:rPr>
          <w:rFonts w:ascii="Calibri" w:hAnsi="宋体" w:eastAsia="宋体" w:cs="Arial"/>
          <w:bCs/>
          <w:color w:val="000000"/>
          <w:szCs w:val="21"/>
        </w:rPr>
      </w:pPr>
      <w:r>
        <w:rPr>
          <w:rFonts w:ascii="Calibri" w:hAnsi="宋体" w:eastAsia="宋体" w:cs="Arial"/>
          <w:bCs/>
          <w:color w:val="000000"/>
          <w:szCs w:val="21"/>
        </w:rPr>
        <w:t>总年保险费</w:t>
      </w:r>
      <w:r>
        <w:rPr>
          <w:rFonts w:hint="eastAsia" w:ascii="Calibri" w:hAnsi="宋体" w:eastAsia="宋体" w:cs="Arial"/>
          <w:bCs/>
          <w:color w:val="000000"/>
          <w:szCs w:val="21"/>
        </w:rPr>
        <w:t>=</w:t>
      </w:r>
      <w:r>
        <w:rPr>
          <w:rFonts w:hint="eastAsia" w:ascii="Calibri" w:hAnsi="宋体" w:eastAsia="宋体" w:cs="Times New Roman"/>
        </w:rPr>
        <w:t>基本责任年保险费+</w:t>
      </w:r>
      <w:r>
        <w:rPr>
          <w:rFonts w:hint="eastAsia" w:ascii="Calibri" w:hAnsi="宋体" w:eastAsia="宋体" w:cs="Arial"/>
          <w:bCs/>
          <w:color w:val="000000"/>
          <w:szCs w:val="21"/>
        </w:rPr>
        <w:t>重大疾病保险金年保险费（可选）+</w:t>
      </w:r>
      <w:r>
        <w:rPr>
          <w:rFonts w:hint="eastAsia" w:ascii="宋体" w:hAnsi="宋体" w:eastAsia="宋体" w:cs="宋体"/>
          <w:szCs w:val="21"/>
        </w:rPr>
        <w:t>门（急）诊医疗保险金</w:t>
      </w:r>
      <w:r>
        <w:rPr>
          <w:rFonts w:hint="eastAsia" w:ascii="Calibri" w:hAnsi="宋体" w:eastAsia="宋体" w:cs="Arial"/>
          <w:bCs/>
          <w:color w:val="000000"/>
          <w:szCs w:val="21"/>
        </w:rPr>
        <w:t>年保险费（可选）</w:t>
      </w:r>
    </w:p>
    <w:p>
      <w:pPr>
        <w:spacing w:line="360" w:lineRule="auto"/>
        <w:ind w:firstLine="420" w:firstLineChars="200"/>
        <w:jc w:val="left"/>
        <w:rPr>
          <w:rFonts w:ascii="Calibri" w:hAnsi="宋体" w:eastAsia="宋体" w:cs="Times New Roman"/>
        </w:rPr>
      </w:pPr>
      <w:r>
        <w:rPr>
          <w:rFonts w:hint="eastAsia" w:ascii="Calibri" w:hAnsi="宋体" w:eastAsia="宋体" w:cs="Times New Roman"/>
        </w:rPr>
        <w:t>每期保险费（按四舍五入计算）=总年保险费÷分期缴费期数</w:t>
      </w:r>
    </w:p>
    <w:p>
      <w:pPr>
        <w:spacing w:line="360" w:lineRule="auto"/>
        <w:ind w:firstLine="420" w:firstLineChars="200"/>
        <w:jc w:val="left"/>
        <w:rPr>
          <w:rFonts w:ascii="宋体" w:hAnsi="宋体" w:eastAsia="宋体" w:cs="Times New Roman"/>
          <w:kern w:val="0"/>
        </w:rPr>
      </w:pPr>
      <w:r>
        <w:rPr>
          <w:rFonts w:ascii="Calibri" w:hAnsi="宋体" w:eastAsia="宋体" w:cs="Times New Roman"/>
        </w:rPr>
        <w:t>注</w:t>
      </w:r>
      <w:r>
        <w:rPr>
          <w:rFonts w:hint="eastAsia" w:ascii="Calibri" w:hAnsi="宋体" w:eastAsia="宋体" w:cs="Times New Roman"/>
        </w:rPr>
        <w:t>：本产品涉及分期缴费，每期缴费金额一致。</w:t>
      </w:r>
    </w:p>
    <w:p>
      <w:pPr>
        <w:jc w:val="left"/>
        <w:rPr>
          <w:rFonts w:ascii="宋体" w:hAnsi="宋体" w:eastAsia="宋体" w:cs="宋体"/>
          <w:b/>
          <w:szCs w:val="21"/>
        </w:rPr>
      </w:pPr>
    </w:p>
    <w:p>
      <w:pPr>
        <w:jc w:val="left"/>
        <w:rPr>
          <w:rFonts w:ascii="宋体" w:hAnsi="宋体" w:eastAsia="宋体" w:cs="宋体"/>
          <w:b/>
          <w:szCs w:val="21"/>
        </w:rPr>
      </w:pPr>
      <w:r>
        <w:rPr>
          <w:rFonts w:hint="eastAsia" w:ascii="宋体" w:hAnsi="宋体" w:eastAsia="宋体" w:cs="宋体"/>
          <w:b/>
          <w:szCs w:val="21"/>
        </w:rPr>
        <w:t>五、</w:t>
      </w:r>
      <w:r>
        <w:rPr>
          <w:rFonts w:ascii="宋体" w:hAnsi="宋体" w:eastAsia="宋体" w:cs="宋体"/>
          <w:b/>
          <w:szCs w:val="21"/>
        </w:rPr>
        <w:t>短期费率表</w:t>
      </w:r>
    </w:p>
    <w:p>
      <w:pPr>
        <w:snapToGrid w:val="0"/>
        <w:spacing w:line="288" w:lineRule="auto"/>
        <w:ind w:firstLine="420" w:firstLineChars="200"/>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8"/>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ind w:firstLine="420" w:firstLineChars="200"/>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829047"/>
      <w:docPartObj>
        <w:docPartGallery w:val="autotext"/>
      </w:docPartObj>
    </w:sdtPr>
    <w:sdtContent>
      <w:p>
        <w:pPr>
          <w:pStyle w:val="5"/>
          <w:jc w:val="center"/>
        </w:pPr>
        <w:r>
          <w:fldChar w:fldCharType="begin"/>
        </w:r>
        <w:r>
          <w:instrText xml:space="preserve">PAGE   \* MERGEFORMAT</w:instrText>
        </w:r>
        <w:r>
          <w:fldChar w:fldCharType="separate"/>
        </w:r>
        <w:r>
          <w:rPr>
            <w:lang w:val="zh-CN"/>
          </w:rPr>
          <w:t>9</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B5EBE"/>
    <w:rsid w:val="00067978"/>
    <w:rsid w:val="000D3F12"/>
    <w:rsid w:val="000E23FB"/>
    <w:rsid w:val="000F6296"/>
    <w:rsid w:val="00195551"/>
    <w:rsid w:val="001B5EBE"/>
    <w:rsid w:val="001E06D8"/>
    <w:rsid w:val="001F113A"/>
    <w:rsid w:val="00214BF5"/>
    <w:rsid w:val="002459E4"/>
    <w:rsid w:val="0025119D"/>
    <w:rsid w:val="00285063"/>
    <w:rsid w:val="002C0D5F"/>
    <w:rsid w:val="002F677C"/>
    <w:rsid w:val="0030652B"/>
    <w:rsid w:val="00312204"/>
    <w:rsid w:val="003156AE"/>
    <w:rsid w:val="003161C0"/>
    <w:rsid w:val="0031785E"/>
    <w:rsid w:val="00331B57"/>
    <w:rsid w:val="00401115"/>
    <w:rsid w:val="00452378"/>
    <w:rsid w:val="00457BAA"/>
    <w:rsid w:val="00474910"/>
    <w:rsid w:val="004C6B0A"/>
    <w:rsid w:val="004F0C62"/>
    <w:rsid w:val="00534019"/>
    <w:rsid w:val="005703DB"/>
    <w:rsid w:val="00586F39"/>
    <w:rsid w:val="005A3F88"/>
    <w:rsid w:val="005A5A3B"/>
    <w:rsid w:val="005E62B5"/>
    <w:rsid w:val="00607782"/>
    <w:rsid w:val="00617DE4"/>
    <w:rsid w:val="00626D20"/>
    <w:rsid w:val="00653535"/>
    <w:rsid w:val="0067728A"/>
    <w:rsid w:val="006D187A"/>
    <w:rsid w:val="00744F3C"/>
    <w:rsid w:val="00760559"/>
    <w:rsid w:val="00791FC6"/>
    <w:rsid w:val="007A1291"/>
    <w:rsid w:val="007A25A5"/>
    <w:rsid w:val="007B05B5"/>
    <w:rsid w:val="0080735C"/>
    <w:rsid w:val="0083095B"/>
    <w:rsid w:val="00866DAC"/>
    <w:rsid w:val="00890002"/>
    <w:rsid w:val="00895575"/>
    <w:rsid w:val="00895851"/>
    <w:rsid w:val="0090568D"/>
    <w:rsid w:val="00960831"/>
    <w:rsid w:val="00970626"/>
    <w:rsid w:val="0099441D"/>
    <w:rsid w:val="009C3683"/>
    <w:rsid w:val="00A805B1"/>
    <w:rsid w:val="00B45148"/>
    <w:rsid w:val="00B81B91"/>
    <w:rsid w:val="00B95B79"/>
    <w:rsid w:val="00C26D57"/>
    <w:rsid w:val="00C51745"/>
    <w:rsid w:val="00C955A5"/>
    <w:rsid w:val="00CB0C5C"/>
    <w:rsid w:val="00CB6A12"/>
    <w:rsid w:val="00CE3B6D"/>
    <w:rsid w:val="00D134A8"/>
    <w:rsid w:val="00D2232A"/>
    <w:rsid w:val="00D433E6"/>
    <w:rsid w:val="00D455C5"/>
    <w:rsid w:val="00DC47BA"/>
    <w:rsid w:val="00DC4F00"/>
    <w:rsid w:val="00DC530A"/>
    <w:rsid w:val="00DD32FB"/>
    <w:rsid w:val="00E0495F"/>
    <w:rsid w:val="00E24F8B"/>
    <w:rsid w:val="00E42118"/>
    <w:rsid w:val="00E70AA2"/>
    <w:rsid w:val="00E744A0"/>
    <w:rsid w:val="00E770A9"/>
    <w:rsid w:val="00ED016B"/>
    <w:rsid w:val="00ED7A77"/>
    <w:rsid w:val="00EE3C74"/>
    <w:rsid w:val="00F3236C"/>
    <w:rsid w:val="00FD130A"/>
    <w:rsid w:val="078D467B"/>
    <w:rsid w:val="0D3E5E25"/>
    <w:rsid w:val="0FF5579E"/>
    <w:rsid w:val="19F13CB5"/>
    <w:rsid w:val="23D1671C"/>
    <w:rsid w:val="23FE4F6E"/>
    <w:rsid w:val="2CF658F8"/>
    <w:rsid w:val="31DA5E20"/>
    <w:rsid w:val="32CD27CF"/>
    <w:rsid w:val="35A02F2C"/>
    <w:rsid w:val="37F2267E"/>
    <w:rsid w:val="3C1C744E"/>
    <w:rsid w:val="3D767D44"/>
    <w:rsid w:val="3DAD6929"/>
    <w:rsid w:val="3E0071CA"/>
    <w:rsid w:val="40DB3913"/>
    <w:rsid w:val="45DE2210"/>
    <w:rsid w:val="4F814167"/>
    <w:rsid w:val="50147BF7"/>
    <w:rsid w:val="52481E04"/>
    <w:rsid w:val="54562DA6"/>
    <w:rsid w:val="5AE325C4"/>
    <w:rsid w:val="5C327970"/>
    <w:rsid w:val="5F444203"/>
    <w:rsid w:val="5F685328"/>
    <w:rsid w:val="5FEA94CC"/>
    <w:rsid w:val="6DAE2B0E"/>
    <w:rsid w:val="75AD03B6"/>
    <w:rsid w:val="763D7B69"/>
    <w:rsid w:val="7CDB0E9C"/>
    <w:rsid w:val="7D387D68"/>
    <w:rsid w:val="7F7F6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Indent"/>
    <w:basedOn w:val="1"/>
    <w:unhideWhenUsed/>
    <w:qFormat/>
    <w:uiPriority w:val="99"/>
    <w:pPr>
      <w:ind w:firstLine="360"/>
    </w:pPr>
    <w:rPr>
      <w:szCs w:val="20"/>
    </w:rPr>
  </w:style>
  <w:style w:type="paragraph" w:styleId="4">
    <w:name w:val="Balloon Text"/>
    <w:basedOn w:val="1"/>
    <w:link w:val="15"/>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9"/>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customStyle="1" w:styleId="14">
    <w:name w:val="列出段落1"/>
    <w:basedOn w:val="1"/>
    <w:qFormat/>
    <w:uiPriority w:val="34"/>
    <w:pPr>
      <w:ind w:firstLine="420" w:firstLineChars="200"/>
    </w:pPr>
  </w:style>
  <w:style w:type="character" w:customStyle="1" w:styleId="15">
    <w:name w:val="批注框文本 Char"/>
    <w:basedOn w:val="10"/>
    <w:link w:val="4"/>
    <w:semiHidden/>
    <w:qFormat/>
    <w:uiPriority w:val="99"/>
    <w:rPr>
      <w:sz w:val="18"/>
      <w:szCs w:val="18"/>
    </w:rPr>
  </w:style>
  <w:style w:type="paragraph" w:styleId="16">
    <w:name w:val="List Paragraph"/>
    <w:basedOn w:val="1"/>
    <w:qFormat/>
    <w:uiPriority w:val="99"/>
    <w:pPr>
      <w:ind w:firstLine="420" w:firstLineChars="200"/>
    </w:pPr>
  </w:style>
  <w:style w:type="table" w:customStyle="1" w:styleId="17">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批注文字 Char"/>
    <w:basedOn w:val="10"/>
    <w:link w:val="2"/>
    <w:semiHidden/>
    <w:qFormat/>
    <w:uiPriority w:val="99"/>
    <w:rPr>
      <w:rFonts w:asciiTheme="minorHAnsi" w:hAnsiTheme="minorHAnsi" w:eastAsiaTheme="minorEastAsia" w:cstheme="minorBidi"/>
      <w:kern w:val="2"/>
      <w:sz w:val="21"/>
      <w:szCs w:val="22"/>
    </w:rPr>
  </w:style>
  <w:style w:type="character" w:customStyle="1" w:styleId="19">
    <w:name w:val="批注主题 Char"/>
    <w:basedOn w:val="18"/>
    <w:link w:val="7"/>
    <w:semiHidden/>
    <w:qFormat/>
    <w:uiPriority w:val="99"/>
    <w:rPr>
      <w:rFonts w:asciiTheme="minorHAnsi" w:hAnsiTheme="minorHAnsi" w:eastAsiaTheme="minorEastAsia" w:cstheme="minorBidi"/>
      <w:b/>
      <w:bCs/>
      <w:kern w:val="2"/>
      <w:sz w:val="21"/>
      <w:szCs w:val="22"/>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1">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3611</Words>
  <Characters>4798</Characters>
  <Lines>38</Lines>
  <Paragraphs>10</Paragraphs>
  <TotalTime>137</TotalTime>
  <ScaleCrop>false</ScaleCrop>
  <LinksUpToDate>false</LinksUpToDate>
  <CharactersWithSpaces>4804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2022-10-11T01:29:16Z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0E6EFDFFD6EA4E1198239DFCF3EAA021</vt:lpwstr>
  </property>
</Properties>
</file>